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3247F">
      <w:pPr>
        <w:spacing w:after="40"/>
      </w:pPr>
      <w:r>
        <w:rPr>
          <w:b/>
          <w:bCs/>
          <w:color w:val="264653"/>
          <w:sz w:val="46"/>
          <w:szCs w:val="46"/>
        </w:rPr>
        <w:t>Email Spam Detection with Machine Learning</w:t>
      </w:r>
    </w:p>
    <w:p w14:paraId="237A4DBD">
      <w:pPr>
        <w:spacing w:after="80"/>
      </w:pPr>
      <w:r>
        <w:rPr>
          <w:color w:val="2A9D8F"/>
          <w:sz w:val="24"/>
          <w:szCs w:val="24"/>
        </w:rPr>
        <w:t>Natural Language Processing  ·  Binary Text Classification</w:t>
      </w:r>
    </w:p>
    <w:p w14:paraId="25720BF7">
      <w:pPr>
        <w:pBdr>
          <w:bottom w:val="single" w:color="C9A227" w:sz="12" w:space="6"/>
        </w:pBdr>
        <w:spacing w:after="200"/>
      </w:pPr>
      <w:r>
        <w:rPr>
          <w:b/>
          <w:bCs/>
          <w:color w:val="264653"/>
          <w:sz w:val="20"/>
          <w:szCs w:val="20"/>
        </w:rPr>
        <w:t xml:space="preserve">Iqra Solangi    </w:t>
      </w:r>
      <w:r>
        <w:fldChar w:fldCharType="begin"/>
      </w:r>
      <w:r>
        <w:instrText xml:space="preserve"> HYPERLINK "https://github.com/IQRASOLANGI" </w:instrText>
      </w:r>
      <w:r>
        <w:fldChar w:fldCharType="separate"/>
      </w:r>
      <w:r>
        <w:rPr>
          <w:color w:val="264653"/>
          <w:sz w:val="20"/>
          <w:szCs w:val="20"/>
          <w:u w:val="single"/>
        </w:rPr>
        <w:t>github.com/IQRASOLANGI</w:t>
      </w:r>
      <w:r>
        <w:rPr>
          <w:color w:val="264653"/>
          <w:sz w:val="20"/>
          <w:szCs w:val="20"/>
          <w:u w:val="single"/>
        </w:rPr>
        <w:fldChar w:fldCharType="end"/>
      </w:r>
      <w:r>
        <w:rPr>
          <w:sz w:val="20"/>
          <w:szCs w:val="20"/>
        </w:rPr>
        <w:t xml:space="preserve">    </w:t>
      </w:r>
      <w:r>
        <w:fldChar w:fldCharType="begin"/>
      </w:r>
      <w:r>
        <w:instrText xml:space="preserve"> HYPERLINK "https://www.linkedin.com/in/iqra-solangi-a65945334" </w:instrText>
      </w:r>
      <w:r>
        <w:fldChar w:fldCharType="separate"/>
      </w:r>
      <w:r>
        <w:rPr>
          <w:color w:val="264653"/>
          <w:sz w:val="20"/>
          <w:szCs w:val="20"/>
          <w:u w:val="single"/>
        </w:rPr>
        <w:t>linkedin.com/in/iqra-solangi-a65945334</w:t>
      </w:r>
      <w:r>
        <w:rPr>
          <w:color w:val="264653"/>
          <w:sz w:val="20"/>
          <w:szCs w:val="20"/>
          <w:u w:val="single"/>
        </w:rPr>
        <w:fldChar w:fldCharType="end"/>
      </w:r>
    </w:p>
    <w:tbl>
      <w:tblPr>
        <w:tblStyle w:val="9"/>
        <w:tblW w:w="9602"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00"/>
        <w:gridCol w:w="2400"/>
        <w:gridCol w:w="2401"/>
        <w:gridCol w:w="2401"/>
      </w:tblGrid>
      <w:tr w14:paraId="588B1E7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400" w:type="dxa"/>
            <w:tcBorders>
              <w:top w:val="single" w:color="C9A227" w:sz="18" w:space="0"/>
              <w:left w:val="single" w:color="FFFFFF" w:sz="12" w:space="0"/>
              <w:bottom w:val="nil"/>
              <w:right w:val="single" w:color="FFFFFF" w:sz="12" w:space="0"/>
            </w:tcBorders>
            <w:shd w:val="clear" w:color="auto" w:fill="EEF2F8"/>
            <w:tcMar>
              <w:top w:w="140" w:type="dxa"/>
              <w:left w:w="100" w:type="dxa"/>
              <w:bottom w:w="140" w:type="dxa"/>
              <w:right w:w="100" w:type="dxa"/>
            </w:tcMar>
          </w:tcPr>
          <w:p w14:paraId="5A3839C6">
            <w:pPr>
              <w:spacing w:after="20"/>
              <w:jc w:val="center"/>
            </w:pPr>
            <w:r>
              <w:rPr>
                <w:b/>
                <w:bCs/>
                <w:color w:val="1F3A5F"/>
                <w:sz w:val="44"/>
                <w:szCs w:val="44"/>
              </w:rPr>
              <w:t>98.2%</w:t>
            </w:r>
          </w:p>
          <w:p w14:paraId="50655680">
            <w:pPr>
              <w:jc w:val="center"/>
            </w:pPr>
            <w:r>
              <w:rPr>
                <w:color w:val="5B6B7F"/>
                <w:sz w:val="18"/>
                <w:szCs w:val="18"/>
              </w:rPr>
              <w:t>Accuracy</w:t>
            </w:r>
          </w:p>
        </w:tc>
        <w:tc>
          <w:tcPr>
            <w:tcW w:w="2400" w:type="dxa"/>
            <w:tcBorders>
              <w:top w:val="single" w:color="C9A227" w:sz="18" w:space="0"/>
              <w:left w:val="single" w:color="FFFFFF" w:sz="12" w:space="0"/>
              <w:bottom w:val="nil"/>
              <w:right w:val="single" w:color="FFFFFF" w:sz="12" w:space="0"/>
            </w:tcBorders>
            <w:shd w:val="clear" w:color="auto" w:fill="EEF2F8"/>
            <w:tcMar>
              <w:top w:w="140" w:type="dxa"/>
              <w:left w:w="100" w:type="dxa"/>
              <w:bottom w:w="140" w:type="dxa"/>
              <w:right w:w="100" w:type="dxa"/>
            </w:tcMar>
          </w:tcPr>
          <w:p w14:paraId="2959A5E1">
            <w:pPr>
              <w:spacing w:after="20"/>
              <w:jc w:val="center"/>
            </w:pPr>
            <w:r>
              <w:rPr>
                <w:b/>
                <w:bCs/>
                <w:color w:val="1F3A5F"/>
                <w:sz w:val="44"/>
                <w:szCs w:val="44"/>
              </w:rPr>
              <w:t>93.1%</w:t>
            </w:r>
          </w:p>
          <w:p w14:paraId="77BB61D9">
            <w:pPr>
              <w:jc w:val="center"/>
            </w:pPr>
            <w:r>
              <w:rPr>
                <w:color w:val="5B6B7F"/>
                <w:sz w:val="18"/>
                <w:szCs w:val="18"/>
              </w:rPr>
              <w:t>Precision (spam)</w:t>
            </w:r>
          </w:p>
        </w:tc>
        <w:tc>
          <w:tcPr>
            <w:tcW w:w="2400" w:type="dxa"/>
            <w:tcBorders>
              <w:top w:val="single" w:color="C9A227" w:sz="18" w:space="0"/>
              <w:left w:val="single" w:color="FFFFFF" w:sz="12" w:space="0"/>
              <w:bottom w:val="nil"/>
              <w:right w:val="single" w:color="FFFFFF" w:sz="12" w:space="0"/>
            </w:tcBorders>
            <w:shd w:val="clear" w:color="auto" w:fill="EEF2F8"/>
            <w:tcMar>
              <w:top w:w="140" w:type="dxa"/>
              <w:left w:w="100" w:type="dxa"/>
              <w:bottom w:w="140" w:type="dxa"/>
              <w:right w:w="100" w:type="dxa"/>
            </w:tcMar>
          </w:tcPr>
          <w:p w14:paraId="425A8E00">
            <w:pPr>
              <w:spacing w:after="20"/>
              <w:jc w:val="center"/>
            </w:pPr>
            <w:r>
              <w:rPr>
                <w:b/>
                <w:bCs/>
                <w:color w:val="1F3A5F"/>
                <w:sz w:val="44"/>
                <w:szCs w:val="44"/>
              </w:rPr>
              <w:t>92.4%</w:t>
            </w:r>
          </w:p>
          <w:p w14:paraId="3299400A">
            <w:pPr>
              <w:jc w:val="center"/>
            </w:pPr>
            <w:r>
              <w:rPr>
                <w:color w:val="5B6B7F"/>
                <w:sz w:val="18"/>
                <w:szCs w:val="18"/>
              </w:rPr>
              <w:t>Recall (spam)</w:t>
            </w:r>
          </w:p>
        </w:tc>
        <w:tc>
          <w:tcPr>
            <w:tcW w:w="2400" w:type="dxa"/>
            <w:tcBorders>
              <w:top w:val="single" w:color="C9A227" w:sz="18" w:space="0"/>
              <w:left w:val="single" w:color="FFFFFF" w:sz="12" w:space="0"/>
              <w:bottom w:val="nil"/>
              <w:right w:val="single" w:color="FFFFFF" w:sz="12" w:space="0"/>
            </w:tcBorders>
            <w:shd w:val="clear" w:color="auto" w:fill="EEF2F8"/>
            <w:tcMar>
              <w:top w:w="140" w:type="dxa"/>
              <w:left w:w="100" w:type="dxa"/>
              <w:bottom w:w="140" w:type="dxa"/>
              <w:right w:w="100" w:type="dxa"/>
            </w:tcMar>
          </w:tcPr>
          <w:p w14:paraId="2C1F55DC">
            <w:pPr>
              <w:spacing w:after="20"/>
              <w:jc w:val="center"/>
            </w:pPr>
            <w:r>
              <w:rPr>
                <w:b/>
                <w:bCs/>
                <w:color w:val="1F3A5F"/>
                <w:sz w:val="44"/>
                <w:szCs w:val="44"/>
              </w:rPr>
              <w:t>0.927</w:t>
            </w:r>
          </w:p>
          <w:p w14:paraId="2EAF7E9B">
            <w:pPr>
              <w:jc w:val="center"/>
            </w:pPr>
            <w:r>
              <w:rPr>
                <w:color w:val="5B6B7F"/>
                <w:sz w:val="18"/>
                <w:szCs w:val="18"/>
              </w:rPr>
              <w:t>F1-score (spam)</w:t>
            </w:r>
          </w:p>
        </w:tc>
      </w:tr>
    </w:tbl>
    <w:p w14:paraId="5A67B015">
      <w:pPr>
        <w:spacing w:after="140"/>
        <w:jc w:val="center"/>
      </w:pPr>
      <w:r>
        <w:rPr>
          <w:i/>
          <w:iCs/>
          <w:color w:val="2A9D8F"/>
          <w:sz w:val="18"/>
          <w:szCs w:val="18"/>
        </w:rPr>
        <w:t>Linear SVM, evaluated on 1,034 held-out messages</w:t>
      </w:r>
    </w:p>
    <w:p w14:paraId="46890C0D">
      <w:pPr>
        <w:pStyle w:val="2"/>
        <w:keepNext/>
      </w:pPr>
      <w:r>
        <w:t>Overview</w:t>
      </w:r>
    </w:p>
    <w:p w14:paraId="272D7E5A">
      <w:pPr>
        <w:spacing w:after="100" w:line="276" w:lineRule="auto"/>
      </w:pPr>
      <w:r>
        <w:rPr>
          <w:sz w:val="21"/>
          <w:szCs w:val="21"/>
        </w:rPr>
        <w:t>This project builds a classifier that separates spam from legitimate messages using natural language processing. The goal was a filter that catches most spam while rarely blocking genuine messages, with an evaluation that reflects that trade-off instead of relying on accuracy alone.</w:t>
      </w:r>
    </w:p>
    <w:p w14:paraId="1196DD35">
      <w:pPr>
        <w:pStyle w:val="2"/>
        <w:keepNext/>
      </w:pPr>
      <w:r>
        <w:t>Project Snapshot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702"/>
      </w:tblGrid>
      <w:tr w14:paraId="6FCC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5DBE5" w:sz="4" w:space="0"/>
              <w:left w:val="single" w:color="D5DBE5" w:sz="4" w:space="0"/>
              <w:bottom w:val="single" w:color="D5DBE5" w:sz="4" w:space="0"/>
              <w:right w:val="single" w:color="D5DBE5" w:sz="4" w:space="0"/>
            </w:tcBorders>
            <w:shd w:val="clear" w:color="auto" w:fill="EEF2F8"/>
            <w:tcMar>
              <w:top w:w="70" w:type="dxa"/>
              <w:left w:w="120" w:type="dxa"/>
              <w:bottom w:w="70" w:type="dxa"/>
              <w:right w:w="100" w:type="dxa"/>
            </w:tcMar>
          </w:tcPr>
          <w:p w14:paraId="62F695CF">
            <w:r>
              <w:rPr>
                <w:b/>
                <w:bCs/>
                <w:color w:val="1F3A5F"/>
                <w:sz w:val="20"/>
                <w:szCs w:val="20"/>
              </w:rPr>
              <w:t>Problem</w:t>
            </w:r>
          </w:p>
        </w:tc>
        <w:tc>
          <w:tcPr>
            <w:tcW w:w="7702" w:type="dxa"/>
            <w:tcBorders>
              <w:top w:val="single" w:color="D5DBE5" w:sz="4" w:space="0"/>
              <w:left w:val="single" w:color="D5DBE5" w:sz="4" w:space="0"/>
              <w:bottom w:val="single" w:color="D5DBE5" w:sz="4" w:space="0"/>
              <w:right w:val="single" w:color="D5DBE5" w:sz="4" w:space="0"/>
            </w:tcBorders>
            <w:tcMar>
              <w:top w:w="70" w:type="dxa"/>
              <w:left w:w="120" w:type="dxa"/>
              <w:bottom w:w="70" w:type="dxa"/>
              <w:right w:w="100" w:type="dxa"/>
            </w:tcMar>
          </w:tcPr>
          <w:p w14:paraId="072A67EF">
            <w:r>
              <w:rPr>
                <w:sz w:val="20"/>
                <w:szCs w:val="20"/>
              </w:rPr>
              <w:t>Binary classification: spam versus legitimate (ham) messages</w:t>
            </w:r>
          </w:p>
        </w:tc>
      </w:tr>
      <w:tr w14:paraId="5D85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5DBE5" w:sz="4" w:space="0"/>
              <w:left w:val="single" w:color="D5DBE5" w:sz="4" w:space="0"/>
              <w:bottom w:val="single" w:color="D5DBE5" w:sz="4" w:space="0"/>
              <w:right w:val="single" w:color="D5DBE5" w:sz="4" w:space="0"/>
            </w:tcBorders>
            <w:shd w:val="clear" w:color="auto" w:fill="EEF2F8"/>
            <w:tcMar>
              <w:top w:w="70" w:type="dxa"/>
              <w:left w:w="120" w:type="dxa"/>
              <w:bottom w:w="70" w:type="dxa"/>
              <w:right w:w="100" w:type="dxa"/>
            </w:tcMar>
          </w:tcPr>
          <w:p w14:paraId="0268908A">
            <w:r>
              <w:rPr>
                <w:b/>
                <w:bCs/>
                <w:color w:val="1F3A5F"/>
                <w:sz w:val="20"/>
                <w:szCs w:val="20"/>
              </w:rPr>
              <w:t>Data</w:t>
            </w:r>
          </w:p>
        </w:tc>
        <w:tc>
          <w:tcPr>
            <w:tcW w:w="7702" w:type="dxa"/>
            <w:tcBorders>
              <w:top w:val="single" w:color="D5DBE5" w:sz="4" w:space="0"/>
              <w:left w:val="single" w:color="D5DBE5" w:sz="4" w:space="0"/>
              <w:bottom w:val="single" w:color="D5DBE5" w:sz="4" w:space="0"/>
              <w:right w:val="single" w:color="D5DBE5" w:sz="4" w:space="0"/>
            </w:tcBorders>
            <w:tcMar>
              <w:top w:w="70" w:type="dxa"/>
              <w:left w:w="120" w:type="dxa"/>
              <w:bottom w:w="70" w:type="dxa"/>
              <w:right w:w="100" w:type="dxa"/>
            </w:tcMar>
          </w:tcPr>
          <w:p w14:paraId="3056979F">
            <w:r>
              <w:rPr>
                <w:sz w:val="20"/>
                <w:szCs w:val="20"/>
              </w:rPr>
              <w:t>UCI Machine Learning Repository spam collection: 5,572 labelled text messages, 5,169 after removing duplicates</w:t>
            </w:r>
          </w:p>
        </w:tc>
      </w:tr>
      <w:tr w14:paraId="7D1A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5DBE5" w:sz="4" w:space="0"/>
              <w:left w:val="single" w:color="D5DBE5" w:sz="4" w:space="0"/>
              <w:bottom w:val="single" w:color="D5DBE5" w:sz="4" w:space="0"/>
              <w:right w:val="single" w:color="D5DBE5" w:sz="4" w:space="0"/>
            </w:tcBorders>
            <w:shd w:val="clear" w:color="auto" w:fill="EEF2F8"/>
            <w:tcMar>
              <w:top w:w="70" w:type="dxa"/>
              <w:left w:w="120" w:type="dxa"/>
              <w:bottom w:w="70" w:type="dxa"/>
              <w:right w:w="100" w:type="dxa"/>
            </w:tcMar>
          </w:tcPr>
          <w:p w14:paraId="53374D39">
            <w:r>
              <w:rPr>
                <w:b/>
                <w:bCs/>
                <w:color w:val="1F3A5F"/>
                <w:sz w:val="20"/>
                <w:szCs w:val="20"/>
              </w:rPr>
              <w:t>Class balance</w:t>
            </w:r>
          </w:p>
        </w:tc>
        <w:tc>
          <w:tcPr>
            <w:tcW w:w="7702" w:type="dxa"/>
            <w:tcBorders>
              <w:top w:val="single" w:color="D5DBE5" w:sz="4" w:space="0"/>
              <w:left w:val="single" w:color="D5DBE5" w:sz="4" w:space="0"/>
              <w:bottom w:val="single" w:color="D5DBE5" w:sz="4" w:space="0"/>
              <w:right w:val="single" w:color="D5DBE5" w:sz="4" w:space="0"/>
            </w:tcBorders>
            <w:tcMar>
              <w:top w:w="70" w:type="dxa"/>
              <w:left w:w="120" w:type="dxa"/>
              <w:bottom w:w="70" w:type="dxa"/>
              <w:right w:w="100" w:type="dxa"/>
            </w:tcMar>
          </w:tcPr>
          <w:p w14:paraId="378F9C3B">
            <w:r>
              <w:rPr>
                <w:sz w:val="20"/>
                <w:szCs w:val="20"/>
              </w:rPr>
              <w:t>87.4% ham, 12.6% spam (imbalanced)</w:t>
            </w:r>
          </w:p>
        </w:tc>
      </w:tr>
      <w:tr w14:paraId="4553C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5DBE5" w:sz="4" w:space="0"/>
              <w:left w:val="single" w:color="D5DBE5" w:sz="4" w:space="0"/>
              <w:bottom w:val="single" w:color="D5DBE5" w:sz="4" w:space="0"/>
              <w:right w:val="single" w:color="D5DBE5" w:sz="4" w:space="0"/>
            </w:tcBorders>
            <w:shd w:val="clear" w:color="auto" w:fill="EEF2F8"/>
            <w:tcMar>
              <w:top w:w="70" w:type="dxa"/>
              <w:left w:w="120" w:type="dxa"/>
              <w:bottom w:w="70" w:type="dxa"/>
              <w:right w:w="100" w:type="dxa"/>
            </w:tcMar>
          </w:tcPr>
          <w:p w14:paraId="6923B996">
            <w:r>
              <w:rPr>
                <w:b/>
                <w:bCs/>
                <w:color w:val="1F3A5F"/>
                <w:sz w:val="20"/>
                <w:szCs w:val="20"/>
              </w:rPr>
              <w:t>Features</w:t>
            </w:r>
          </w:p>
        </w:tc>
        <w:tc>
          <w:tcPr>
            <w:tcW w:w="7702" w:type="dxa"/>
            <w:tcBorders>
              <w:top w:val="single" w:color="D5DBE5" w:sz="4" w:space="0"/>
              <w:left w:val="single" w:color="D5DBE5" w:sz="4" w:space="0"/>
              <w:bottom w:val="single" w:color="D5DBE5" w:sz="4" w:space="0"/>
              <w:right w:val="single" w:color="D5DBE5" w:sz="4" w:space="0"/>
            </w:tcBorders>
            <w:tcMar>
              <w:top w:w="70" w:type="dxa"/>
              <w:left w:w="120" w:type="dxa"/>
              <w:bottom w:w="70" w:type="dxa"/>
              <w:right w:w="100" w:type="dxa"/>
            </w:tcMar>
          </w:tcPr>
          <w:p w14:paraId="079848A7">
            <w:r>
              <w:rPr>
                <w:sz w:val="20"/>
                <w:szCs w:val="20"/>
              </w:rPr>
              <w:t>TF-IDF vectors using unigrams and bigrams, 5,202-term vocabulary</w:t>
            </w:r>
          </w:p>
        </w:tc>
      </w:tr>
      <w:tr w14:paraId="55D8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5DBE5" w:sz="4" w:space="0"/>
              <w:left w:val="single" w:color="D5DBE5" w:sz="4" w:space="0"/>
              <w:bottom w:val="single" w:color="D5DBE5" w:sz="4" w:space="0"/>
              <w:right w:val="single" w:color="D5DBE5" w:sz="4" w:space="0"/>
            </w:tcBorders>
            <w:shd w:val="clear" w:color="auto" w:fill="EEF2F8"/>
            <w:tcMar>
              <w:top w:w="70" w:type="dxa"/>
              <w:left w:w="120" w:type="dxa"/>
              <w:bottom w:w="70" w:type="dxa"/>
              <w:right w:w="100" w:type="dxa"/>
            </w:tcMar>
          </w:tcPr>
          <w:p w14:paraId="5D2A2CAC">
            <w:r>
              <w:rPr>
                <w:b/>
                <w:bCs/>
                <w:color w:val="1F3A5F"/>
                <w:sz w:val="20"/>
                <w:szCs w:val="20"/>
              </w:rPr>
              <w:t>Models</w:t>
            </w:r>
          </w:p>
        </w:tc>
        <w:tc>
          <w:tcPr>
            <w:tcW w:w="7702" w:type="dxa"/>
            <w:tcBorders>
              <w:top w:val="single" w:color="D5DBE5" w:sz="4" w:space="0"/>
              <w:left w:val="single" w:color="D5DBE5" w:sz="4" w:space="0"/>
              <w:bottom w:val="single" w:color="D5DBE5" w:sz="4" w:space="0"/>
              <w:right w:val="single" w:color="D5DBE5" w:sz="4" w:space="0"/>
            </w:tcBorders>
            <w:tcMar>
              <w:top w:w="70" w:type="dxa"/>
              <w:left w:w="120" w:type="dxa"/>
              <w:bottom w:w="70" w:type="dxa"/>
              <w:right w:w="100" w:type="dxa"/>
            </w:tcMar>
          </w:tcPr>
          <w:p w14:paraId="2D1F4658">
            <w:r>
              <w:rPr>
                <w:sz w:val="20"/>
                <w:szCs w:val="20"/>
              </w:rPr>
              <w:t>Multinomial Naive Bayes, Logistic Regression, Linear SVM</w:t>
            </w:r>
          </w:p>
        </w:tc>
      </w:tr>
      <w:tr w14:paraId="33E1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5DBE5" w:sz="4" w:space="0"/>
              <w:left w:val="single" w:color="D5DBE5" w:sz="4" w:space="0"/>
              <w:bottom w:val="single" w:color="D5DBE5" w:sz="4" w:space="0"/>
              <w:right w:val="single" w:color="D5DBE5" w:sz="4" w:space="0"/>
            </w:tcBorders>
            <w:shd w:val="clear" w:color="auto" w:fill="EEF2F8"/>
            <w:tcMar>
              <w:top w:w="70" w:type="dxa"/>
              <w:left w:w="120" w:type="dxa"/>
              <w:bottom w:w="70" w:type="dxa"/>
              <w:right w:w="100" w:type="dxa"/>
            </w:tcMar>
          </w:tcPr>
          <w:p w14:paraId="4D591DB9">
            <w:r>
              <w:rPr>
                <w:b/>
                <w:bCs/>
                <w:color w:val="1F3A5F"/>
                <w:sz w:val="20"/>
                <w:szCs w:val="20"/>
              </w:rPr>
              <w:t>Evaluation</w:t>
            </w:r>
          </w:p>
        </w:tc>
        <w:tc>
          <w:tcPr>
            <w:tcW w:w="7702" w:type="dxa"/>
            <w:tcBorders>
              <w:top w:val="single" w:color="D5DBE5" w:sz="4" w:space="0"/>
              <w:left w:val="single" w:color="D5DBE5" w:sz="4" w:space="0"/>
              <w:bottom w:val="single" w:color="D5DBE5" w:sz="4" w:space="0"/>
              <w:right w:val="single" w:color="D5DBE5" w:sz="4" w:space="0"/>
            </w:tcBorders>
            <w:tcMar>
              <w:top w:w="70" w:type="dxa"/>
              <w:left w:w="120" w:type="dxa"/>
              <w:bottom w:w="70" w:type="dxa"/>
              <w:right w:w="100" w:type="dxa"/>
            </w:tcMar>
          </w:tcPr>
          <w:p w14:paraId="7D2166E8">
            <w:r>
              <w:rPr>
                <w:sz w:val="20"/>
                <w:szCs w:val="20"/>
              </w:rPr>
              <w:t>Stratified 80/20 split (4,135 train, 1,034 test); accuracy, precision, recall, F1-score, confusion matrices</w:t>
            </w:r>
          </w:p>
        </w:tc>
      </w:tr>
      <w:tr w14:paraId="2147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5DBE5" w:sz="4" w:space="0"/>
              <w:left w:val="single" w:color="D5DBE5" w:sz="4" w:space="0"/>
              <w:bottom w:val="single" w:color="D5DBE5" w:sz="4" w:space="0"/>
              <w:right w:val="single" w:color="D5DBE5" w:sz="4" w:space="0"/>
            </w:tcBorders>
            <w:shd w:val="clear" w:color="auto" w:fill="EEF2F8"/>
            <w:tcMar>
              <w:top w:w="70" w:type="dxa"/>
              <w:left w:w="120" w:type="dxa"/>
              <w:bottom w:w="70" w:type="dxa"/>
              <w:right w:w="100" w:type="dxa"/>
            </w:tcMar>
          </w:tcPr>
          <w:p w14:paraId="321317AE">
            <w:r>
              <w:rPr>
                <w:b/>
                <w:bCs/>
                <w:color w:val="1F3A5F"/>
                <w:sz w:val="20"/>
                <w:szCs w:val="20"/>
              </w:rPr>
              <w:t>Tools</w:t>
            </w:r>
          </w:p>
        </w:tc>
        <w:tc>
          <w:tcPr>
            <w:tcW w:w="7702" w:type="dxa"/>
            <w:tcBorders>
              <w:top w:val="single" w:color="D5DBE5" w:sz="4" w:space="0"/>
              <w:left w:val="single" w:color="D5DBE5" w:sz="4" w:space="0"/>
              <w:bottom w:val="single" w:color="D5DBE5" w:sz="4" w:space="0"/>
              <w:right w:val="single" w:color="D5DBE5" w:sz="4" w:space="0"/>
            </w:tcBorders>
            <w:tcMar>
              <w:top w:w="70" w:type="dxa"/>
              <w:left w:w="120" w:type="dxa"/>
              <w:bottom w:w="70" w:type="dxa"/>
              <w:right w:w="100" w:type="dxa"/>
            </w:tcMar>
          </w:tcPr>
          <w:p w14:paraId="64146FE0">
            <w:r>
              <w:rPr>
                <w:sz w:val="20"/>
                <w:szCs w:val="20"/>
              </w:rPr>
              <w:t>Python, pandas, scikit-learn, matplotlib, seaborn, WordCloud</w:t>
            </w:r>
          </w:p>
        </w:tc>
      </w:tr>
    </w:tbl>
    <w:p w14:paraId="39B554AE">
      <w:pPr>
        <w:pStyle w:val="2"/>
        <w:keepNext/>
      </w:pPr>
      <w:r>
        <w:t>Approach</w:t>
      </w:r>
    </w:p>
    <w:p w14:paraId="2FDD3079">
      <w:pPr>
        <w:pStyle w:val="17"/>
        <w:numPr>
          <w:ilvl w:val="0"/>
          <w:numId w:val="1"/>
        </w:numPr>
        <w:spacing w:after="80" w:line="270" w:lineRule="auto"/>
      </w:pPr>
      <w:r>
        <w:rPr>
          <w:b/>
          <w:bCs/>
          <w:color w:val="264653"/>
          <w:sz w:val="21"/>
          <w:szCs w:val="21"/>
        </w:rPr>
        <w:t xml:space="preserve">Data preparation. </w:t>
      </w:r>
      <w:r>
        <w:rPr>
          <w:sz w:val="21"/>
          <w:szCs w:val="21"/>
        </w:rPr>
        <w:t>Removed duplicate records and standardised the text: lowercasing, removing HTML codes, URLs, digits and punctuation, and dropping English stopwords.</w:t>
      </w:r>
    </w:p>
    <w:p w14:paraId="1F6C278B">
      <w:pPr>
        <w:pStyle w:val="17"/>
        <w:numPr>
          <w:ilvl w:val="0"/>
          <w:numId w:val="1"/>
        </w:numPr>
        <w:spacing w:after="80" w:line="270" w:lineRule="auto"/>
      </w:pPr>
      <w:r>
        <w:rPr>
          <w:b/>
          <w:bCs/>
          <w:color w:val="264653"/>
          <w:sz w:val="21"/>
          <w:szCs w:val="21"/>
        </w:rPr>
        <w:t xml:space="preserve">Feature extraction. </w:t>
      </w:r>
      <w:r>
        <w:rPr>
          <w:sz w:val="21"/>
          <w:szCs w:val="21"/>
        </w:rPr>
        <w:t>Converted each message into TF-IDF vectors (unigrams and bigrams). The vectorizer was fitted on training data only, which prevents information leaking from the test set.</w:t>
      </w:r>
    </w:p>
    <w:p w14:paraId="3E08B368">
      <w:pPr>
        <w:pStyle w:val="17"/>
        <w:numPr>
          <w:ilvl w:val="0"/>
          <w:numId w:val="1"/>
        </w:numPr>
        <w:spacing w:after="80" w:line="270" w:lineRule="auto"/>
      </w:pPr>
      <w:r>
        <w:rPr>
          <w:b/>
          <w:bCs/>
          <w:color w:val="264653"/>
          <w:sz w:val="21"/>
          <w:szCs w:val="21"/>
        </w:rPr>
        <w:t xml:space="preserve">Handling class imbalance. </w:t>
      </w:r>
      <w:r>
        <w:rPr>
          <w:sz w:val="21"/>
          <w:szCs w:val="21"/>
        </w:rPr>
        <w:t>A stratified split keeps the 87/13 class ratio in both sets, and class weighting is applied to Logistic Regression and Linear SVM.</w:t>
      </w:r>
    </w:p>
    <w:p w14:paraId="04117586">
      <w:pPr>
        <w:pStyle w:val="17"/>
        <w:numPr>
          <w:ilvl w:val="0"/>
          <w:numId w:val="1"/>
        </w:numPr>
        <w:spacing w:after="80" w:line="270" w:lineRule="auto"/>
      </w:pPr>
      <w:r>
        <w:rPr>
          <w:b/>
          <w:bCs/>
          <w:color w:val="264653"/>
          <w:sz w:val="21"/>
          <w:szCs w:val="21"/>
        </w:rPr>
        <w:t xml:space="preserve">Modelling. </w:t>
      </w:r>
      <w:r>
        <w:rPr>
          <w:sz w:val="21"/>
          <w:szCs w:val="21"/>
        </w:rPr>
        <w:t>Trained Multinomial Naive Bayes, Logistic Regression and Linear SVM on the same features.</w:t>
      </w:r>
    </w:p>
    <w:p w14:paraId="316754D4">
      <w:pPr>
        <w:pStyle w:val="17"/>
        <w:numPr>
          <w:ilvl w:val="0"/>
          <w:numId w:val="1"/>
        </w:numPr>
        <w:spacing w:after="80" w:line="270" w:lineRule="auto"/>
      </w:pPr>
      <w:r>
        <w:rPr>
          <w:b/>
          <w:bCs/>
          <w:color w:val="264653"/>
          <w:sz w:val="21"/>
          <w:szCs w:val="21"/>
        </w:rPr>
        <w:t xml:space="preserve">Evaluation. </w:t>
      </w:r>
      <w:r>
        <w:rPr>
          <w:sz w:val="21"/>
          <w:szCs w:val="21"/>
        </w:rPr>
        <w:t>Compared models on held-out data using precision, recall and F1-score for the spam class, alongside accuracy. A model that labels every message as ham would still score about 87% accuracy, so accuracy alone is not a reliable measure here.</w:t>
      </w:r>
    </w:p>
    <w:p w14:paraId="6C8CF0F9">
      <w:pPr>
        <w:pStyle w:val="2"/>
        <w:keepNext/>
      </w:pPr>
      <w:r>
        <w:t>Results</w:t>
      </w:r>
    </w:p>
    <w:p w14:paraId="7A0CD364">
      <w:pPr>
        <w:keepNext/>
        <w:spacing w:after="100" w:line="276" w:lineRule="auto"/>
      </w:pPr>
      <w:r>
        <w:rPr>
          <w:sz w:val="21"/>
          <w:szCs w:val="21"/>
        </w:rPr>
        <w:t>All three models perform strongly. Linear SVM gives the best balance between catching spam and protecting genuine messages.</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2"/>
        <w:gridCol w:w="1200"/>
        <w:gridCol w:w="1200"/>
        <w:gridCol w:w="1200"/>
        <w:gridCol w:w="1200"/>
        <w:gridCol w:w="1200"/>
        <w:gridCol w:w="1200"/>
      </w:tblGrid>
      <w:tr w14:paraId="3F01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2" w:type="dxa"/>
            <w:tcBorders>
              <w:top w:val="single" w:color="D5DBE5" w:sz="4" w:space="0"/>
              <w:left w:val="single" w:color="D5DBE5" w:sz="4" w:space="0"/>
              <w:bottom w:val="single" w:color="D5DBE5" w:sz="4" w:space="0"/>
              <w:right w:val="single" w:color="D5DBE5" w:sz="4" w:space="0"/>
            </w:tcBorders>
            <w:shd w:val="clear" w:color="auto" w:fill="1F3A5F"/>
            <w:tcMar>
              <w:top w:w="80" w:type="dxa"/>
              <w:left w:w="100" w:type="dxa"/>
              <w:bottom w:w="80" w:type="dxa"/>
              <w:right w:w="100" w:type="dxa"/>
            </w:tcMar>
          </w:tcPr>
          <w:p w14:paraId="0CA0BBA6">
            <w:pPr>
              <w:jc w:val="left"/>
            </w:pPr>
            <w:r>
              <w:rPr>
                <w:b/>
                <w:bCs/>
                <w:color w:val="FFFFFF"/>
                <w:sz w:val="20"/>
                <w:szCs w:val="20"/>
              </w:rPr>
              <w:t>Model</w:t>
            </w:r>
          </w:p>
        </w:tc>
        <w:tc>
          <w:tcPr>
            <w:tcW w:w="1200" w:type="dxa"/>
            <w:tcBorders>
              <w:top w:val="single" w:color="D5DBE5" w:sz="4" w:space="0"/>
              <w:left w:val="single" w:color="D5DBE5" w:sz="4" w:space="0"/>
              <w:bottom w:val="single" w:color="D5DBE5" w:sz="4" w:space="0"/>
              <w:right w:val="single" w:color="D5DBE5" w:sz="4" w:space="0"/>
            </w:tcBorders>
            <w:shd w:val="clear" w:color="auto" w:fill="1F3A5F"/>
            <w:tcMar>
              <w:top w:w="80" w:type="dxa"/>
              <w:left w:w="100" w:type="dxa"/>
              <w:bottom w:w="80" w:type="dxa"/>
              <w:right w:w="100" w:type="dxa"/>
            </w:tcMar>
          </w:tcPr>
          <w:p w14:paraId="1A89FCA0">
            <w:pPr>
              <w:jc w:val="center"/>
            </w:pPr>
            <w:r>
              <w:rPr>
                <w:b/>
                <w:bCs/>
                <w:color w:val="FFFFFF"/>
                <w:sz w:val="20"/>
                <w:szCs w:val="20"/>
              </w:rPr>
              <w:t>Accuracy</w:t>
            </w:r>
          </w:p>
        </w:tc>
        <w:tc>
          <w:tcPr>
            <w:tcW w:w="1200" w:type="dxa"/>
            <w:tcBorders>
              <w:top w:val="single" w:color="D5DBE5" w:sz="4" w:space="0"/>
              <w:left w:val="single" w:color="D5DBE5" w:sz="4" w:space="0"/>
              <w:bottom w:val="single" w:color="D5DBE5" w:sz="4" w:space="0"/>
              <w:right w:val="single" w:color="D5DBE5" w:sz="4" w:space="0"/>
            </w:tcBorders>
            <w:shd w:val="clear" w:color="auto" w:fill="1F3A5F"/>
            <w:tcMar>
              <w:top w:w="80" w:type="dxa"/>
              <w:left w:w="100" w:type="dxa"/>
              <w:bottom w:w="80" w:type="dxa"/>
              <w:right w:w="100" w:type="dxa"/>
            </w:tcMar>
          </w:tcPr>
          <w:p w14:paraId="49F89284">
            <w:pPr>
              <w:jc w:val="center"/>
            </w:pPr>
            <w:r>
              <w:rPr>
                <w:b/>
                <w:bCs/>
                <w:color w:val="FFFFFF"/>
                <w:sz w:val="20"/>
                <w:szCs w:val="20"/>
              </w:rPr>
              <w:t>Precision</w:t>
            </w:r>
          </w:p>
        </w:tc>
        <w:tc>
          <w:tcPr>
            <w:tcW w:w="1200" w:type="dxa"/>
            <w:tcBorders>
              <w:top w:val="single" w:color="D5DBE5" w:sz="4" w:space="0"/>
              <w:left w:val="single" w:color="D5DBE5" w:sz="4" w:space="0"/>
              <w:bottom w:val="single" w:color="D5DBE5" w:sz="4" w:space="0"/>
              <w:right w:val="single" w:color="D5DBE5" w:sz="4" w:space="0"/>
            </w:tcBorders>
            <w:shd w:val="clear" w:color="auto" w:fill="1F3A5F"/>
            <w:tcMar>
              <w:top w:w="80" w:type="dxa"/>
              <w:left w:w="100" w:type="dxa"/>
              <w:bottom w:w="80" w:type="dxa"/>
              <w:right w:w="100" w:type="dxa"/>
            </w:tcMar>
          </w:tcPr>
          <w:p w14:paraId="73FEE3F2">
            <w:pPr>
              <w:jc w:val="center"/>
            </w:pPr>
            <w:r>
              <w:rPr>
                <w:b/>
                <w:bCs/>
                <w:color w:val="FFFFFF"/>
                <w:sz w:val="20"/>
                <w:szCs w:val="20"/>
              </w:rPr>
              <w:t>Recall</w:t>
            </w:r>
          </w:p>
        </w:tc>
        <w:tc>
          <w:tcPr>
            <w:tcW w:w="1200" w:type="dxa"/>
            <w:tcBorders>
              <w:top w:val="single" w:color="D5DBE5" w:sz="4" w:space="0"/>
              <w:left w:val="single" w:color="D5DBE5" w:sz="4" w:space="0"/>
              <w:bottom w:val="single" w:color="D5DBE5" w:sz="4" w:space="0"/>
              <w:right w:val="single" w:color="D5DBE5" w:sz="4" w:space="0"/>
            </w:tcBorders>
            <w:shd w:val="clear" w:color="auto" w:fill="1F3A5F"/>
            <w:tcMar>
              <w:top w:w="80" w:type="dxa"/>
              <w:left w:w="100" w:type="dxa"/>
              <w:bottom w:w="80" w:type="dxa"/>
              <w:right w:w="100" w:type="dxa"/>
            </w:tcMar>
          </w:tcPr>
          <w:p w14:paraId="1F65CB88">
            <w:pPr>
              <w:jc w:val="center"/>
            </w:pPr>
            <w:r>
              <w:rPr>
                <w:b/>
                <w:bCs/>
                <w:color w:val="FFFFFF"/>
                <w:sz w:val="20"/>
                <w:szCs w:val="20"/>
              </w:rPr>
              <w:t>F1-score</w:t>
            </w:r>
          </w:p>
        </w:tc>
        <w:tc>
          <w:tcPr>
            <w:tcW w:w="1200" w:type="dxa"/>
            <w:tcBorders>
              <w:top w:val="single" w:color="D5DBE5" w:sz="4" w:space="0"/>
              <w:left w:val="single" w:color="D5DBE5" w:sz="4" w:space="0"/>
              <w:bottom w:val="single" w:color="D5DBE5" w:sz="4" w:space="0"/>
              <w:right w:val="single" w:color="D5DBE5" w:sz="4" w:space="0"/>
            </w:tcBorders>
            <w:shd w:val="clear" w:color="auto" w:fill="1F3A5F"/>
            <w:tcMar>
              <w:top w:w="80" w:type="dxa"/>
              <w:left w:w="100" w:type="dxa"/>
              <w:bottom w:w="80" w:type="dxa"/>
              <w:right w:w="100" w:type="dxa"/>
            </w:tcMar>
          </w:tcPr>
          <w:p w14:paraId="29C14A75">
            <w:pPr>
              <w:jc w:val="center"/>
            </w:pPr>
            <w:r>
              <w:rPr>
                <w:b/>
                <w:bCs/>
                <w:color w:val="FFFFFF"/>
                <w:sz w:val="20"/>
                <w:szCs w:val="20"/>
              </w:rPr>
              <w:t>Spam missed</w:t>
            </w:r>
          </w:p>
        </w:tc>
        <w:tc>
          <w:tcPr>
            <w:tcW w:w="1200" w:type="dxa"/>
            <w:tcBorders>
              <w:top w:val="single" w:color="D5DBE5" w:sz="4" w:space="0"/>
              <w:left w:val="single" w:color="D5DBE5" w:sz="4" w:space="0"/>
              <w:bottom w:val="single" w:color="D5DBE5" w:sz="4" w:space="0"/>
              <w:right w:val="single" w:color="D5DBE5" w:sz="4" w:space="0"/>
            </w:tcBorders>
            <w:shd w:val="clear" w:color="auto" w:fill="1F3A5F"/>
            <w:tcMar>
              <w:top w:w="80" w:type="dxa"/>
              <w:left w:w="100" w:type="dxa"/>
              <w:bottom w:w="80" w:type="dxa"/>
              <w:right w:w="100" w:type="dxa"/>
            </w:tcMar>
          </w:tcPr>
          <w:p w14:paraId="54EE092D">
            <w:pPr>
              <w:jc w:val="center"/>
            </w:pPr>
            <w:r>
              <w:rPr>
                <w:b/>
                <w:bCs/>
                <w:color w:val="FFFFFF"/>
                <w:sz w:val="20"/>
                <w:szCs w:val="20"/>
              </w:rPr>
              <w:t>False alarms</w:t>
            </w:r>
          </w:p>
        </w:tc>
      </w:tr>
      <w:tr w14:paraId="70DD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2"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5DADDEAC">
            <w:pPr>
              <w:jc w:val="left"/>
            </w:pPr>
            <w:r>
              <w:rPr>
                <w:sz w:val="20"/>
                <w:szCs w:val="20"/>
              </w:rPr>
              <w:t>Multinomial Naive Bayes</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55EFADDF">
            <w:pPr>
              <w:jc w:val="center"/>
            </w:pPr>
            <w:r>
              <w:rPr>
                <w:sz w:val="20"/>
                <w:szCs w:val="20"/>
              </w:rPr>
              <w:t>0.9816</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6D4BF9F2">
            <w:pPr>
              <w:jc w:val="center"/>
            </w:pPr>
            <w:r>
              <w:rPr>
                <w:sz w:val="20"/>
                <w:szCs w:val="20"/>
              </w:rPr>
              <w:t>0.9590</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092B8F53">
            <w:pPr>
              <w:jc w:val="center"/>
            </w:pPr>
            <w:r>
              <w:rPr>
                <w:sz w:val="20"/>
                <w:szCs w:val="20"/>
              </w:rPr>
              <w:t>0.8931</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21C47A39">
            <w:pPr>
              <w:jc w:val="center"/>
            </w:pPr>
            <w:r>
              <w:rPr>
                <w:sz w:val="20"/>
                <w:szCs w:val="20"/>
              </w:rPr>
              <w:t>0.9249</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03971898">
            <w:pPr>
              <w:jc w:val="center"/>
            </w:pPr>
            <w:r>
              <w:rPr>
                <w:sz w:val="20"/>
                <w:szCs w:val="20"/>
              </w:rPr>
              <w:t>14</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4C29EB54">
            <w:pPr>
              <w:jc w:val="center"/>
            </w:pPr>
            <w:r>
              <w:rPr>
                <w:sz w:val="20"/>
                <w:szCs w:val="20"/>
              </w:rPr>
              <w:t>5</w:t>
            </w:r>
          </w:p>
        </w:tc>
      </w:tr>
      <w:tr w14:paraId="0201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2"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24EA2078">
            <w:pPr>
              <w:jc w:val="left"/>
            </w:pPr>
            <w:r>
              <w:rPr>
                <w:sz w:val="20"/>
                <w:szCs w:val="20"/>
              </w:rPr>
              <w:t>Logistic Regression</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39A111C7">
            <w:pPr>
              <w:jc w:val="center"/>
            </w:pPr>
            <w:r>
              <w:rPr>
                <w:sz w:val="20"/>
                <w:szCs w:val="20"/>
              </w:rPr>
              <w:t>0.9739</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07FEA641">
            <w:pPr>
              <w:jc w:val="center"/>
            </w:pPr>
            <w:r>
              <w:rPr>
                <w:sz w:val="20"/>
                <w:szCs w:val="20"/>
              </w:rPr>
              <w:t>0.8824</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08E5CE29">
            <w:pPr>
              <w:jc w:val="center"/>
            </w:pPr>
            <w:r>
              <w:rPr>
                <w:sz w:val="20"/>
                <w:szCs w:val="20"/>
              </w:rPr>
              <w:t>0.9160</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26589D26">
            <w:pPr>
              <w:jc w:val="center"/>
            </w:pPr>
            <w:r>
              <w:rPr>
                <w:sz w:val="20"/>
                <w:szCs w:val="20"/>
              </w:rPr>
              <w:t>0.8989</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211F7D8A">
            <w:pPr>
              <w:jc w:val="center"/>
            </w:pPr>
            <w:r>
              <w:rPr>
                <w:sz w:val="20"/>
                <w:szCs w:val="20"/>
              </w:rPr>
              <w:t>11</w:t>
            </w:r>
          </w:p>
        </w:tc>
        <w:tc>
          <w:tcPr>
            <w:tcW w:w="1200" w:type="dxa"/>
            <w:tcBorders>
              <w:top w:val="single" w:color="D5DBE5" w:sz="4" w:space="0"/>
              <w:left w:val="single" w:color="D5DBE5" w:sz="4" w:space="0"/>
              <w:bottom w:val="single" w:color="D5DBE5" w:sz="4" w:space="0"/>
              <w:right w:val="single" w:color="D5DBE5" w:sz="4" w:space="0"/>
            </w:tcBorders>
            <w:tcMar>
              <w:top w:w="80" w:type="dxa"/>
              <w:left w:w="100" w:type="dxa"/>
              <w:bottom w:w="80" w:type="dxa"/>
              <w:right w:w="100" w:type="dxa"/>
            </w:tcMar>
          </w:tcPr>
          <w:p w14:paraId="06CAFD27">
            <w:pPr>
              <w:jc w:val="center"/>
            </w:pPr>
            <w:r>
              <w:rPr>
                <w:sz w:val="20"/>
                <w:szCs w:val="20"/>
              </w:rPr>
              <w:t>16</w:t>
            </w:r>
          </w:p>
        </w:tc>
      </w:tr>
      <w:tr w14:paraId="3082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2" w:type="dxa"/>
            <w:tcBorders>
              <w:top w:val="single" w:color="D5DBE5" w:sz="4" w:space="0"/>
              <w:left w:val="single" w:color="D5DBE5" w:sz="4" w:space="0"/>
              <w:bottom w:val="single" w:color="D5DBE5" w:sz="4" w:space="0"/>
              <w:right w:val="single" w:color="D5DBE5" w:sz="4" w:space="0"/>
            </w:tcBorders>
            <w:shd w:val="clear" w:color="auto" w:fill="F6EFD2"/>
            <w:tcMar>
              <w:top w:w="80" w:type="dxa"/>
              <w:left w:w="100" w:type="dxa"/>
              <w:bottom w:w="80" w:type="dxa"/>
              <w:right w:w="100" w:type="dxa"/>
            </w:tcMar>
          </w:tcPr>
          <w:p w14:paraId="07DA8A88">
            <w:pPr>
              <w:jc w:val="left"/>
            </w:pPr>
            <w:r>
              <w:rPr>
                <w:b/>
                <w:bCs/>
                <w:sz w:val="20"/>
                <w:szCs w:val="20"/>
              </w:rPr>
              <w:t>Linear SVM</w:t>
            </w:r>
          </w:p>
        </w:tc>
        <w:tc>
          <w:tcPr>
            <w:tcW w:w="1200" w:type="dxa"/>
            <w:tcBorders>
              <w:top w:val="single" w:color="D5DBE5" w:sz="4" w:space="0"/>
              <w:left w:val="single" w:color="D5DBE5" w:sz="4" w:space="0"/>
              <w:bottom w:val="single" w:color="D5DBE5" w:sz="4" w:space="0"/>
              <w:right w:val="single" w:color="D5DBE5" w:sz="4" w:space="0"/>
            </w:tcBorders>
            <w:shd w:val="clear" w:color="auto" w:fill="F6EFD2"/>
            <w:tcMar>
              <w:top w:w="80" w:type="dxa"/>
              <w:left w:w="100" w:type="dxa"/>
              <w:bottom w:w="80" w:type="dxa"/>
              <w:right w:w="100" w:type="dxa"/>
            </w:tcMar>
          </w:tcPr>
          <w:p w14:paraId="13DB38EB">
            <w:pPr>
              <w:jc w:val="center"/>
            </w:pPr>
            <w:r>
              <w:rPr>
                <w:b/>
                <w:bCs/>
                <w:sz w:val="20"/>
                <w:szCs w:val="20"/>
              </w:rPr>
              <w:t>0.9816</w:t>
            </w:r>
          </w:p>
        </w:tc>
        <w:tc>
          <w:tcPr>
            <w:tcW w:w="1200" w:type="dxa"/>
            <w:tcBorders>
              <w:top w:val="single" w:color="D5DBE5" w:sz="4" w:space="0"/>
              <w:left w:val="single" w:color="D5DBE5" w:sz="4" w:space="0"/>
              <w:bottom w:val="single" w:color="D5DBE5" w:sz="4" w:space="0"/>
              <w:right w:val="single" w:color="D5DBE5" w:sz="4" w:space="0"/>
            </w:tcBorders>
            <w:shd w:val="clear" w:color="auto" w:fill="F6EFD2"/>
            <w:tcMar>
              <w:top w:w="80" w:type="dxa"/>
              <w:left w:w="100" w:type="dxa"/>
              <w:bottom w:w="80" w:type="dxa"/>
              <w:right w:w="100" w:type="dxa"/>
            </w:tcMar>
          </w:tcPr>
          <w:p w14:paraId="389D4D11">
            <w:pPr>
              <w:jc w:val="center"/>
            </w:pPr>
            <w:r>
              <w:rPr>
                <w:b/>
                <w:bCs/>
                <w:sz w:val="20"/>
                <w:szCs w:val="20"/>
              </w:rPr>
              <w:t>0.9308</w:t>
            </w:r>
          </w:p>
        </w:tc>
        <w:tc>
          <w:tcPr>
            <w:tcW w:w="1200" w:type="dxa"/>
            <w:tcBorders>
              <w:top w:val="single" w:color="D5DBE5" w:sz="4" w:space="0"/>
              <w:left w:val="single" w:color="D5DBE5" w:sz="4" w:space="0"/>
              <w:bottom w:val="single" w:color="D5DBE5" w:sz="4" w:space="0"/>
              <w:right w:val="single" w:color="D5DBE5" w:sz="4" w:space="0"/>
            </w:tcBorders>
            <w:shd w:val="clear" w:color="auto" w:fill="F6EFD2"/>
            <w:tcMar>
              <w:top w:w="80" w:type="dxa"/>
              <w:left w:w="100" w:type="dxa"/>
              <w:bottom w:w="80" w:type="dxa"/>
              <w:right w:w="100" w:type="dxa"/>
            </w:tcMar>
          </w:tcPr>
          <w:p w14:paraId="3EC7D450">
            <w:pPr>
              <w:jc w:val="center"/>
            </w:pPr>
            <w:r>
              <w:rPr>
                <w:b/>
                <w:bCs/>
                <w:sz w:val="20"/>
                <w:szCs w:val="20"/>
              </w:rPr>
              <w:t>0.9237</w:t>
            </w:r>
          </w:p>
        </w:tc>
        <w:tc>
          <w:tcPr>
            <w:tcW w:w="1200" w:type="dxa"/>
            <w:tcBorders>
              <w:top w:val="single" w:color="D5DBE5" w:sz="4" w:space="0"/>
              <w:left w:val="single" w:color="D5DBE5" w:sz="4" w:space="0"/>
              <w:bottom w:val="single" w:color="D5DBE5" w:sz="4" w:space="0"/>
              <w:right w:val="single" w:color="D5DBE5" w:sz="4" w:space="0"/>
            </w:tcBorders>
            <w:shd w:val="clear" w:color="auto" w:fill="F6EFD2"/>
            <w:tcMar>
              <w:top w:w="80" w:type="dxa"/>
              <w:left w:w="100" w:type="dxa"/>
              <w:bottom w:w="80" w:type="dxa"/>
              <w:right w:w="100" w:type="dxa"/>
            </w:tcMar>
          </w:tcPr>
          <w:p w14:paraId="44ABC08D">
            <w:pPr>
              <w:jc w:val="center"/>
            </w:pPr>
            <w:r>
              <w:rPr>
                <w:b/>
                <w:bCs/>
                <w:sz w:val="20"/>
                <w:szCs w:val="20"/>
              </w:rPr>
              <w:t>0.9272</w:t>
            </w:r>
          </w:p>
        </w:tc>
        <w:tc>
          <w:tcPr>
            <w:tcW w:w="1200" w:type="dxa"/>
            <w:tcBorders>
              <w:top w:val="single" w:color="D5DBE5" w:sz="4" w:space="0"/>
              <w:left w:val="single" w:color="D5DBE5" w:sz="4" w:space="0"/>
              <w:bottom w:val="single" w:color="D5DBE5" w:sz="4" w:space="0"/>
              <w:right w:val="single" w:color="D5DBE5" w:sz="4" w:space="0"/>
            </w:tcBorders>
            <w:shd w:val="clear" w:color="auto" w:fill="F6EFD2"/>
            <w:tcMar>
              <w:top w:w="80" w:type="dxa"/>
              <w:left w:w="100" w:type="dxa"/>
              <w:bottom w:w="80" w:type="dxa"/>
              <w:right w:w="100" w:type="dxa"/>
            </w:tcMar>
          </w:tcPr>
          <w:p w14:paraId="1D54E985">
            <w:pPr>
              <w:jc w:val="center"/>
            </w:pPr>
            <w:r>
              <w:rPr>
                <w:b/>
                <w:bCs/>
                <w:sz w:val="20"/>
                <w:szCs w:val="20"/>
              </w:rPr>
              <w:t>10</w:t>
            </w:r>
          </w:p>
        </w:tc>
        <w:tc>
          <w:tcPr>
            <w:tcW w:w="1200" w:type="dxa"/>
            <w:tcBorders>
              <w:top w:val="single" w:color="D5DBE5" w:sz="4" w:space="0"/>
              <w:left w:val="single" w:color="D5DBE5" w:sz="4" w:space="0"/>
              <w:bottom w:val="single" w:color="D5DBE5" w:sz="4" w:space="0"/>
              <w:right w:val="single" w:color="D5DBE5" w:sz="4" w:space="0"/>
            </w:tcBorders>
            <w:shd w:val="clear" w:color="auto" w:fill="F6EFD2"/>
            <w:tcMar>
              <w:top w:w="80" w:type="dxa"/>
              <w:left w:w="100" w:type="dxa"/>
              <w:bottom w:w="80" w:type="dxa"/>
              <w:right w:w="100" w:type="dxa"/>
            </w:tcMar>
          </w:tcPr>
          <w:p w14:paraId="2FD4CE31">
            <w:pPr>
              <w:jc w:val="center"/>
            </w:pPr>
            <w:r>
              <w:rPr>
                <w:b/>
                <w:bCs/>
                <w:sz w:val="20"/>
                <w:szCs w:val="20"/>
              </w:rPr>
              <w:t>9</w:t>
            </w:r>
          </w:p>
        </w:tc>
      </w:tr>
    </w:tbl>
    <w:p w14:paraId="76167CA5">
      <w:pPr>
        <w:spacing w:after="140"/>
        <w:jc w:val="center"/>
      </w:pPr>
      <w:r>
        <w:rPr>
          <w:i/>
          <w:iCs/>
          <w:color w:val="2A9D8F"/>
          <w:sz w:val="18"/>
          <w:szCs w:val="18"/>
        </w:rPr>
        <w:t>Test set of 1,034 messages (131 spam, 903 legitimate). Spam missed = spam delivered as ham; false alarms = legitimate messages flagged as spam.</w:t>
      </w:r>
    </w:p>
    <w:p w14:paraId="7A4CCD57">
      <w:pPr>
        <w:keepNext/>
        <w:spacing w:before="60" w:after="40"/>
        <w:jc w:val="center"/>
      </w:pPr>
      <w:r>
        <w:drawing>
          <wp:inline distT="0" distB="0" distL="0" distR="0">
            <wp:extent cx="5524500" cy="2552700"/>
            <wp:effectExtent l="0" t="0" r="0" b="0"/>
            <wp:docPr id="1" name="Bar chart comparing accuracy, precision, recall and F1-score for the three models" descr="Bar chart comparing accuracy, precision, recall and F1-score for the three models" title="Bar chart comparing accuracy, precision, recall and F1-score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r chart comparing accuracy, precision, recall and F1-score for the three models" descr="Bar chart comparing accuracy, precision, recall and F1-score for the three models" title="Bar chart comparing accuracy, precision, recall and F1-score for the three models"/>
                    <pic:cNvPicPr>
                      <a:picLocks noChangeAspect="1" noChangeArrowheads="1"/>
                    </pic:cNvPicPr>
                  </pic:nvPicPr>
                  <pic:blipFill>
                    <a:blip r:embed="rId5"/>
                    <a:srcRect/>
                    <a:stretch>
                      <a:fillRect/>
                    </a:stretch>
                  </pic:blipFill>
                  <pic:spPr>
                    <a:xfrm>
                      <a:off x="0" y="0"/>
                      <a:ext cx="5524500" cy="2552700"/>
                    </a:xfrm>
                    <a:prstGeom prst="rect">
                      <a:avLst/>
                    </a:prstGeom>
                  </pic:spPr>
                </pic:pic>
              </a:graphicData>
            </a:graphic>
          </wp:inline>
        </w:drawing>
      </w:r>
    </w:p>
    <w:p w14:paraId="261D4FBC">
      <w:pPr>
        <w:spacing w:after="140"/>
        <w:jc w:val="center"/>
      </w:pPr>
      <w:r>
        <w:rPr>
          <w:i/>
          <w:iCs/>
          <w:color w:val="2A9D8F"/>
          <w:sz w:val="18"/>
          <w:szCs w:val="18"/>
        </w:rPr>
        <w:t>Model comparison on the held-out test set</w:t>
      </w:r>
    </w:p>
    <w:p w14:paraId="4CAD9A0B">
      <w:pPr>
        <w:keepNext/>
        <w:spacing w:before="60" w:after="40"/>
        <w:jc w:val="center"/>
      </w:pPr>
      <w:r>
        <w:drawing>
          <wp:inline distT="0" distB="0" distL="0" distR="0">
            <wp:extent cx="6096000" cy="1581150"/>
            <wp:effectExtent l="0" t="0" r="0" b="0"/>
            <wp:docPr id="2" name="Confusion matrices for the three models" descr="Confusion matrices for the three models" title="Confusion matrices for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usion matrices for the three models" descr="Confusion matrices for the three models" title="Confusion matrices for the three models"/>
                    <pic:cNvPicPr>
                      <a:picLocks noChangeAspect="1" noChangeArrowheads="1"/>
                    </pic:cNvPicPr>
                  </pic:nvPicPr>
                  <pic:blipFill>
                    <a:blip r:embed="rId6"/>
                    <a:srcRect/>
                    <a:stretch>
                      <a:fillRect/>
                    </a:stretch>
                  </pic:blipFill>
                  <pic:spPr>
                    <a:xfrm>
                      <a:off x="0" y="0"/>
                      <a:ext cx="6096000" cy="1581150"/>
                    </a:xfrm>
                    <a:prstGeom prst="rect">
                      <a:avLst/>
                    </a:prstGeom>
                  </pic:spPr>
                </pic:pic>
              </a:graphicData>
            </a:graphic>
          </wp:inline>
        </w:drawing>
      </w:r>
    </w:p>
    <w:p w14:paraId="2539B450">
      <w:pPr>
        <w:spacing w:after="140"/>
        <w:jc w:val="center"/>
      </w:pPr>
      <w:r>
        <w:rPr>
          <w:i/>
          <w:iCs/>
          <w:color w:val="2A9D8F"/>
          <w:sz w:val="18"/>
          <w:szCs w:val="18"/>
        </w:rPr>
        <w:t>Confusion matrices for each model</w:t>
      </w:r>
    </w:p>
    <w:p w14:paraId="42551411">
      <w:pPr>
        <w:pStyle w:val="2"/>
        <w:keepNext/>
      </w:pPr>
      <w:r>
        <w:t>Key Findings</w:t>
      </w:r>
    </w:p>
    <w:p w14:paraId="16609DF7">
      <w:pPr>
        <w:pStyle w:val="17"/>
        <w:numPr>
          <w:ilvl w:val="0"/>
          <w:numId w:val="2"/>
        </w:numPr>
        <w:spacing w:after="70" w:line="270" w:lineRule="auto"/>
      </w:pPr>
      <w:r>
        <w:rPr>
          <w:b/>
          <w:bCs/>
          <w:color w:val="264653"/>
          <w:sz w:val="21"/>
          <w:szCs w:val="21"/>
        </w:rPr>
        <w:t xml:space="preserve">Linear SVM: </w:t>
      </w:r>
      <w:r>
        <w:rPr>
          <w:sz w:val="21"/>
          <w:szCs w:val="21"/>
        </w:rPr>
        <w:t>best overall, with the highest F1-score (0.927). It caught 121 of 131 spam messages and wrongly flagged 9 of 903 legitimate ones.</w:t>
      </w:r>
    </w:p>
    <w:p w14:paraId="6E070D7A">
      <w:pPr>
        <w:pStyle w:val="17"/>
        <w:numPr>
          <w:ilvl w:val="0"/>
          <w:numId w:val="2"/>
        </w:numPr>
        <w:spacing w:after="70" w:line="270" w:lineRule="auto"/>
      </w:pPr>
      <w:r>
        <w:rPr>
          <w:b/>
          <w:bCs/>
          <w:color w:val="264653"/>
          <w:sz w:val="21"/>
          <w:szCs w:val="21"/>
        </w:rPr>
        <w:t xml:space="preserve">Multinomial Naive Bayes: </w:t>
      </w:r>
      <w:r>
        <w:rPr>
          <w:sz w:val="21"/>
          <w:szCs w:val="21"/>
        </w:rPr>
        <w:t>the most cautious model. It has the highest precision (0.959) and flagged only 5 legitimate messages, but it missed 14 spam messages, the lowest recall (0.893).</w:t>
      </w:r>
    </w:p>
    <w:p w14:paraId="7341D062">
      <w:pPr>
        <w:pStyle w:val="17"/>
        <w:numPr>
          <w:ilvl w:val="0"/>
          <w:numId w:val="2"/>
        </w:numPr>
        <w:spacing w:after="70" w:line="270" w:lineRule="auto"/>
      </w:pPr>
      <w:r>
        <w:rPr>
          <w:b/>
          <w:bCs/>
          <w:color w:val="264653"/>
          <w:sz w:val="21"/>
          <w:szCs w:val="21"/>
        </w:rPr>
        <w:t xml:space="preserve">Logistic Regression: </w:t>
      </w:r>
      <w:r>
        <w:rPr>
          <w:sz w:val="21"/>
          <w:szCs w:val="21"/>
        </w:rPr>
        <w:t>flagged the most legitimate messages (16), giving the lowest precision (0.882).</w:t>
      </w:r>
    </w:p>
    <w:p w14:paraId="32813008">
      <w:pPr>
        <w:pStyle w:val="17"/>
        <w:numPr>
          <w:ilvl w:val="0"/>
          <w:numId w:val="2"/>
        </w:numPr>
        <w:spacing w:after="70" w:line="270" w:lineRule="auto"/>
      </w:pPr>
      <w:r>
        <w:rPr>
          <w:b/>
          <w:bCs/>
          <w:color w:val="264653"/>
          <w:sz w:val="21"/>
          <w:szCs w:val="21"/>
        </w:rPr>
        <w:t xml:space="preserve">Choosing a model: </w:t>
      </w:r>
      <w:r>
        <w:rPr>
          <w:sz w:val="21"/>
          <w:szCs w:val="21"/>
        </w:rPr>
        <w:t>the right choice depends on which error costs more. Where blocking a genuine message is the bigger risk, Naive Bayes is the safer option. Where missed spam is the bigger risk, Linear SVM is preferable.</w:t>
      </w:r>
    </w:p>
    <w:p w14:paraId="3230D90A">
      <w:pPr>
        <w:pStyle w:val="2"/>
        <w:keepNext/>
      </w:pPr>
      <w:r>
        <w:t>Why Recall Matters in Spam Detection</w:t>
      </w:r>
    </w:p>
    <w:p w14:paraId="10EDACB8">
      <w:pPr>
        <w:spacing w:after="100" w:line="276" w:lineRule="auto"/>
      </w:pPr>
      <w:r>
        <w:rPr>
          <w:sz w:val="21"/>
          <w:szCs w:val="21"/>
        </w:rPr>
        <w:t>Recall is the share of real spam that the filter catches. Low recall lets phishing and scam messages reach the inbox, which defeats the purpose of the filter. Precision protects the oppo</w:t>
      </w:r>
      <w:bookmarkStart w:id="0" w:name="_GoBack"/>
      <w:bookmarkEnd w:id="0"/>
      <w:r>
        <w:rPr>
          <w:sz w:val="21"/>
          <w:szCs w:val="21"/>
        </w:rPr>
        <w:t>site side: genuine messages that should not be hidden. The F1-score summarises both. Because spam is the minority class, recall on the spam class gives a more honest picture of filter quality than overall accuracy.</w:t>
      </w:r>
    </w:p>
    <w:p w14:paraId="51907260">
      <w:pPr>
        <w:pStyle w:val="2"/>
        <w:keepNext/>
      </w:pPr>
      <w:r>
        <w:t>What the Data Shows</w:t>
      </w:r>
    </w:p>
    <w:p w14:paraId="2782DB91">
      <w:pPr>
        <w:keepNext/>
        <w:spacing w:after="100" w:line="276" w:lineRule="auto"/>
      </w:pPr>
      <w:r>
        <w:rPr>
          <w:sz w:val="21"/>
          <w:szCs w:val="21"/>
        </w:rPr>
        <w:t>Spam messages are dominated by promotional and call-to-action vocabulary such as free, win, claim, prize, stop and reply. Legitimate messages use everyday conversational language. This clear difference in vocabulary is what the TF-IDF features capture.</w:t>
      </w:r>
    </w:p>
    <w:p w14:paraId="296B00D9">
      <w:pPr>
        <w:keepNext/>
        <w:spacing w:before="60" w:after="40"/>
        <w:jc w:val="center"/>
      </w:pPr>
      <w:r>
        <w:drawing>
          <wp:inline distT="0" distB="0" distL="0" distR="0">
            <wp:extent cx="6096000" cy="1847850"/>
            <wp:effectExtent l="0" t="0" r="0" b="0"/>
            <wp:docPr id="3" name="Word clouds of the most frequent words in spam and legitimate messages" descr="Word clouds of the most frequent words in spam and legitimate messages" title="Word clouds of the most frequent words in spam and legitimat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 clouds of the most frequent words in spam and legitimate messages" descr="Word clouds of the most frequent words in spam and legitimate messages" title="Word clouds of the most frequent words in spam and legitimate messages"/>
                    <pic:cNvPicPr>
                      <a:picLocks noChangeAspect="1" noChangeArrowheads="1"/>
                    </pic:cNvPicPr>
                  </pic:nvPicPr>
                  <pic:blipFill>
                    <a:blip r:embed="rId7"/>
                    <a:srcRect/>
                    <a:stretch>
                      <a:fillRect/>
                    </a:stretch>
                  </pic:blipFill>
                  <pic:spPr>
                    <a:xfrm>
                      <a:off x="0" y="0"/>
                      <a:ext cx="6096000" cy="1847850"/>
                    </a:xfrm>
                    <a:prstGeom prst="rect">
                      <a:avLst/>
                    </a:prstGeom>
                  </pic:spPr>
                </pic:pic>
              </a:graphicData>
            </a:graphic>
          </wp:inline>
        </w:drawing>
      </w:r>
    </w:p>
    <w:p w14:paraId="15DFE599">
      <w:pPr>
        <w:spacing w:after="140"/>
        <w:jc w:val="center"/>
      </w:pPr>
      <w:r>
        <w:rPr>
          <w:i/>
          <w:iCs/>
          <w:color w:val="2A9D8F"/>
          <w:sz w:val="18"/>
          <w:szCs w:val="18"/>
        </w:rPr>
        <w:t>Most frequent words after cleaning: spam (left) and legitimate messages (right)</w:t>
      </w:r>
    </w:p>
    <w:p w14:paraId="7194CAE1">
      <w:pPr>
        <w:pStyle w:val="2"/>
        <w:keepNext/>
      </w:pPr>
      <w:r>
        <w:t>Skills Demonstrated</w:t>
      </w:r>
    </w:p>
    <w:p w14:paraId="7E7A4EB8">
      <w:pPr>
        <w:pStyle w:val="17"/>
        <w:numPr>
          <w:ilvl w:val="0"/>
          <w:numId w:val="2"/>
        </w:numPr>
        <w:spacing w:after="70" w:line="270" w:lineRule="auto"/>
      </w:pPr>
      <w:r>
        <w:rPr>
          <w:sz w:val="21"/>
          <w:szCs w:val="21"/>
        </w:rPr>
        <w:t>Text preprocessing and NLP feature engineering with TF-IDF</w:t>
      </w:r>
    </w:p>
    <w:p w14:paraId="4667BC51">
      <w:pPr>
        <w:pStyle w:val="17"/>
        <w:numPr>
          <w:ilvl w:val="0"/>
          <w:numId w:val="2"/>
        </w:numPr>
        <w:spacing w:after="70" w:line="270" w:lineRule="auto"/>
      </w:pPr>
      <w:r>
        <w:rPr>
          <w:sz w:val="21"/>
          <w:szCs w:val="21"/>
        </w:rPr>
        <w:t>Handling imbalanced classification with stratified splitting and class weighting</w:t>
      </w:r>
    </w:p>
    <w:p w14:paraId="176A0910">
      <w:pPr>
        <w:pStyle w:val="17"/>
        <w:numPr>
          <w:ilvl w:val="0"/>
          <w:numId w:val="2"/>
        </w:numPr>
        <w:spacing w:after="70" w:line="270" w:lineRule="auto"/>
      </w:pPr>
      <w:r>
        <w:rPr>
          <w:sz w:val="21"/>
          <w:szCs w:val="21"/>
        </w:rPr>
        <w:t>Model comparison using precision, recall, F1-score and confusion matrices</w:t>
      </w:r>
    </w:p>
    <w:p w14:paraId="4C73C2C4">
      <w:pPr>
        <w:pStyle w:val="17"/>
        <w:numPr>
          <w:ilvl w:val="0"/>
          <w:numId w:val="2"/>
        </w:numPr>
        <w:spacing w:after="70" w:line="270" w:lineRule="auto"/>
      </w:pPr>
      <w:r>
        <w:rPr>
          <w:sz w:val="21"/>
          <w:szCs w:val="21"/>
        </w:rPr>
        <w:t>Data visualisation and clear communication of technical results</w:t>
      </w:r>
    </w:p>
    <w:p w14:paraId="38DE09C1">
      <w:pPr>
        <w:pStyle w:val="17"/>
        <w:numPr>
          <w:ilvl w:val="0"/>
          <w:numId w:val="2"/>
        </w:numPr>
        <w:spacing w:after="70" w:line="270" w:lineRule="auto"/>
      </w:pPr>
      <w:r>
        <w:rPr>
          <w:sz w:val="21"/>
          <w:szCs w:val="21"/>
        </w:rPr>
        <w:t>Reproducible workflow: documented notebook, dataset, requirements file and README</w:t>
      </w:r>
    </w:p>
    <w:p w14:paraId="254443D0">
      <w:pPr>
        <w:pStyle w:val="2"/>
        <w:keepNext/>
      </w:pPr>
      <w:r>
        <w:t>Limitations and Next Steps</w:t>
      </w:r>
    </w:p>
    <w:p w14:paraId="116BA7F5">
      <w:pPr>
        <w:pStyle w:val="17"/>
        <w:numPr>
          <w:ilvl w:val="0"/>
          <w:numId w:val="2"/>
        </w:numPr>
        <w:spacing w:after="70" w:line="270" w:lineRule="auto"/>
      </w:pPr>
      <w:r>
        <w:rPr>
          <w:sz w:val="21"/>
          <w:szCs w:val="21"/>
        </w:rPr>
        <w:t>Results come from a single train/test split. Cross-validation would give a more stable estimate.</w:t>
      </w:r>
    </w:p>
    <w:p w14:paraId="36BA01AC">
      <w:pPr>
        <w:pStyle w:val="17"/>
        <w:numPr>
          <w:ilvl w:val="0"/>
          <w:numId w:val="2"/>
        </w:numPr>
        <w:spacing w:after="70" w:line="270" w:lineRule="auto"/>
      </w:pPr>
      <w:r>
        <w:rPr>
          <w:sz w:val="21"/>
          <w:szCs w:val="21"/>
        </w:rPr>
        <w:t>The dataset contains short text messages. For production email filtering, the approach should be validated on a full-length email corpus.</w:t>
      </w:r>
    </w:p>
    <w:p w14:paraId="0E8F43BE">
      <w:pPr>
        <w:pStyle w:val="17"/>
        <w:numPr>
          <w:ilvl w:val="0"/>
          <w:numId w:val="2"/>
        </w:numPr>
        <w:spacing w:after="70" w:line="270" w:lineRule="auto"/>
      </w:pPr>
      <w:r>
        <w:rPr>
          <w:sz w:val="21"/>
          <w:szCs w:val="21"/>
        </w:rPr>
        <w:t>Hyperparameter tuning and lemmatisation are natural next improvements.</w:t>
      </w:r>
    </w:p>
    <w:sectPr>
      <w:footerReference r:id="rId3" w:type="default"/>
      <w:pgSz w:w="11906" w:h="16838"/>
      <w:pgMar w:top="1000" w:right="1152" w:bottom="1000" w:left="1152"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27958">
    <w:pPr>
      <w:pBdr>
        <w:top w:val="single" w:color="D5DBE5" w:sz="4" w:space="6"/>
      </w:pBdr>
      <w:tabs>
        <w:tab w:val="right" w:pos="9602"/>
      </w:tabs>
    </w:pPr>
    <w:r>
      <w:rPr>
        <w:color w:val="5B6B7F"/>
        <w:sz w:val="17"/>
        <w:szCs w:val="17"/>
      </w:rPr>
      <w:tab/>
      <w:t xml:space="preserve">Page </w:t>
    </w:r>
    <w:r>
      <w:rPr>
        <w:rFonts w:ascii="Calibri" w:hAnsi="Calibri" w:eastAsia="Calibri" w:cs="Calibri"/>
        <w:color w:val="5B6B7F"/>
        <w:sz w:val="17"/>
        <w:szCs w:val="17"/>
      </w:rPr>
      <w:fldChar w:fldCharType="begin"/>
    </w:r>
    <w:r>
      <w:rPr>
        <w:rFonts w:ascii="Calibri" w:hAnsi="Calibri" w:eastAsia="Calibri" w:cs="Calibri"/>
        <w:color w:val="5B6B7F"/>
        <w:sz w:val="17"/>
        <w:szCs w:val="17"/>
      </w:rPr>
      <w:instrText xml:space="preserve">PAGE</w:instrText>
    </w:r>
    <w:r>
      <w:rPr>
        <w:rFonts w:ascii="Calibri" w:hAnsi="Calibri" w:eastAsia="Calibri" w:cs="Calibri"/>
        <w:color w:val="5B6B7F"/>
        <w:sz w:val="17"/>
        <w:szCs w:val="17"/>
      </w:rPr>
      <w:fldChar w:fldCharType="separate"/>
    </w:r>
    <w:r>
      <w:rPr>
        <w:rFonts w:ascii="Calibri" w:hAnsi="Calibri" w:eastAsia="Calibri" w:cs="Calibri"/>
        <w:color w:val="5B6B7F"/>
        <w:sz w:val="17"/>
        <w:szCs w:val="17"/>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40" w:hanging="360"/>
      </w:pPr>
      <w:rPr>
        <w:b/>
        <w:bCs/>
        <w:color w:val="1F3A5F"/>
      </w:rPr>
    </w:lvl>
  </w:abstractNum>
  <w:abstractNum w:abstractNumId="1">
    <w:nsid w:val="59ADCABA"/>
    <w:multiLevelType w:val="singleLevel"/>
    <w:tmpl w:val="59ADCABA"/>
    <w:lvl w:ilvl="0" w:tentative="0">
      <w:start w:val="1"/>
      <w:numFmt w:val="bullet"/>
      <w:lvlText w:val="•"/>
      <w:lvlJc w:val="left"/>
      <w:pPr>
        <w:ind w:left="540" w:hanging="270"/>
      </w:pPr>
      <w:rPr>
        <w:color w:val="C9A227"/>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2D8E5F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pBdr>
        <w:bottom w:val="single" w:color="D5DBE5" w:sz="6" w:space="3"/>
      </w:pBdr>
      <w:spacing w:before="260" w:after="110"/>
      <w:outlineLvl w:val="0"/>
    </w:pPr>
    <w:rPr>
      <w:rFonts w:ascii="Calibri" w:hAnsi="Calibri" w:eastAsia="Calibri" w:cs="Calibri"/>
      <w:b/>
      <w:bCs/>
      <w:color w:val="1F3A5F"/>
      <w:sz w:val="27"/>
      <w:szCs w:val="27"/>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1"/>
      <w:szCs w:val="21"/>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684</Words>
  <Characters>4102</Characters>
  <TotalTime>1</TotalTime>
  <ScaleCrop>false</ScaleCrop>
  <LinksUpToDate>false</LinksUpToDate>
  <CharactersWithSpaces>4706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2026-10-15T04:54:00Z</dcterms:created>
  <dc:creator>Iqra Solangi</dc:creator>
  <cp:lastModifiedBy>Iqra Solangi</cp:lastModifiedBy>
  <dcterms:modified xsi:type="dcterms:W3CDTF">2026-10-15T04:58:33Z</dcterms:modified>
  <dc:title>Email Spam Detection with Machine Learning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eyJoZGlkIjoiZThiZTIwNGZlN2UxOTBjOWM1MGU3YWYxYzExZjNlM2YiLCJ1c2VySWQiOiIxNjY3MDY5OTUxMTA3In0=</vt:lpwstr>
  </property>
  <property fmtid="{D5CDD505-2E9C-101B-9397-08002B2CF9AE}" pid="3" name="KSOProductBuildVer">
    <vt:lpwstr>1033-12.1.0.29162</vt:lpwstr>
  </property>
  <property fmtid="{D5CDD505-2E9C-101B-9397-08002B2CF9AE}" pid="4" name="ICV">
    <vt:lpwstr>3394028FECBC464587BA4FD460878978_12</vt:lpwstr>
  </property>
</Properties>
</file>