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по условиям задачи</w:t>
      </w:r>
    </w:p>
    <w:p>
      <w:r>
        <w:rPr>
          <w:b/>
          <w:sz w:val="24"/>
        </w:rPr>
        <w:t>Трек 3 — интеллектуальная роботизированная система сортировки товаров</w:t>
      </w:r>
    </w:p>
    <w:p>
      <w:r>
        <w:rPr>
          <w:i/>
          <w:color w:val="606060"/>
          <w:sz w:val="20"/>
        </w:rPr>
        <w:t>К QA-сессии. Уточнения по правилам и критериям оценки. Вопросы ранжированы по важности для проектирования и начисления баллов.</w:t>
      </w:r>
    </w:p>
    <w:p/>
    <w:p>
      <w:pPr>
        <w:pStyle w:val="Heading1"/>
      </w:pPr>
      <w:r>
        <w:rPr>
          <w:color w:val="C0392B"/>
        </w:rPr>
        <w:t>1. Накопитель с захватом или перенаправление в движении</w:t>
      </w:r>
    </w:p>
    <w:p>
      <w:r>
        <w:rPr>
          <w:b/>
          <w:color w:val="C0392B"/>
          <w:sz w:val="20"/>
        </w:rPr>
        <w:t>Приоритет: высокий</w:t>
      </w:r>
    </w:p>
    <w:p>
      <w:r>
        <w:rPr>
          <w:b/>
        </w:rPr>
        <w:t xml:space="preserve">Вопрос. </w:t>
      </w:r>
      <w:r>
        <w:t>Обязателен ли в решении этап накопителя, где товар останавливается и затем захватывается исполнительной частью, или допускается непрерывное перенаправление товара в движении на ленте — без остановки в накопителе и без захвата (например, механизмами перенаправления, перечисленными в разделе 6 постановки)?</w:t>
      </w:r>
    </w:p>
    <w:p>
      <w:r>
        <w:rPr>
          <w:b/>
          <w:color w:val="606060"/>
        </w:rPr>
        <w:t xml:space="preserve">Почему важно для оценки. </w:t>
      </w:r>
      <w:r>
        <w:t>Основной текст постановки описывает поток «накопитель → захват из накопителя», тогда как раздел 6 перечисляет и механизмы перенаправления без захвата. От трактовки зависит, какой класс исполнительной части считается полноценным.</w:t>
      </w:r>
    </w:p>
    <w:p/>
    <w:p>
      <w:pPr>
        <w:pStyle w:val="Heading1"/>
      </w:pPr>
      <w:r>
        <w:rPr>
          <w:color w:val="C0392B"/>
        </w:rPr>
        <w:t>2. Требования к уровню 4 оси «исполнительная часть»</w:t>
      </w:r>
    </w:p>
    <w:p>
      <w:r>
        <w:rPr>
          <w:b/>
          <w:color w:val="C0392B"/>
          <w:sz w:val="20"/>
        </w:rPr>
        <w:t>Приоритет: высокий</w:t>
      </w:r>
    </w:p>
    <w:p>
      <w:r>
        <w:rPr>
          <w:b/>
        </w:rPr>
        <w:t xml:space="preserve">Вопрос. </w:t>
      </w:r>
      <w:r>
        <w:t>Для оси проработки исполнительной части, уровень 4 («подтверждена валидированной цифровой моделью/симуляцией, сопоставленной с расчётами, либо физическим прототипом»): требуется ли формальная CAD/3D-модель (STEP, чертежи, кинематические схемы), или достаточно валидированной цифровой модели, сопоставленной с аналитическими расчётами (без изготовления прототипа)?</w:t>
      </w:r>
    </w:p>
    <w:p>
      <w:r>
        <w:rPr>
          <w:b/>
          <w:color w:val="606060"/>
        </w:rPr>
        <w:t xml:space="preserve">Почему важно для оценки. </w:t>
      </w:r>
      <w:r>
        <w:t>Уровень 3 упоминает 3D-модель ячейки и чертежи, а уровень 4 — «валидированную модель, сопоставленную с расчётами». Граница между этими формулировками определяет, обязателен ли формальный CAD для высшего уровня по этой оси.</w:t>
      </w:r>
    </w:p>
    <w:p/>
    <w:p>
      <w:pPr>
        <w:pStyle w:val="Heading1"/>
      </w:pPr>
      <w:r>
        <w:rPr>
          <w:color w:val="C87F0A"/>
        </w:rPr>
        <w:t>3. Операционное определение критерия K («круг в сечении»)</w:t>
      </w:r>
    </w:p>
    <w:p>
      <w:r>
        <w:rPr>
          <w:b/>
          <w:color w:val="C87F0A"/>
          <w:sz w:val="20"/>
        </w:rPr>
        <w:t>Приоритет: средний</w:t>
      </w:r>
    </w:p>
    <w:p>
      <w:r>
        <w:rPr>
          <w:b/>
        </w:rPr>
        <w:t xml:space="preserve">Вопрос. </w:t>
      </w:r>
      <w:r>
        <w:t>Как практически вычисляется K = r_впис / R_опис для критерия «круг в любом сечении»: (а) на 2D-проекции (виде сверху), (б) на сечении перпендикулярно главной оси объекта, или (в) перебором всех плоских сечений с выбором максимума? K берётся по 2D-сечению или по 3D-геометрии (вписанная/описанная сфера)? На каких сечениях эксперт проверяет пограничные объекты?</w:t>
      </w:r>
    </w:p>
    <w:p>
      <w:r>
        <w:rPr>
          <w:b/>
          <w:color w:val="606060"/>
        </w:rPr>
        <w:t xml:space="preserve">Почему важно для оценки. </w:t>
      </w:r>
      <w:r>
        <w:t>Формулировка «в любом сечении» допускает разные операционные трактовки, а от выбранной трактовки напрямую зависит категория пограничных по форме объектов — то есть баллы за корректность классификации и устойчивость на границах.</w:t>
      </w:r>
    </w:p>
    <w:p/>
    <w:p>
      <w:pPr>
        <w:pStyle w:val="Heading1"/>
      </w:pPr>
      <w:r>
        <w:rPr>
          <w:color w:val="C87F0A"/>
        </w:rPr>
        <w:t>4. Что именно оценивается в «производительности» (раздел 5)</w:t>
      </w:r>
    </w:p>
    <w:p>
      <w:r>
        <w:rPr>
          <w:b/>
          <w:color w:val="C87F0A"/>
          <w:sz w:val="20"/>
        </w:rPr>
        <w:t>Приоритет: средний</w:t>
      </w:r>
    </w:p>
    <w:p>
      <w:r>
        <w:rPr>
          <w:b/>
        </w:rPr>
        <w:t xml:space="preserve">Вопрос. </w:t>
      </w:r>
      <w:r>
        <w:t>Как оценивается производительность: как устойчивый темп потока (товаров/мин), как время полного цикла одного товара (от определения до доставки в зону), или как пиковый темп? Что считается «полным циклом» на непрерывно идущей ленте, которая в базовом сценарии не останавливается?</w:t>
      </w:r>
    </w:p>
    <w:p>
      <w:r>
        <w:rPr>
          <w:b/>
          <w:color w:val="606060"/>
        </w:rPr>
        <w:t xml:space="preserve">Почему важно для оценки. </w:t>
      </w:r>
      <w:r>
        <w:t>Эти определения дают существенно разные величины, и от выбранной метрики зависит, как корректно представить производительность в отчёте и на защите.</w:t>
      </w:r>
    </w:p>
    <w:p/>
    <w:p>
      <w:pPr>
        <w:pStyle w:val="Heading1"/>
      </w:pPr>
      <w:r>
        <w:t>Вторичные вопросы (если останется время)</w:t>
      </w:r>
    </w:p>
    <w:p>
      <w:pPr>
        <w:pStyle w:val="ListBullet"/>
      </w:pPr>
      <w:r>
        <w:rPr>
          <w:b/>
        </w:rPr>
        <w:t xml:space="preserve">Одновременность объектов. </w:t>
      </w:r>
      <w:r>
        <w:t>«Поток товаров на ленте последовательный» — означает ли это, что товары приходят строго по одному с гарантированным зазором, или в зоне накопителя/в кадре камеры может одновременно находиться несколько объектов?</w:t>
      </w:r>
    </w:p>
    <w:p>
      <w:pPr>
        <w:pStyle w:val="ListBullet"/>
      </w:pPr>
      <w:r>
        <w:rPr>
          <w:b/>
        </w:rPr>
        <w:t xml:space="preserve">Габариты на входе. </w:t>
      </w:r>
      <w:r>
        <w:t>Максимальные габариты на входе — 500×500×500 мм, а порог сортировщика — 450×320×320 мм. Подтвердите, что объекты в диапазоне 450–500 мм присутствуют в проверке и должны физически выводиться в зону негабарита.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