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535qypv7dhf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Rasa Chatbot for USIU-Africa Student Handbook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aefjht1p2ora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USIU-Africa Student Handbook (78 pages) is a comprehensive resource detailing university organization, administrative services, academic affairs, student affairs, policies, and codes of conduct. However, students face significant challenges in accessing and utilizing this information: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Information Overload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handbook’s extensive content (e.g., payment methods, cafeteria rules, academic policies, disciplinary procedures) makes it time-consuming to find specific details, especially for urgent queries like fee deadlines or library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Accessibility Issues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New, international, or off-campus students struggle to navigate the handbook, particularly on mobile devices or without immediate access to a physical copy.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Time-Intensive Navigation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Common questions (e.g., “How do I pay fees?”, “What are the consequences of plagiarism?”) require searching multiple sections, leading to frustration and delays.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Lack of Interactivity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static handbook offers no real-time clarification or guidance, forcing reliance on administrative offices with limited availability.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Awareness Gaps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Students, especially freshmen, may be unaware of critical policies (e.g., sexual harassment reporting, financial aid eligibility), risking non-compliance or missed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International Student Challenges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Non-Kenyan students face difficulties understanding exchange programs, visa processes, or cultural nuances in policies without a streamlined support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Create a Rasa rule-based chatbot to provide instant, accurate, and conversational access to the entire handbook, addressing these challenges and enhancing student experience.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tr3600ko7ns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USIU GuideBot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is a Rasa-powered chatbot designed to serve as a 24/7 virtual assistant for USIU-Africa students, covering all handbook sections (University Organization, Academic Affairs, Student Affairs, Policies, and Codes of Conduct). Key features include: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Comprehensive Handbook Coverage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Addresses all sections (e.g., payment methods, library services, financial aid, sexual assault policies) with 30+ intents (e.g., payment_methods_inquiry, sexual_harassment_inquiry), each with 20+ question variations.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Example: Answers queries like “How do I pay fees?” or “What do I do if I’m sexually assaulted?” with precise handbook details.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Conversational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Rasa’s NLU to classify intents and extract entities (e.g., [M-PESA][payment_method], [library][department]) for tailored responses.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Supports multi-turn dialogues (e.g., “What’s the M-PESA process?” after a payment query) and clarifies vague questions.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Accessible Deployment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on platforms like grok.com, x.com, or USIU’s website, with potential mobile app integration, supporting Grok 3’s free-tier and premium (SuperGrok) plans.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Offers multilingual support (e.g., Swahili for international students) if needed.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Policy and Service Guidance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Delivers concise, handbook-sourced answers with contact details (e.g., “Contact Finance Office at Ext. 408”) and actionable steps (e.g., “Submit medical claim within 30 days”).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Educates on policies (e.g., no smoking, plagiarism sanctions) to promote compliance.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Rasa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Uses DIET classifier for NLU, RulePolicy/TEDPolicy for dialogue management, and custom actions for dynamic queries (e.g., CX balance checks if APIs are available).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Training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Includes intents like cafeteria_hours_inquiry, academic_conduct_inquiry in data/nlu.yml, with responses in domain.yml and flows in data/stories.yml.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Hosted on a scalable server (e.g., AWS) with REST API for web/mobile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heading=h.18lsya8kt57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Benefits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Instant answers reduce query resolution time to under 1 minute (vs. manual handbook searches), saving students time on tasks like finding payment methods or library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24/7 availability on multiple platforms ensures all students, including international and off-campus, can access information anytime,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Policy Compliance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Clear explanations of rules (e.g., no alcohol, sexual harassment reporting) increase awareness, reducing violations by up to 30%.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Empowerment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Easy access to services (e.g., financial aid, counseling, exchange programs) boosts engagement and academic success.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Administrative Relief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Handles thousands of queries, reducing workload on offices like Finance or Registrar during peak periods (e.g., registration).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Cultural and International Support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Simplifies processes for international students (e.g., visa permits, exchange programs), fostering inclusivity.</w:t>
      </w:r>
    </w:p>
    <w:p w:rsidR="00000000" w:rsidDel="00000000" w:rsidP="00000000" w:rsidRDefault="00000000" w:rsidRPr="00000000" w14:paraId="00000024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Collection break down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focused on the first 4 sections of the handbook, which include;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USIU students academic affairs (20 intents)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organization and structure (12 intents)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USIU students life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USIU students services (20 intents)</w:t>
      </w:r>
    </w:p>
    <w:p w:rsidR="00000000" w:rsidDel="00000000" w:rsidP="00000000" w:rsidRDefault="00000000" w:rsidRPr="00000000" w14:paraId="0000002D">
      <w:pPr>
        <w:spacing w:after="24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generated data include possible intents, at least 10 questions ,and at least 3 possible answers from each section, these form the training examples that will teach the RASA NLU model the information the student handbook holds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W8leG2FRDIFZ3t3SrvjUR+9gnw==">CgMxLjAyDmguNTM1cXlwdjdkaGZuMg5oLmFlZmpodDFwMm9yYTIOaC50cjM2MDBrbzduc20yDmguMThsc3lhOGt0NTdtOAByITFMenBLTmItX2FMbGtydXQ0d3I3QWxSTTRqV3pVYll0Rw==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