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widowControl/>
      </w:pPr>
      <w:r>
        <w:rPr>
          <w:rFonts w:ascii="Aptos Display" w:hAnsi="Aptos Display"/>
          <w:b/>
          <w:color w:val="2F67D8"/>
          <w:sz w:val="24"/>
        </w:rPr>
        <w:t>AI EFFECT</w:t>
      </w:r>
    </w:p>
    <w:p>
      <w:pPr>
        <w:pStyle w:val="Title"/>
        <w:spacing w:after="200"/>
        <w:widowControl/>
      </w:pPr>
      <w:r>
        <w:t>AI EFFECT Solution Studio Production Operations Guide</w:t>
      </w:r>
    </w:p>
    <w:p>
      <w:pPr>
        <w:spacing w:after="440"/>
        <w:widowControl/>
      </w:pPr>
      <w:r>
        <w:rPr>
          <w:rFonts w:ascii="Aptos Display" w:hAnsi="Aptos Display"/>
          <w:color w:val="667085"/>
          <w:sz w:val="28"/>
        </w:rPr>
        <w:t>Infrastructure ownership security cost management and operational procedures</w:t>
      </w:r>
    </w:p>
    <w:p>
      <w:pPr>
        <w:spacing w:after="140" w:line="269" w:lineRule="auto"/>
        <w:widowControl/>
      </w:pPr>
      <w:r>
        <w:rPr>
          <w:rFonts w:ascii="Aptos" w:hAnsi="Aptos"/>
          <w:sz w:val="20"/>
        </w:rPr>
        <w:t>This guide provides the IT team with the information required to operate, secure, monitor, back up, recover, and budget for the production AI EFFECT Solution Studio and its four country node use cases. It records the verified production state as of 4 October 2026 and identifies the controls that still require implementation.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cantSplit/>
        </w:trPr>
        <w:tc>
          <w:tcPr>
            <w:tcW w:type="dxa" w:w="2835"/>
            <w:shd w:fill="17365D"/>
            <w:tcMar>
              <w:top w:w="115" w:type="dxa"/>
              <w:start w:w="120" w:type="dxa"/>
              <w:bottom w:w="115" w:type="dxa"/>
              <w:end w:w="120" w:type="dxa"/>
            </w:tcMar>
            <w:vAlign w:val="center"/>
          </w:tcPr>
          <w:p>
            <w:pPr>
              <w:spacing w:after="0"/>
              <w:jc w:val="center"/>
            </w:pPr>
            <w:r>
              <w:rPr>
                <w:rFonts w:ascii="Aptos" w:hAnsi="Aptos"/>
                <w:b/>
                <w:color w:val="FFFFFF"/>
                <w:sz w:val="17"/>
              </w:rPr>
              <w:t>Document field</w:t>
            </w:r>
          </w:p>
        </w:tc>
        <w:tc>
          <w:tcPr>
            <w:tcW w:type="dxa" w:w="6803"/>
            <w:shd w:fill="17365D"/>
            <w:tcMar>
              <w:top w:w="115" w:type="dxa"/>
              <w:start w:w="120" w:type="dxa"/>
              <w:bottom w:w="115" w:type="dxa"/>
              <w:end w:w="120" w:type="dxa"/>
            </w:tcMar>
            <w:vAlign w:val="center"/>
          </w:tcPr>
          <w:p>
            <w:pPr>
              <w:spacing w:after="0"/>
              <w:jc w:val="center"/>
            </w:pPr>
            <w:r>
              <w:rPr>
                <w:rFonts w:ascii="Aptos" w:hAnsi="Aptos"/>
                <w:b/>
                <w:color w:val="FFFFFF"/>
                <w:sz w:val="17"/>
              </w:rPr>
              <w:t>Value</w:t>
            </w:r>
          </w:p>
        </w:tc>
      </w:tr>
      <w:tr>
        <w:trPr>
          <w:cantSplit/>
        </w:trPr>
        <w:tc>
          <w:tcPr>
            <w:tcW w:type="dxa" w:w="2835"/>
            <w:tcMar>
              <w:top w:w="100" w:type="dxa"/>
              <w:start w:w="120" w:type="dxa"/>
              <w:bottom w:w="100" w:type="dxa"/>
              <w:end w:w="120" w:type="dxa"/>
            </w:tcMar>
            <w:vAlign w:val="center"/>
          </w:tcPr>
          <w:p>
            <w:pPr>
              <w:spacing w:after="0" w:line="252" w:lineRule="auto"/>
              <w:jc w:val="left"/>
            </w:pPr>
            <w:r>
              <w:rPr>
                <w:rFonts w:ascii="Aptos" w:hAnsi="Aptos"/>
                <w:color w:val="000000"/>
                <w:sz w:val="18"/>
              </w:rPr>
              <w:t>Audience</w:t>
            </w:r>
          </w:p>
        </w:tc>
        <w:tc>
          <w:tcPr>
            <w:tcW w:type="dxa" w:w="6803"/>
            <w:tcMar>
              <w:top w:w="100" w:type="dxa"/>
              <w:start w:w="120" w:type="dxa"/>
              <w:bottom w:w="100" w:type="dxa"/>
              <w:end w:w="120" w:type="dxa"/>
            </w:tcMar>
            <w:vAlign w:val="center"/>
          </w:tcPr>
          <w:p>
            <w:pPr>
              <w:spacing w:after="0" w:line="252" w:lineRule="auto"/>
              <w:jc w:val="left"/>
            </w:pPr>
            <w:r>
              <w:rPr>
                <w:rFonts w:ascii="Aptos" w:hAnsi="Aptos"/>
                <w:color w:val="000000"/>
                <w:sz w:val="18"/>
              </w:rPr>
              <w:t>AI EFFECT IT operations, infrastructure and security teams</w:t>
            </w:r>
          </w:p>
        </w:tc>
      </w:tr>
      <w:tr>
        <w:trPr>
          <w:cantSplit/>
        </w:trPr>
        <w:tc>
          <w:tcPr>
            <w:tcW w:type="dxa" w:w="2835"/>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Environment</w:t>
            </w:r>
          </w:p>
        </w:tc>
        <w:tc>
          <w:tcPr>
            <w:tcW w:type="dxa" w:w="6803"/>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Production</w:t>
            </w:r>
          </w:p>
        </w:tc>
      </w:tr>
      <w:tr>
        <w:trPr>
          <w:cantSplit/>
        </w:trPr>
        <w:tc>
          <w:tcPr>
            <w:tcW w:type="dxa" w:w="2835"/>
            <w:tcMar>
              <w:top w:w="100" w:type="dxa"/>
              <w:start w:w="120" w:type="dxa"/>
              <w:bottom w:w="100" w:type="dxa"/>
              <w:end w:w="120" w:type="dxa"/>
            </w:tcMar>
            <w:vAlign w:val="center"/>
          </w:tcPr>
          <w:p>
            <w:pPr>
              <w:spacing w:after="0" w:line="252" w:lineRule="auto"/>
              <w:jc w:val="left"/>
            </w:pPr>
            <w:r>
              <w:rPr>
                <w:rFonts w:ascii="Aptos" w:hAnsi="Aptos"/>
                <w:color w:val="000000"/>
                <w:sz w:val="18"/>
              </w:rPr>
              <w:t>Primary service</w:t>
            </w:r>
          </w:p>
        </w:tc>
        <w:tc>
          <w:tcPr>
            <w:tcW w:type="dxa" w:w="6803"/>
            <w:tcMar>
              <w:top w:w="100" w:type="dxa"/>
              <w:start w:w="120" w:type="dxa"/>
              <w:bottom w:w="100" w:type="dxa"/>
              <w:end w:w="120" w:type="dxa"/>
            </w:tcMar>
            <w:vAlign w:val="center"/>
          </w:tcPr>
          <w:p>
            <w:pPr>
              <w:spacing w:after="0" w:line="252" w:lineRule="auto"/>
              <w:jc w:val="left"/>
            </w:pPr>
            <w:r>
              <w:rPr>
                <w:rFonts w:ascii="Aptos" w:hAnsi="Aptos"/>
                <w:color w:val="000000"/>
                <w:sz w:val="18"/>
              </w:rPr>
              <w:t>https://platform.ai-effect.eu/</w:t>
            </w:r>
          </w:p>
        </w:tc>
      </w:tr>
      <w:tr>
        <w:trPr>
          <w:cantSplit/>
        </w:trPr>
        <w:tc>
          <w:tcPr>
            <w:tcW w:type="dxa" w:w="2835"/>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Secondary hostname</w:t>
            </w:r>
          </w:p>
        </w:tc>
        <w:tc>
          <w:tcPr>
            <w:tcW w:type="dxa" w:w="6803"/>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https://portal.renewenergy.io/</w:t>
            </w:r>
          </w:p>
        </w:tc>
      </w:tr>
      <w:tr>
        <w:trPr>
          <w:cantSplit/>
        </w:trPr>
        <w:tc>
          <w:tcPr>
            <w:tcW w:type="dxa" w:w="2835"/>
            <w:tcMar>
              <w:top w:w="100" w:type="dxa"/>
              <w:start w:w="120" w:type="dxa"/>
              <w:bottom w:w="100" w:type="dxa"/>
              <w:end w:w="120" w:type="dxa"/>
            </w:tcMar>
            <w:vAlign w:val="center"/>
          </w:tcPr>
          <w:p>
            <w:pPr>
              <w:spacing w:after="0" w:line="252" w:lineRule="auto"/>
              <w:jc w:val="left"/>
            </w:pPr>
            <w:r>
              <w:rPr>
                <w:rFonts w:ascii="Aptos" w:hAnsi="Aptos"/>
                <w:color w:val="000000"/>
                <w:sz w:val="18"/>
              </w:rPr>
              <w:t>Production host</w:t>
            </w:r>
          </w:p>
        </w:tc>
        <w:tc>
          <w:tcPr>
            <w:tcW w:type="dxa" w:w="6803"/>
            <w:tcMar>
              <w:top w:w="100" w:type="dxa"/>
              <w:start w:w="120" w:type="dxa"/>
              <w:bottom w:w="100" w:type="dxa"/>
              <w:end w:w="120" w:type="dxa"/>
            </w:tcMar>
            <w:vAlign w:val="center"/>
          </w:tcPr>
          <w:p>
            <w:pPr>
              <w:spacing w:after="0" w:line="252" w:lineRule="auto"/>
              <w:jc w:val="left"/>
            </w:pPr>
            <w:r>
              <w:rPr>
                <w:rFonts w:ascii="Aptos" w:hAnsi="Aptos"/>
                <w:color w:val="000000"/>
                <w:sz w:val="18"/>
              </w:rPr>
              <w:t>evpa-uat at 212.47.78.250</w:t>
            </w:r>
          </w:p>
        </w:tc>
      </w:tr>
      <w:tr>
        <w:trPr>
          <w:cantSplit/>
        </w:trPr>
        <w:tc>
          <w:tcPr>
            <w:tcW w:type="dxa" w:w="2835"/>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Hosting provider</w:t>
            </w:r>
          </w:p>
        </w:tc>
        <w:tc>
          <w:tcPr>
            <w:tcW w:type="dxa" w:w="6803"/>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Contabo GmbH</w:t>
            </w:r>
          </w:p>
        </w:tc>
      </w:tr>
      <w:tr>
        <w:trPr>
          <w:cantSplit/>
        </w:trPr>
        <w:tc>
          <w:tcPr>
            <w:tcW w:type="dxa" w:w="2835"/>
            <w:tcMar>
              <w:top w:w="100" w:type="dxa"/>
              <w:start w:w="120" w:type="dxa"/>
              <w:bottom w:w="100" w:type="dxa"/>
              <w:end w:w="120" w:type="dxa"/>
            </w:tcMar>
            <w:vAlign w:val="center"/>
          </w:tcPr>
          <w:p>
            <w:pPr>
              <w:spacing w:after="0" w:line="252" w:lineRule="auto"/>
              <w:jc w:val="left"/>
            </w:pPr>
            <w:r>
              <w:rPr>
                <w:rFonts w:ascii="Aptos" w:hAnsi="Aptos"/>
                <w:color w:val="000000"/>
                <w:sz w:val="18"/>
              </w:rPr>
              <w:t>Document version</w:t>
            </w:r>
          </w:p>
        </w:tc>
        <w:tc>
          <w:tcPr>
            <w:tcW w:type="dxa" w:w="6803"/>
            <w:tcMar>
              <w:top w:w="100" w:type="dxa"/>
              <w:start w:w="120" w:type="dxa"/>
              <w:bottom w:w="100" w:type="dxa"/>
              <w:end w:w="120" w:type="dxa"/>
            </w:tcMar>
            <w:vAlign w:val="center"/>
          </w:tcPr>
          <w:p>
            <w:pPr>
              <w:spacing w:after="0" w:line="252" w:lineRule="auto"/>
              <w:jc w:val="left"/>
            </w:pPr>
            <w:r>
              <w:rPr>
                <w:rFonts w:ascii="Aptos" w:hAnsi="Aptos"/>
                <w:color w:val="000000"/>
                <w:sz w:val="18"/>
              </w:rPr>
              <w:t>1.0</w:t>
            </w:r>
          </w:p>
        </w:tc>
      </w:tr>
      <w:tr>
        <w:trPr>
          <w:cantSplit/>
        </w:trPr>
        <w:tc>
          <w:tcPr>
            <w:tcW w:type="dxa" w:w="2835"/>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Status date</w:t>
            </w:r>
          </w:p>
        </w:tc>
        <w:tc>
          <w:tcPr>
            <w:tcW w:type="dxa" w:w="6803"/>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4 October 2026</w:t>
            </w:r>
          </w:p>
        </w:tc>
      </w:tr>
      <w:tr>
        <w:trPr>
          <w:cantSplit/>
        </w:trPr>
        <w:tc>
          <w:tcPr>
            <w:tcW w:type="dxa" w:w="2835"/>
            <w:tcMar>
              <w:top w:w="100" w:type="dxa"/>
              <w:start w:w="120" w:type="dxa"/>
              <w:bottom w:w="100" w:type="dxa"/>
              <w:end w:w="120" w:type="dxa"/>
            </w:tcMar>
            <w:vAlign w:val="center"/>
          </w:tcPr>
          <w:p>
            <w:pPr>
              <w:spacing w:after="0" w:line="252" w:lineRule="auto"/>
              <w:jc w:val="left"/>
            </w:pPr>
            <w:r>
              <w:rPr>
                <w:rFonts w:ascii="Aptos" w:hAnsi="Aptos"/>
                <w:color w:val="000000"/>
                <w:sz w:val="18"/>
              </w:rPr>
              <w:t>Git branch</w:t>
            </w:r>
          </w:p>
        </w:tc>
        <w:tc>
          <w:tcPr>
            <w:tcW w:type="dxa" w:w="6803"/>
            <w:tcMar>
              <w:top w:w="100" w:type="dxa"/>
              <w:start w:w="120" w:type="dxa"/>
              <w:bottom w:w="100" w:type="dxa"/>
              <w:end w:w="120" w:type="dxa"/>
            </w:tcMar>
            <w:vAlign w:val="center"/>
          </w:tcPr>
          <w:p>
            <w:pPr>
              <w:spacing w:after="0" w:line="252" w:lineRule="auto"/>
              <w:jc w:val="left"/>
            </w:pPr>
            <w:r>
              <w:rPr>
                <w:rFonts w:ascii="Aptos" w:hAnsi="Aptos"/>
                <w:color w:val="000000"/>
                <w:sz w:val="18"/>
              </w:rPr>
              <w:t>feature/production-ui-polish-v1</w:t>
            </w:r>
          </w:p>
        </w:tc>
      </w:tr>
      <w:tr>
        <w:trPr>
          <w:cantSplit/>
        </w:trPr>
        <w:tc>
          <w:tcPr>
            <w:tcW w:type="dxa" w:w="2835"/>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Recorded commit</w:t>
            </w:r>
          </w:p>
        </w:tc>
        <w:tc>
          <w:tcPr>
            <w:tcW w:type="dxa" w:w="6803"/>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ddcfc3b</w:t>
            </w:r>
          </w:p>
        </w:tc>
      </w:tr>
    </w:tbl>
    <w:p>
      <w:pPr>
        <w:spacing w:after="0"/>
        <w:widowControl/>
      </w:pPr>
    </w:p>
    <w:p>
      <w:pPr>
        <w:spacing w:after="120"/>
        <w:widowControl/>
      </w:pPr>
      <w:r>
        <w:rPr>
          <w:rFonts w:ascii="Aptos" w:hAnsi="Aptos"/>
          <w:b/>
          <w:color w:val="B42318"/>
          <w:sz w:val="20"/>
        </w:rPr>
        <w:t xml:space="preserve">Classification  </w:t>
      </w:r>
      <w:r>
        <w:rPr>
          <w:rFonts w:ascii="Aptos" w:hAnsi="Aptos"/>
          <w:sz w:val="20"/>
        </w:rPr>
        <w:t>Internal operational documentation. Do not attach credentials, passwords, private keys, tokens, or environment-file contents.</w:t>
      </w:r>
    </w:p>
    <w:p>
      <w:pPr>
        <w:widowControl/>
      </w:pPr>
      <w:r>
        <w:br w:type="page"/>
      </w:r>
    </w:p>
    <w:p>
      <w:pPr>
        <w:pStyle w:val="Heading1"/>
        <w:keepNext/>
        <w:widowControl/>
      </w:pPr>
      <w:r>
        <w:t>Contents</w:t>
      </w:r>
    </w:p>
    <w:p>
      <w:pPr>
        <w:spacing w:after="80"/>
        <w:ind w:left="425" w:hanging="312"/>
        <w:widowControl/>
      </w:pPr>
      <w:r>
        <w:rPr>
          <w:rFonts w:ascii="Aptos" w:hAnsi="Aptos"/>
          <w:b/>
          <w:sz w:val="20"/>
        </w:rPr>
        <w:t xml:space="preserve">1.  </w:t>
      </w:r>
      <w:r>
        <w:rPr>
          <w:rFonts w:ascii="Aptos" w:hAnsi="Aptos"/>
          <w:sz w:val="20"/>
        </w:rPr>
        <w:t>Executive summary</w:t>
      </w:r>
    </w:p>
    <w:p>
      <w:pPr>
        <w:spacing w:after="80"/>
        <w:ind w:left="425" w:hanging="312"/>
        <w:widowControl/>
      </w:pPr>
      <w:r>
        <w:rPr>
          <w:rFonts w:ascii="Aptos" w:hAnsi="Aptos"/>
          <w:b/>
          <w:sz w:val="20"/>
        </w:rPr>
        <w:t xml:space="preserve">2.  </w:t>
      </w:r>
      <w:r>
        <w:rPr>
          <w:rFonts w:ascii="Aptos" w:hAnsi="Aptos"/>
          <w:sz w:val="20"/>
        </w:rPr>
        <w:t>Production architecture</w:t>
      </w:r>
    </w:p>
    <w:p>
      <w:pPr>
        <w:spacing w:after="80"/>
        <w:ind w:left="425" w:hanging="312"/>
        <w:widowControl/>
      </w:pPr>
      <w:r>
        <w:rPr>
          <w:rFonts w:ascii="Aptos" w:hAnsi="Aptos"/>
          <w:b/>
          <w:sz w:val="20"/>
        </w:rPr>
        <w:t xml:space="preserve">3.  </w:t>
      </w:r>
      <w:r>
        <w:rPr>
          <w:rFonts w:ascii="Aptos" w:hAnsi="Aptos"/>
          <w:sz w:val="20"/>
        </w:rPr>
        <w:t>Infrastructure inventory</w:t>
      </w:r>
    </w:p>
    <w:p>
      <w:pPr>
        <w:spacing w:after="80"/>
        <w:ind w:left="425" w:hanging="312"/>
        <w:widowControl/>
      </w:pPr>
      <w:r>
        <w:rPr>
          <w:rFonts w:ascii="Aptos" w:hAnsi="Aptos"/>
          <w:b/>
          <w:sz w:val="20"/>
        </w:rPr>
        <w:t xml:space="preserve">4.  </w:t>
      </w:r>
      <w:r>
        <w:rPr>
          <w:rFonts w:ascii="Aptos" w:hAnsi="Aptos"/>
          <w:sz w:val="20"/>
        </w:rPr>
        <w:t>Country node services and data</w:t>
      </w:r>
    </w:p>
    <w:p>
      <w:pPr>
        <w:spacing w:after="80"/>
        <w:ind w:left="425" w:hanging="312"/>
        <w:widowControl/>
      </w:pPr>
      <w:r>
        <w:rPr>
          <w:rFonts w:ascii="Aptos" w:hAnsi="Aptos"/>
          <w:b/>
          <w:sz w:val="20"/>
        </w:rPr>
        <w:t xml:space="preserve">5.  </w:t>
      </w:r>
      <w:r>
        <w:rPr>
          <w:rFonts w:ascii="Aptos" w:hAnsi="Aptos"/>
          <w:sz w:val="20"/>
        </w:rPr>
        <w:t>Capacity and storage</w:t>
      </w:r>
    </w:p>
    <w:p>
      <w:pPr>
        <w:spacing w:after="80"/>
        <w:ind w:left="425" w:hanging="312"/>
        <w:widowControl/>
      </w:pPr>
      <w:r>
        <w:rPr>
          <w:rFonts w:ascii="Aptos" w:hAnsi="Aptos"/>
          <w:b/>
          <w:sz w:val="20"/>
        </w:rPr>
        <w:t xml:space="preserve">6.  </w:t>
      </w:r>
      <w:r>
        <w:rPr>
          <w:rFonts w:ascii="Aptos" w:hAnsi="Aptos"/>
          <w:sz w:val="20"/>
        </w:rPr>
        <w:t>Expenses and budget planning</w:t>
      </w:r>
    </w:p>
    <w:p>
      <w:pPr>
        <w:spacing w:after="80"/>
        <w:ind w:left="425" w:hanging="312"/>
        <w:widowControl/>
      </w:pPr>
      <w:r>
        <w:rPr>
          <w:rFonts w:ascii="Aptos" w:hAnsi="Aptos"/>
          <w:b/>
          <w:sz w:val="20"/>
        </w:rPr>
        <w:t xml:space="preserve">7.  </w:t>
      </w:r>
      <w:r>
        <w:rPr>
          <w:rFonts w:ascii="Aptos" w:hAnsi="Aptos"/>
          <w:sz w:val="20"/>
        </w:rPr>
        <w:t>Security controls</w:t>
      </w:r>
    </w:p>
    <w:p>
      <w:pPr>
        <w:spacing w:after="80"/>
        <w:ind w:left="425" w:hanging="312"/>
        <w:widowControl/>
      </w:pPr>
      <w:r>
        <w:rPr>
          <w:rFonts w:ascii="Aptos" w:hAnsi="Aptos"/>
          <w:b/>
          <w:sz w:val="20"/>
        </w:rPr>
        <w:t xml:space="preserve">8.  </w:t>
      </w:r>
      <w:r>
        <w:rPr>
          <w:rFonts w:ascii="Aptos" w:hAnsi="Aptos"/>
          <w:sz w:val="20"/>
        </w:rPr>
        <w:t>Backup and recovery</w:t>
      </w:r>
    </w:p>
    <w:p>
      <w:pPr>
        <w:spacing w:after="80"/>
        <w:ind w:left="425" w:hanging="312"/>
        <w:widowControl/>
      </w:pPr>
      <w:r>
        <w:rPr>
          <w:rFonts w:ascii="Aptos" w:hAnsi="Aptos"/>
          <w:b/>
          <w:sz w:val="20"/>
        </w:rPr>
        <w:t xml:space="preserve">9.  </w:t>
      </w:r>
      <w:r>
        <w:rPr>
          <w:rFonts w:ascii="Aptos" w:hAnsi="Aptos"/>
          <w:sz w:val="20"/>
        </w:rPr>
        <w:t>Monitoring and alerting</w:t>
      </w:r>
    </w:p>
    <w:p>
      <w:pPr>
        <w:spacing w:after="80"/>
        <w:ind w:left="425" w:hanging="312"/>
        <w:widowControl/>
      </w:pPr>
      <w:r>
        <w:rPr>
          <w:rFonts w:ascii="Aptos" w:hAnsi="Aptos"/>
          <w:b/>
          <w:sz w:val="20"/>
        </w:rPr>
        <w:t xml:space="preserve">10.  </w:t>
      </w:r>
      <w:r>
        <w:rPr>
          <w:rFonts w:ascii="Aptos" w:hAnsi="Aptos"/>
          <w:sz w:val="20"/>
        </w:rPr>
        <w:t>Routine operations and change management</w:t>
      </w:r>
    </w:p>
    <w:p>
      <w:pPr>
        <w:spacing w:after="80"/>
        <w:ind w:left="425" w:hanging="312"/>
        <w:widowControl/>
      </w:pPr>
      <w:r>
        <w:rPr>
          <w:rFonts w:ascii="Aptos" w:hAnsi="Aptos"/>
          <w:b/>
          <w:sz w:val="20"/>
        </w:rPr>
        <w:t xml:space="preserve">11.  </w:t>
      </w:r>
      <w:r>
        <w:rPr>
          <w:rFonts w:ascii="Aptos" w:hAnsi="Aptos"/>
          <w:sz w:val="20"/>
        </w:rPr>
        <w:t>Incident response and rollback</w:t>
      </w:r>
    </w:p>
    <w:p>
      <w:pPr>
        <w:spacing w:after="80"/>
        <w:ind w:left="425" w:hanging="312"/>
        <w:widowControl/>
      </w:pPr>
      <w:r>
        <w:rPr>
          <w:rFonts w:ascii="Aptos" w:hAnsi="Aptos"/>
          <w:b/>
          <w:sz w:val="20"/>
        </w:rPr>
        <w:t xml:space="preserve">12.  </w:t>
      </w:r>
      <w:r>
        <w:rPr>
          <w:rFonts w:ascii="Aptos" w:hAnsi="Aptos"/>
          <w:sz w:val="20"/>
        </w:rPr>
        <w:t>Risks and prioritized action plan</w:t>
      </w:r>
    </w:p>
    <w:p>
      <w:pPr>
        <w:spacing w:after="80"/>
        <w:ind w:left="425" w:hanging="312"/>
        <w:widowControl/>
      </w:pPr>
      <w:r>
        <w:rPr>
          <w:rFonts w:ascii="Aptos" w:hAnsi="Aptos"/>
          <w:b/>
          <w:sz w:val="20"/>
        </w:rPr>
        <w:t xml:space="preserve">13.  </w:t>
      </w:r>
      <w:r>
        <w:rPr>
          <w:rFonts w:ascii="Aptos" w:hAnsi="Aptos"/>
          <w:sz w:val="20"/>
        </w:rPr>
        <w:t>Ownership and access management</w:t>
      </w:r>
    </w:p>
    <w:p>
      <w:pPr>
        <w:spacing w:after="80"/>
        <w:ind w:left="425" w:hanging="312"/>
        <w:widowControl/>
      </w:pPr>
      <w:r>
        <w:rPr>
          <w:rFonts w:ascii="Aptos" w:hAnsi="Aptos"/>
          <w:b/>
          <w:sz w:val="20"/>
        </w:rPr>
        <w:t xml:space="preserve">14.  </w:t>
      </w:r>
      <w:r>
        <w:rPr>
          <w:rFonts w:ascii="Aptos" w:hAnsi="Aptos"/>
          <w:sz w:val="20"/>
        </w:rPr>
        <w:t>Appendix A Operational commands</w:t>
      </w:r>
    </w:p>
    <w:p>
      <w:pPr>
        <w:spacing w:after="80"/>
        <w:ind w:left="425" w:hanging="312"/>
        <w:widowControl/>
      </w:pPr>
      <w:r>
        <w:rPr>
          <w:rFonts w:ascii="Aptos" w:hAnsi="Aptos"/>
          <w:b/>
          <w:sz w:val="20"/>
        </w:rPr>
        <w:t xml:space="preserve">15.  </w:t>
      </w:r>
      <w:r>
        <w:rPr>
          <w:rFonts w:ascii="Aptos" w:hAnsi="Aptos"/>
          <w:sz w:val="20"/>
        </w:rPr>
        <w:t>Appendix B Reference sources</w:t>
      </w:r>
    </w:p>
    <w:p>
      <w:pPr>
        <w:pStyle w:val="Heading2"/>
        <w:keepNext/>
        <w:widowControl/>
      </w:pPr>
      <w:r>
        <w:t>Document use</w:t>
      </w:r>
    </w:p>
    <w:p>
      <w:pPr>
        <w:spacing w:after="140" w:line="269" w:lineRule="auto"/>
        <w:widowControl/>
      </w:pPr>
      <w:r>
        <w:rPr>
          <w:rFonts w:ascii="Aptos" w:hAnsi="Aptos"/>
          <w:sz w:val="20"/>
        </w:rPr>
        <w:t>Sections 2 through 6 explain what is running and what it costs. Sections 7 through 11 define the required operating controls. Section 12 should be used as the initial remediation backlog. Appendix A contains read-only commands for routine diagnosis.</w:t>
      </w:r>
    </w:p>
    <w:p>
      <w:pPr>
        <w:widowControl/>
      </w:pPr>
      <w:r>
        <w:br w:type="page"/>
      </w:r>
    </w:p>
    <w:p>
      <w:pPr>
        <w:pStyle w:val="Heading1"/>
        <w:keepNext/>
        <w:widowControl/>
      </w:pPr>
      <w:r>
        <w:t>1 Executive summary</w:t>
      </w:r>
    </w:p>
    <w:p>
      <w:pPr>
        <w:spacing w:after="140" w:line="269" w:lineRule="auto"/>
        <w:widowControl/>
      </w:pPr>
      <w:r>
        <w:rPr>
          <w:rFonts w:ascii="Aptos" w:hAnsi="Aptos"/>
          <w:sz w:val="20"/>
        </w:rPr>
        <w:t>The AI EFFECT Solution Studio and all four country node use cases currently run as Docker containers on one shared Contabo VPS. The portal does not depend on a developer laptop. Browser traffic reaches Traefik over HTTPS, the Solution Studio communicates with a private API and WP3 orchestrator, and the orchestrator invokes country services over private Docker networks.</w:t>
      </w:r>
    </w:p>
    <w:p>
      <w:pPr>
        <w:spacing w:after="140" w:line="269" w:lineRule="auto"/>
        <w:widowControl/>
      </w:pPr>
      <w:r>
        <w:rPr>
          <w:rFonts w:ascii="Aptos" w:hAnsi="Aptos"/>
          <w:sz w:val="20"/>
        </w:rPr>
        <w:t>The server has sufficient capacity for the initial controlled release. It provides 8 virtual CPUs, 24 GB RAM and a 200 GB NVMe disk. At the time of measurement, 89 GB was used, 97 GB was available, approximately 4.2 GB of RAM was used across the whole server, and approximately 18 GB of RAM remained available.</w:t>
      </w:r>
    </w:p>
    <w:p>
      <w:pPr>
        <w:spacing w:after="140" w:line="269" w:lineRule="auto"/>
        <w:widowControl/>
      </w:pPr>
      <w:r>
        <w:rPr>
          <w:rFonts w:ascii="Aptos" w:hAnsi="Aptos"/>
          <w:sz w:val="20"/>
        </w:rPr>
        <w:t>The four use cases passed end-to-end production acceptance. Twelve country-node workflow tasks completed successfully and returned output references. The portal catalogue contains sixteen services, including the twelve accepted German, Portuguese, Danish and Dutch services.</w:t>
      </w:r>
    </w:p>
    <w:p>
      <w:pPr>
        <w:pStyle w:val="Heading2"/>
        <w:keepNext/>
        <w:widowControl/>
      </w:pPr>
      <w:r>
        <w:t>Immediate IT priorities</w:t>
      </w:r>
    </w:p>
    <w:p>
      <w:pPr>
        <w:spacing w:after="80"/>
        <w:ind w:left="425" w:hanging="312"/>
        <w:widowControl/>
      </w:pPr>
      <w:r>
        <w:rPr>
          <w:rFonts w:ascii="Aptos" w:hAnsi="Aptos"/>
          <w:b/>
          <w:sz w:val="20"/>
        </w:rPr>
        <w:t xml:space="preserve">1.  </w:t>
      </w:r>
      <w:r>
        <w:rPr>
          <w:rFonts w:ascii="Aptos" w:hAnsi="Aptos"/>
          <w:sz w:val="20"/>
        </w:rPr>
        <w:t>Create and test a nightly backup for the new Solution Studio PostgreSQL database and copy it off the VPS.</w:t>
      </w:r>
    </w:p>
    <w:p>
      <w:pPr>
        <w:spacing w:after="80"/>
        <w:ind w:left="425" w:hanging="312"/>
        <w:widowControl/>
      </w:pPr>
      <w:r>
        <w:rPr>
          <w:rFonts w:ascii="Aptos" w:hAnsi="Aptos"/>
          <w:b/>
          <w:sz w:val="20"/>
        </w:rPr>
        <w:t xml:space="preserve">2.  </w:t>
      </w:r>
      <w:r>
        <w:rPr>
          <w:rFonts w:ascii="Aptos" w:hAnsi="Aptos"/>
          <w:sz w:val="20"/>
        </w:rPr>
        <w:t>Add automatic restart policies and Docker health checks to the German containers and Portuguese ClickHouse.</w:t>
      </w:r>
    </w:p>
    <w:p>
      <w:pPr>
        <w:spacing w:after="80"/>
        <w:ind w:left="425" w:hanging="312"/>
        <w:widowControl/>
      </w:pPr>
      <w:r>
        <w:rPr>
          <w:rFonts w:ascii="Aptos" w:hAnsi="Aptos"/>
          <w:b/>
          <w:sz w:val="20"/>
        </w:rPr>
        <w:t xml:space="preserve">3.  </w:t>
      </w:r>
      <w:r>
        <w:rPr>
          <w:rFonts w:ascii="Aptos" w:hAnsi="Aptos"/>
          <w:sz w:val="20"/>
        </w:rPr>
        <w:t>Configure bounded Docker log rotation so a noisy service cannot fill the system disk.</w:t>
      </w:r>
    </w:p>
    <w:p>
      <w:pPr>
        <w:spacing w:after="80"/>
        <w:ind w:left="425" w:hanging="312"/>
        <w:widowControl/>
      </w:pPr>
      <w:r>
        <w:rPr>
          <w:rFonts w:ascii="Aptos" w:hAnsi="Aptos"/>
          <w:b/>
          <w:sz w:val="20"/>
        </w:rPr>
        <w:t xml:space="preserve">4.  </w:t>
      </w:r>
      <w:r>
        <w:rPr>
          <w:rFonts w:ascii="Aptos" w:hAnsi="Aptos"/>
          <w:sz w:val="20"/>
        </w:rPr>
        <w:t>Repair or stop the unrelated evpa-nginx-1 container, which is continuously restarting.</w:t>
      </w:r>
    </w:p>
    <w:p>
      <w:pPr>
        <w:spacing w:after="80"/>
        <w:ind w:left="425" w:hanging="312"/>
        <w:widowControl/>
      </w:pPr>
      <w:r>
        <w:rPr>
          <w:rFonts w:ascii="Aptos" w:hAnsi="Aptos"/>
          <w:b/>
          <w:sz w:val="20"/>
        </w:rPr>
        <w:t xml:space="preserve">5.  </w:t>
      </w:r>
      <w:r>
        <w:rPr>
          <w:rFonts w:ascii="Aptos" w:hAnsi="Aptos"/>
          <w:sz w:val="20"/>
        </w:rPr>
        <w:t>Implement external availability, disk, backup and container-health alerts before broad public promotion.</w:t>
      </w:r>
    </w:p>
    <w:p>
      <w:pPr>
        <w:spacing w:after="120"/>
        <w:widowControl/>
      </w:pPr>
      <w:r>
        <w:rPr>
          <w:rFonts w:ascii="Aptos" w:hAnsi="Aptos"/>
          <w:b/>
          <w:color w:val="16794B"/>
          <w:sz w:val="20"/>
        </w:rPr>
        <w:t xml:space="preserve">Capacity decision  </w:t>
      </w:r>
      <w:r>
        <w:rPr>
          <w:rFonts w:ascii="Aptos" w:hAnsi="Aptos"/>
          <w:sz w:val="20"/>
        </w:rPr>
        <w:t>No immediate VPS upgrade is required. A dedicated AI EFFECT VPS should be considered when the system begins handling sustained public traffic or authoritative user data.</w:t>
      </w:r>
    </w:p>
    <w:p>
      <w:pPr>
        <w:widowControl/>
      </w:pPr>
      <w:r>
        <w:br w:type="page"/>
      </w:r>
    </w:p>
    <w:p>
      <w:pPr>
        <w:pStyle w:val="Heading1"/>
        <w:keepNext/>
        <w:widowControl/>
      </w:pPr>
      <w:r>
        <w:t>2 Production architecture</w:t>
      </w:r>
    </w:p>
    <w:p>
      <w:pPr>
        <w:spacing w:after="140" w:line="269" w:lineRule="auto"/>
        <w:widowControl/>
      </w:pPr>
      <w:r>
        <w:rPr>
          <w:rFonts w:ascii="Aptos" w:hAnsi="Aptos"/>
          <w:sz w:val="20"/>
        </w:rPr>
        <w:t>The production design separates the public web entry point from private application and country-node services. Only the reverse proxy should accept public web traffic for AI EFFECT.</w:t>
      </w:r>
    </w:p>
    <w:p>
      <w:pPr>
        <w:spacing w:before="160" w:after="200"/>
        <w:jc w:val="center"/>
        <w:widowControl/>
      </w:pPr>
      <w:r>
        <w:rPr>
          <w:rFonts w:ascii="Consolas" w:hAnsi="Consolas"/>
          <w:b w:val="0"/>
          <w:sz w:val="18"/>
        </w:rPr>
        <w:t>User browser over HTTPS</w:t>
        <w:br/>
      </w:r>
      <w:r>
        <w:rPr>
          <w:rFonts w:ascii="Consolas" w:hAnsi="Consolas"/>
          <w:b w:val="0"/>
          <w:sz w:val="18"/>
        </w:rPr>
        <w:t xml:space="preserve">        |</w:t>
        <w:br/>
      </w:r>
      <w:r>
        <w:rPr>
          <w:rFonts w:ascii="Consolas" w:hAnsi="Consolas"/>
          <w:b/>
          <w:sz w:val="18"/>
        </w:rPr>
        <w:t>Traefik reverse proxy and TLS termination</w:t>
        <w:br/>
      </w:r>
      <w:r>
        <w:rPr>
          <w:rFonts w:ascii="Consolas" w:hAnsi="Consolas"/>
          <w:b w:val="0"/>
          <w:sz w:val="18"/>
        </w:rPr>
        <w:t xml:space="preserve">        |</w:t>
        <w:br/>
      </w:r>
      <w:r>
        <w:rPr>
          <w:rFonts w:ascii="Consolas" w:hAnsi="Consolas"/>
          <w:b/>
          <w:sz w:val="18"/>
        </w:rPr>
        <w:t>Solution Studio web application</w:t>
        <w:br/>
      </w:r>
      <w:r>
        <w:rPr>
          <w:rFonts w:ascii="Consolas" w:hAnsi="Consolas"/>
          <w:b w:val="0"/>
          <w:sz w:val="18"/>
        </w:rPr>
        <w:t xml:space="preserve">        | private Docker network</w:t>
        <w:br/>
      </w:r>
      <w:r>
        <w:rPr>
          <w:rFonts w:ascii="Consolas" w:hAnsi="Consolas"/>
          <w:b/>
          <w:sz w:val="18"/>
        </w:rPr>
        <w:t>Solution Studio API and PostgreSQL</w:t>
        <w:br/>
      </w:r>
      <w:r>
        <w:rPr>
          <w:rFonts w:ascii="Consolas" w:hAnsi="Consolas"/>
          <w:b w:val="0"/>
          <w:sz w:val="18"/>
        </w:rPr>
        <w:t xml:space="preserve">        |</w:t>
        <w:br/>
      </w:r>
      <w:r>
        <w:rPr>
          <w:rFonts w:ascii="Consolas" w:hAnsi="Consolas"/>
          <w:b/>
          <w:sz w:val="18"/>
        </w:rPr>
        <w:t>WP3 orchestrator Redis and workers</w:t>
        <w:br/>
      </w:r>
      <w:r>
        <w:rPr>
          <w:rFonts w:ascii="Consolas" w:hAnsi="Consolas"/>
          <w:b w:val="0"/>
          <w:sz w:val="18"/>
        </w:rPr>
        <w:t xml:space="preserve">        | private ai-effect-services network</w:t>
        <w:br/>
      </w:r>
      <w:r>
        <w:rPr>
          <w:rFonts w:ascii="Consolas" w:hAnsi="Consolas"/>
          <w:b/>
          <w:sz w:val="18"/>
        </w:rPr>
        <w:t>German   Portuguese   Danish   Dutch containers</w:t>
        <w:br/>
      </w:r>
    </w:p>
    <w:p>
      <w:pPr>
        <w:spacing w:after="140" w:line="269" w:lineRule="auto"/>
        <w:widowControl/>
      </w:pPr>
      <w:r>
        <w:rPr>
          <w:rFonts w:ascii="Aptos" w:hAnsi="Aptos"/>
          <w:sz w:val="20"/>
        </w:rPr>
        <w:t>The public portal is available at platform.ai-effect.eu and portal.renewenergy.io. Both hostnames resolve to 212.47.78.250 and use the same production application. Traefik manages TLS certificates and routing.</w:t>
      </w:r>
    </w:p>
    <w:p>
      <w:pPr>
        <w:pStyle w:val="Heading2"/>
        <w:keepNext/>
        <w:widowControl/>
      </w:pPr>
      <w:r>
        <w:t>Network trust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1984"/>
            <w:shd w:fill="17365D"/>
            <w:tcMar>
              <w:top w:w="115" w:type="dxa"/>
              <w:start w:w="120" w:type="dxa"/>
              <w:bottom w:w="115" w:type="dxa"/>
              <w:end w:w="120" w:type="dxa"/>
            </w:tcMar>
            <w:vAlign w:val="center"/>
          </w:tcPr>
          <w:p>
            <w:pPr>
              <w:spacing w:after="0"/>
              <w:jc w:val="center"/>
            </w:pPr>
            <w:r>
              <w:rPr>
                <w:rFonts w:ascii="Aptos" w:hAnsi="Aptos"/>
                <w:b/>
                <w:color w:val="FFFFFF"/>
                <w:sz w:val="17"/>
              </w:rPr>
              <w:t>Boundary</w:t>
            </w:r>
          </w:p>
        </w:tc>
        <w:tc>
          <w:tcPr>
            <w:tcW w:type="dxa" w:w="3628"/>
            <w:shd w:fill="17365D"/>
            <w:tcMar>
              <w:top w:w="115" w:type="dxa"/>
              <w:start w:w="120" w:type="dxa"/>
              <w:bottom w:w="115" w:type="dxa"/>
              <w:end w:w="120" w:type="dxa"/>
            </w:tcMar>
            <w:vAlign w:val="center"/>
          </w:tcPr>
          <w:p>
            <w:pPr>
              <w:spacing w:after="0"/>
              <w:jc w:val="center"/>
            </w:pPr>
            <w:r>
              <w:rPr>
                <w:rFonts w:ascii="Aptos" w:hAnsi="Aptos"/>
                <w:b/>
                <w:color w:val="FFFFFF"/>
                <w:sz w:val="17"/>
              </w:rPr>
              <w:t>Current design</w:t>
            </w:r>
          </w:p>
        </w:tc>
        <w:tc>
          <w:tcPr>
            <w:tcW w:type="dxa" w:w="4025"/>
            <w:shd w:fill="17365D"/>
            <w:tcMar>
              <w:top w:w="115" w:type="dxa"/>
              <w:start w:w="120" w:type="dxa"/>
              <w:bottom w:w="115" w:type="dxa"/>
              <w:end w:w="120" w:type="dxa"/>
            </w:tcMar>
            <w:vAlign w:val="center"/>
          </w:tcPr>
          <w:p>
            <w:pPr>
              <w:spacing w:after="0"/>
              <w:jc w:val="center"/>
            </w:pPr>
            <w:r>
              <w:rPr>
                <w:rFonts w:ascii="Aptos" w:hAnsi="Aptos"/>
                <w:b/>
                <w:color w:val="FFFFFF"/>
                <w:sz w:val="17"/>
              </w:rPr>
              <w:t>IT requirement</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Internet to Traefik</w:t>
            </w:r>
          </w:p>
        </w:tc>
        <w:tc>
          <w:tcPr>
            <w:tcW w:type="dxa" w:w="3628"/>
            <w:tcMar>
              <w:top w:w="100" w:type="dxa"/>
              <w:start w:w="120" w:type="dxa"/>
              <w:bottom w:w="100" w:type="dxa"/>
              <w:end w:w="120" w:type="dxa"/>
            </w:tcMar>
            <w:vAlign w:val="center"/>
          </w:tcPr>
          <w:p>
            <w:pPr>
              <w:spacing w:after="0" w:line="252" w:lineRule="auto"/>
              <w:jc w:val="left"/>
            </w:pPr>
            <w:r>
              <w:rPr>
                <w:rFonts w:ascii="Aptos" w:hAnsi="Aptos"/>
                <w:color w:val="000000"/>
                <w:sz w:val="16"/>
              </w:rPr>
              <w:t>HTTPS on ports 80 and 443 with automatic certificate handling</w:t>
            </w:r>
          </w:p>
        </w:tc>
        <w:tc>
          <w:tcPr>
            <w:tcW w:type="dxa" w:w="4025"/>
            <w:tcMar>
              <w:top w:w="100" w:type="dxa"/>
              <w:start w:w="120" w:type="dxa"/>
              <w:bottom w:w="100" w:type="dxa"/>
              <w:end w:w="120" w:type="dxa"/>
            </w:tcMar>
            <w:vAlign w:val="center"/>
          </w:tcPr>
          <w:p>
            <w:pPr>
              <w:spacing w:after="0" w:line="252" w:lineRule="auto"/>
              <w:jc w:val="left"/>
            </w:pPr>
            <w:r>
              <w:rPr>
                <w:rFonts w:ascii="Aptos" w:hAnsi="Aptos"/>
                <w:color w:val="000000"/>
                <w:sz w:val="16"/>
              </w:rPr>
              <w:t>Monitor certificate renewal and redirect HTTP to HTTPS</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Traefik to web</w:t>
            </w:r>
          </w:p>
        </w:tc>
        <w:tc>
          <w:tcPr>
            <w:tcW w:type="dxa" w:w="362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Private Docker network; web also binds to 127.0.0.1:13000</w:t>
            </w:r>
          </w:p>
        </w:tc>
        <w:tc>
          <w:tcPr>
            <w:tcW w:type="dxa" w:w="402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Do not publish the application port externally</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Web to API</w:t>
            </w:r>
          </w:p>
        </w:tc>
        <w:tc>
          <w:tcPr>
            <w:tcW w:type="dxa" w:w="3628"/>
            <w:tcMar>
              <w:top w:w="100" w:type="dxa"/>
              <w:start w:w="120" w:type="dxa"/>
              <w:bottom w:w="100" w:type="dxa"/>
              <w:end w:w="120" w:type="dxa"/>
            </w:tcMar>
            <w:vAlign w:val="center"/>
          </w:tcPr>
          <w:p>
            <w:pPr>
              <w:spacing w:after="0" w:line="252" w:lineRule="auto"/>
              <w:jc w:val="left"/>
            </w:pPr>
            <w:r>
              <w:rPr>
                <w:rFonts w:ascii="Aptos" w:hAnsi="Aptos"/>
                <w:color w:val="000000"/>
                <w:sz w:val="16"/>
              </w:rPr>
              <w:t>Private Docker network</w:t>
            </w:r>
          </w:p>
        </w:tc>
        <w:tc>
          <w:tcPr>
            <w:tcW w:type="dxa" w:w="4025"/>
            <w:tcMar>
              <w:top w:w="100" w:type="dxa"/>
              <w:start w:w="120" w:type="dxa"/>
              <w:bottom w:w="100" w:type="dxa"/>
              <w:end w:w="120" w:type="dxa"/>
            </w:tcMar>
            <w:vAlign w:val="center"/>
          </w:tcPr>
          <w:p>
            <w:pPr>
              <w:spacing w:after="0" w:line="252" w:lineRule="auto"/>
              <w:jc w:val="left"/>
            </w:pPr>
            <w:r>
              <w:rPr>
                <w:rFonts w:ascii="Aptos" w:hAnsi="Aptos"/>
                <w:color w:val="000000"/>
                <w:sz w:val="16"/>
              </w:rPr>
              <w:t>Keep API database credentials server-side</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API to WP3</w:t>
            </w:r>
          </w:p>
        </w:tc>
        <w:tc>
          <w:tcPr>
            <w:tcW w:type="dxa" w:w="362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Orchestrator bound to 127.0.0.1:18000 and private networks</w:t>
            </w:r>
          </w:p>
        </w:tc>
        <w:tc>
          <w:tcPr>
            <w:tcW w:type="dxa" w:w="402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Do not expose orchestrator or Redis publicly</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WP3 to country nodes</w:t>
            </w:r>
          </w:p>
        </w:tc>
        <w:tc>
          <w:tcPr>
            <w:tcW w:type="dxa" w:w="3628"/>
            <w:tcMar>
              <w:top w:w="100" w:type="dxa"/>
              <w:start w:w="120" w:type="dxa"/>
              <w:bottom w:w="100" w:type="dxa"/>
              <w:end w:w="120" w:type="dxa"/>
            </w:tcMar>
            <w:vAlign w:val="center"/>
          </w:tcPr>
          <w:p>
            <w:pPr>
              <w:spacing w:after="0" w:line="252" w:lineRule="auto"/>
              <w:jc w:val="left"/>
            </w:pPr>
            <w:r>
              <w:rPr>
                <w:rFonts w:ascii="Aptos" w:hAnsi="Aptos"/>
                <w:color w:val="000000"/>
                <w:sz w:val="16"/>
              </w:rPr>
              <w:t>External private Docker network named ai-effect-services</w:t>
            </w:r>
          </w:p>
        </w:tc>
        <w:tc>
          <w:tcPr>
            <w:tcW w:type="dxa" w:w="4025"/>
            <w:tcMar>
              <w:top w:w="100" w:type="dxa"/>
              <w:start w:w="120" w:type="dxa"/>
              <w:bottom w:w="100" w:type="dxa"/>
              <w:end w:w="120" w:type="dxa"/>
            </w:tcMar>
            <w:vAlign w:val="center"/>
          </w:tcPr>
          <w:p>
            <w:pPr>
              <w:spacing w:after="0" w:line="252" w:lineRule="auto"/>
              <w:jc w:val="left"/>
            </w:pPr>
            <w:r>
              <w:rPr>
                <w:rFonts w:ascii="Aptos" w:hAnsi="Aptos"/>
                <w:color w:val="000000"/>
                <w:sz w:val="16"/>
              </w:rPr>
              <w:t>Country services must not publish host ports</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Administrator access</w:t>
            </w:r>
          </w:p>
        </w:tc>
        <w:tc>
          <w:tcPr>
            <w:tcW w:type="dxa" w:w="362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SSH key authentication to the renew account</w:t>
            </w:r>
          </w:p>
        </w:tc>
        <w:tc>
          <w:tcPr>
            <w:tcW w:type="dxa" w:w="402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Use named individual keys and remove departed users promptly</w:t>
            </w:r>
          </w:p>
        </w:tc>
      </w:tr>
    </w:tbl>
    <w:p>
      <w:pPr>
        <w:spacing w:after="0"/>
        <w:widowControl/>
      </w:pPr>
    </w:p>
    <w:p>
      <w:pPr>
        <w:widowControl/>
      </w:pPr>
      <w:r>
        <w:br w:type="page"/>
      </w:r>
    </w:p>
    <w:p>
      <w:pPr>
        <w:pStyle w:val="Heading1"/>
        <w:keepNext/>
        <w:widowControl/>
      </w:pPr>
      <w:r>
        <w:t>3 Infrastructure inventory</w:t>
      </w:r>
    </w:p>
    <w:p>
      <w:pPr>
        <w:pStyle w:val="Heading2"/>
        <w:keepNext/>
        <w:widowControl/>
      </w:pPr>
      <w:r>
        <w:t>Server specification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1871"/>
            <w:shd w:fill="17365D"/>
            <w:tcMar>
              <w:top w:w="115" w:type="dxa"/>
              <w:start w:w="120" w:type="dxa"/>
              <w:bottom w:w="115" w:type="dxa"/>
              <w:end w:w="120" w:type="dxa"/>
            </w:tcMar>
            <w:vAlign w:val="center"/>
          </w:tcPr>
          <w:p>
            <w:pPr>
              <w:spacing w:after="0"/>
              <w:jc w:val="center"/>
            </w:pPr>
            <w:r>
              <w:rPr>
                <w:rFonts w:ascii="Aptos" w:hAnsi="Aptos"/>
                <w:b/>
                <w:color w:val="FFFFFF"/>
                <w:sz w:val="17"/>
              </w:rPr>
              <w:t>Item</w:t>
            </w:r>
          </w:p>
        </w:tc>
        <w:tc>
          <w:tcPr>
            <w:tcW w:type="dxa" w:w="2891"/>
            <w:shd w:fill="17365D"/>
            <w:tcMar>
              <w:top w:w="115" w:type="dxa"/>
              <w:start w:w="120" w:type="dxa"/>
              <w:bottom w:w="115" w:type="dxa"/>
              <w:end w:w="120" w:type="dxa"/>
            </w:tcMar>
            <w:vAlign w:val="center"/>
          </w:tcPr>
          <w:p>
            <w:pPr>
              <w:spacing w:after="0"/>
              <w:jc w:val="center"/>
            </w:pPr>
            <w:r>
              <w:rPr>
                <w:rFonts w:ascii="Aptos" w:hAnsi="Aptos"/>
                <w:b/>
                <w:color w:val="FFFFFF"/>
                <w:sz w:val="17"/>
              </w:rPr>
              <w:t>Observed value</w:t>
            </w:r>
          </w:p>
        </w:tc>
        <w:tc>
          <w:tcPr>
            <w:tcW w:type="dxa" w:w="4876"/>
            <w:shd w:fill="17365D"/>
            <w:tcMar>
              <w:top w:w="115" w:type="dxa"/>
              <w:start w:w="120" w:type="dxa"/>
              <w:bottom w:w="115" w:type="dxa"/>
              <w:end w:w="120" w:type="dxa"/>
            </w:tcMar>
            <w:vAlign w:val="center"/>
          </w:tcPr>
          <w:p>
            <w:pPr>
              <w:spacing w:after="0"/>
              <w:jc w:val="center"/>
            </w:pPr>
            <w:r>
              <w:rPr>
                <w:rFonts w:ascii="Aptos" w:hAnsi="Aptos"/>
                <w:b/>
                <w:color w:val="FFFFFF"/>
                <w:sz w:val="17"/>
              </w:rPr>
              <w:t>Operational note</w:t>
            </w:r>
          </w:p>
        </w:tc>
      </w:tr>
      <w:tr>
        <w:trPr>
          <w:cantSplit/>
        </w:trPr>
        <w:tc>
          <w:tcPr>
            <w:tcW w:type="dxa" w:w="1871"/>
            <w:tcMar>
              <w:top w:w="100" w:type="dxa"/>
              <w:start w:w="120" w:type="dxa"/>
              <w:bottom w:w="100" w:type="dxa"/>
              <w:end w:w="120" w:type="dxa"/>
            </w:tcMar>
            <w:vAlign w:val="center"/>
          </w:tcPr>
          <w:p>
            <w:pPr>
              <w:spacing w:after="0" w:line="252" w:lineRule="auto"/>
              <w:jc w:val="left"/>
            </w:pPr>
            <w:r>
              <w:rPr>
                <w:rFonts w:ascii="Aptos" w:hAnsi="Aptos"/>
                <w:color w:val="000000"/>
                <w:sz w:val="17"/>
              </w:rPr>
              <w:t>Provider</w:t>
            </w:r>
          </w:p>
        </w:tc>
        <w:tc>
          <w:tcPr>
            <w:tcW w:type="dxa" w:w="2891"/>
            <w:tcMar>
              <w:top w:w="100" w:type="dxa"/>
              <w:start w:w="120" w:type="dxa"/>
              <w:bottom w:w="100" w:type="dxa"/>
              <w:end w:w="120" w:type="dxa"/>
            </w:tcMar>
            <w:vAlign w:val="center"/>
          </w:tcPr>
          <w:p>
            <w:pPr>
              <w:spacing w:after="0" w:line="252" w:lineRule="auto"/>
              <w:jc w:val="left"/>
            </w:pPr>
            <w:r>
              <w:rPr>
                <w:rFonts w:ascii="Aptos" w:hAnsi="Aptos"/>
                <w:color w:val="000000"/>
                <w:sz w:val="17"/>
              </w:rPr>
              <w:t>Contabo GmbH</w:t>
            </w:r>
          </w:p>
        </w:tc>
        <w:tc>
          <w:tcPr>
            <w:tcW w:type="dxa" w:w="4876"/>
            <w:tcMar>
              <w:top w:w="100" w:type="dxa"/>
              <w:start w:w="120" w:type="dxa"/>
              <w:bottom w:w="100" w:type="dxa"/>
              <w:end w:w="120" w:type="dxa"/>
            </w:tcMar>
            <w:vAlign w:val="center"/>
          </w:tcPr>
          <w:p>
            <w:pPr>
              <w:spacing w:after="0" w:line="252" w:lineRule="auto"/>
              <w:jc w:val="left"/>
            </w:pPr>
            <w:r>
              <w:rPr>
                <w:rFonts w:ascii="Aptos" w:hAnsi="Aptos"/>
                <w:color w:val="000000"/>
                <w:sz w:val="17"/>
              </w:rPr>
              <w:t>Confirmed from the public IP autonomous system</w:t>
            </w:r>
          </w:p>
        </w:tc>
      </w:tr>
      <w:tr>
        <w:trPr>
          <w:cantSplit/>
        </w:trPr>
        <w:tc>
          <w:tcPr>
            <w:tcW w:type="dxa" w:w="187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Host name</w:t>
            </w:r>
          </w:p>
        </w:tc>
        <w:tc>
          <w:tcPr>
            <w:tcW w:type="dxa" w:w="289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evpa-uat</w:t>
            </w:r>
          </w:p>
        </w:tc>
        <w:tc>
          <w:tcPr>
            <w:tcW w:type="dxa" w:w="487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Shared with PowerPal and legacy EVPA workloads</w:t>
            </w:r>
          </w:p>
        </w:tc>
      </w:tr>
      <w:tr>
        <w:trPr>
          <w:cantSplit/>
        </w:trPr>
        <w:tc>
          <w:tcPr>
            <w:tcW w:type="dxa" w:w="1871"/>
            <w:tcMar>
              <w:top w:w="100" w:type="dxa"/>
              <w:start w:w="120" w:type="dxa"/>
              <w:bottom w:w="100" w:type="dxa"/>
              <w:end w:w="120" w:type="dxa"/>
            </w:tcMar>
            <w:vAlign w:val="center"/>
          </w:tcPr>
          <w:p>
            <w:pPr>
              <w:spacing w:after="0" w:line="252" w:lineRule="auto"/>
              <w:jc w:val="left"/>
            </w:pPr>
            <w:r>
              <w:rPr>
                <w:rFonts w:ascii="Aptos" w:hAnsi="Aptos"/>
                <w:color w:val="000000"/>
                <w:sz w:val="17"/>
              </w:rPr>
              <w:t>Operating system</w:t>
            </w:r>
          </w:p>
        </w:tc>
        <w:tc>
          <w:tcPr>
            <w:tcW w:type="dxa" w:w="2891"/>
            <w:tcMar>
              <w:top w:w="100" w:type="dxa"/>
              <w:start w:w="120" w:type="dxa"/>
              <w:bottom w:w="100" w:type="dxa"/>
              <w:end w:w="120" w:type="dxa"/>
            </w:tcMar>
            <w:vAlign w:val="center"/>
          </w:tcPr>
          <w:p>
            <w:pPr>
              <w:spacing w:after="0" w:line="252" w:lineRule="auto"/>
              <w:jc w:val="left"/>
            </w:pPr>
            <w:r>
              <w:rPr>
                <w:rFonts w:ascii="Aptos" w:hAnsi="Aptos"/>
                <w:color w:val="000000"/>
                <w:sz w:val="17"/>
              </w:rPr>
              <w:t>Ubuntu 22.04</w:t>
            </w:r>
          </w:p>
        </w:tc>
        <w:tc>
          <w:tcPr>
            <w:tcW w:type="dxa" w:w="4876"/>
            <w:tcMar>
              <w:top w:w="100" w:type="dxa"/>
              <w:start w:w="120" w:type="dxa"/>
              <w:bottom w:w="100" w:type="dxa"/>
              <w:end w:w="120" w:type="dxa"/>
            </w:tcMar>
            <w:vAlign w:val="center"/>
          </w:tcPr>
          <w:p>
            <w:pPr>
              <w:spacing w:after="0" w:line="252" w:lineRule="auto"/>
              <w:jc w:val="left"/>
            </w:pPr>
            <w:r>
              <w:rPr>
                <w:rFonts w:ascii="Aptos" w:hAnsi="Aptos"/>
                <w:color w:val="000000"/>
                <w:sz w:val="17"/>
              </w:rPr>
              <w:t>Maintain security updates and supported packages</w:t>
            </w:r>
          </w:p>
        </w:tc>
      </w:tr>
      <w:tr>
        <w:trPr>
          <w:cantSplit/>
        </w:trPr>
        <w:tc>
          <w:tcPr>
            <w:tcW w:type="dxa" w:w="187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Compute</w:t>
            </w:r>
          </w:p>
        </w:tc>
        <w:tc>
          <w:tcPr>
            <w:tcW w:type="dxa" w:w="289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8 vCPUs on AMD EPYC</w:t>
            </w:r>
          </w:p>
        </w:tc>
        <w:tc>
          <w:tcPr>
            <w:tcW w:type="dxa" w:w="487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Shared VPS CPU; country workloads may contend during heavy runs</w:t>
            </w:r>
          </w:p>
        </w:tc>
      </w:tr>
      <w:tr>
        <w:trPr>
          <w:cantSplit/>
        </w:trPr>
        <w:tc>
          <w:tcPr>
            <w:tcW w:type="dxa" w:w="1871"/>
            <w:tcMar>
              <w:top w:w="100" w:type="dxa"/>
              <w:start w:w="120" w:type="dxa"/>
              <w:bottom w:w="100" w:type="dxa"/>
              <w:end w:w="120" w:type="dxa"/>
            </w:tcMar>
            <w:vAlign w:val="center"/>
          </w:tcPr>
          <w:p>
            <w:pPr>
              <w:spacing w:after="0" w:line="252" w:lineRule="auto"/>
              <w:jc w:val="left"/>
            </w:pPr>
            <w:r>
              <w:rPr>
                <w:rFonts w:ascii="Aptos" w:hAnsi="Aptos"/>
                <w:color w:val="000000"/>
                <w:sz w:val="17"/>
              </w:rPr>
              <w:t>Memory</w:t>
            </w:r>
          </w:p>
        </w:tc>
        <w:tc>
          <w:tcPr>
            <w:tcW w:type="dxa" w:w="2891"/>
            <w:tcMar>
              <w:top w:w="100" w:type="dxa"/>
              <w:start w:w="120" w:type="dxa"/>
              <w:bottom w:w="100" w:type="dxa"/>
              <w:end w:w="120" w:type="dxa"/>
            </w:tcMar>
            <w:vAlign w:val="center"/>
          </w:tcPr>
          <w:p>
            <w:pPr>
              <w:spacing w:after="0" w:line="252" w:lineRule="auto"/>
              <w:jc w:val="left"/>
            </w:pPr>
            <w:r>
              <w:rPr>
                <w:rFonts w:ascii="Aptos" w:hAnsi="Aptos"/>
                <w:color w:val="000000"/>
                <w:sz w:val="17"/>
              </w:rPr>
              <w:t>23.47 GiB usable</w:t>
            </w:r>
          </w:p>
        </w:tc>
        <w:tc>
          <w:tcPr>
            <w:tcW w:type="dxa" w:w="4876"/>
            <w:tcMar>
              <w:top w:w="100" w:type="dxa"/>
              <w:start w:w="120" w:type="dxa"/>
              <w:bottom w:w="100" w:type="dxa"/>
              <w:end w:w="120" w:type="dxa"/>
            </w:tcMar>
            <w:vAlign w:val="center"/>
          </w:tcPr>
          <w:p>
            <w:pPr>
              <w:spacing w:after="0" w:line="252" w:lineRule="auto"/>
              <w:jc w:val="left"/>
            </w:pPr>
            <w:r>
              <w:rPr>
                <w:rFonts w:ascii="Aptos" w:hAnsi="Aptos"/>
                <w:color w:val="000000"/>
                <w:sz w:val="17"/>
              </w:rPr>
              <w:t>Approximately 18 GiB available at the status snapshot</w:t>
            </w:r>
          </w:p>
        </w:tc>
      </w:tr>
      <w:tr>
        <w:trPr>
          <w:cantSplit/>
        </w:trPr>
        <w:tc>
          <w:tcPr>
            <w:tcW w:type="dxa" w:w="187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Disk</w:t>
            </w:r>
          </w:p>
        </w:tc>
        <w:tc>
          <w:tcPr>
            <w:tcW w:type="dxa" w:w="289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196 GiB formatted ext4</w:t>
            </w:r>
          </w:p>
        </w:tc>
        <w:tc>
          <w:tcPr>
            <w:tcW w:type="dxa" w:w="487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89 GiB used and 97 GiB free at the status snapshot</w:t>
            </w:r>
          </w:p>
        </w:tc>
      </w:tr>
      <w:tr>
        <w:trPr>
          <w:cantSplit/>
        </w:trPr>
        <w:tc>
          <w:tcPr>
            <w:tcW w:type="dxa" w:w="1871"/>
            <w:tcMar>
              <w:top w:w="100" w:type="dxa"/>
              <w:start w:w="120" w:type="dxa"/>
              <w:bottom w:w="100" w:type="dxa"/>
              <w:end w:w="120" w:type="dxa"/>
            </w:tcMar>
            <w:vAlign w:val="center"/>
          </w:tcPr>
          <w:p>
            <w:pPr>
              <w:spacing w:after="0" w:line="252" w:lineRule="auto"/>
              <w:jc w:val="left"/>
            </w:pPr>
            <w:r>
              <w:rPr>
                <w:rFonts w:ascii="Aptos" w:hAnsi="Aptos"/>
                <w:color w:val="000000"/>
                <w:sz w:val="17"/>
              </w:rPr>
              <w:t>Docker root</w:t>
            </w:r>
          </w:p>
        </w:tc>
        <w:tc>
          <w:tcPr>
            <w:tcW w:type="dxa" w:w="2891"/>
            <w:tcMar>
              <w:top w:w="100" w:type="dxa"/>
              <w:start w:w="120" w:type="dxa"/>
              <w:bottom w:w="100" w:type="dxa"/>
              <w:end w:w="120" w:type="dxa"/>
            </w:tcMar>
            <w:vAlign w:val="center"/>
          </w:tcPr>
          <w:p>
            <w:pPr>
              <w:spacing w:after="0" w:line="252" w:lineRule="auto"/>
              <w:jc w:val="left"/>
            </w:pPr>
            <w:r>
              <w:rPr>
                <w:rFonts w:ascii="Aptos" w:hAnsi="Aptos"/>
                <w:color w:val="000000"/>
                <w:sz w:val="17"/>
              </w:rPr>
              <w:t>/var/lib/docker</w:t>
            </w:r>
          </w:p>
        </w:tc>
        <w:tc>
          <w:tcPr>
            <w:tcW w:type="dxa" w:w="4876"/>
            <w:tcMar>
              <w:top w:w="100" w:type="dxa"/>
              <w:start w:w="120" w:type="dxa"/>
              <w:bottom w:w="100" w:type="dxa"/>
              <w:end w:w="120" w:type="dxa"/>
            </w:tcMar>
            <w:vAlign w:val="center"/>
          </w:tcPr>
          <w:p>
            <w:pPr>
              <w:spacing w:after="0" w:line="252" w:lineRule="auto"/>
              <w:jc w:val="left"/>
            </w:pPr>
            <w:r>
              <w:rPr>
                <w:rFonts w:ascii="Aptos" w:hAnsi="Aptos"/>
                <w:color w:val="000000"/>
                <w:sz w:val="17"/>
              </w:rPr>
              <w:t>Contains images, writable layers, logs and volumes</w:t>
            </w:r>
          </w:p>
        </w:tc>
      </w:tr>
      <w:tr>
        <w:trPr>
          <w:cantSplit/>
        </w:trPr>
        <w:tc>
          <w:tcPr>
            <w:tcW w:type="dxa" w:w="187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Public IP</w:t>
            </w:r>
          </w:p>
        </w:tc>
        <w:tc>
          <w:tcPr>
            <w:tcW w:type="dxa" w:w="289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212.47.78.250</w:t>
            </w:r>
          </w:p>
        </w:tc>
        <w:tc>
          <w:tcPr>
            <w:tcW w:type="dxa" w:w="487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Both production hostnames resolve here</w:t>
            </w:r>
          </w:p>
        </w:tc>
      </w:tr>
    </w:tbl>
    <w:p>
      <w:pPr>
        <w:spacing w:after="0"/>
        <w:widowControl/>
      </w:pPr>
    </w:p>
    <w:p>
      <w:pPr>
        <w:pStyle w:val="Heading2"/>
        <w:keepNext/>
        <w:widowControl/>
      </w:pPr>
      <w:r>
        <w:t>Production paths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cantSplit/>
        </w:trPr>
        <w:tc>
          <w:tcPr>
            <w:tcW w:type="dxa" w:w="3515"/>
            <w:shd w:fill="17365D"/>
            <w:tcMar>
              <w:top w:w="115" w:type="dxa"/>
              <w:start w:w="120" w:type="dxa"/>
              <w:bottom w:w="115" w:type="dxa"/>
              <w:end w:w="120" w:type="dxa"/>
            </w:tcMar>
            <w:vAlign w:val="center"/>
          </w:tcPr>
          <w:p>
            <w:pPr>
              <w:spacing w:after="0"/>
              <w:jc w:val="center"/>
            </w:pPr>
            <w:r>
              <w:rPr>
                <w:rFonts w:ascii="Aptos" w:hAnsi="Aptos"/>
                <w:b/>
                <w:color w:val="FFFFFF"/>
                <w:sz w:val="17"/>
              </w:rPr>
              <w:t>Purpose</w:t>
            </w:r>
          </w:p>
        </w:tc>
        <w:tc>
          <w:tcPr>
            <w:tcW w:type="dxa" w:w="6123"/>
            <w:shd w:fill="17365D"/>
            <w:tcMar>
              <w:top w:w="115" w:type="dxa"/>
              <w:start w:w="120" w:type="dxa"/>
              <w:bottom w:w="115" w:type="dxa"/>
              <w:end w:w="120" w:type="dxa"/>
            </w:tcMar>
            <w:vAlign w:val="center"/>
          </w:tcPr>
          <w:p>
            <w:pPr>
              <w:spacing w:after="0"/>
              <w:jc w:val="center"/>
            </w:pPr>
            <w:r>
              <w:rPr>
                <w:rFonts w:ascii="Aptos" w:hAnsi="Aptos"/>
                <w:b/>
                <w:color w:val="FFFFFF"/>
                <w:sz w:val="17"/>
              </w:rPr>
              <w:t>Path</w:t>
            </w:r>
          </w:p>
        </w:tc>
      </w:tr>
      <w:tr>
        <w:trPr>
          <w:cantSplit/>
        </w:trPr>
        <w:tc>
          <w:tcPr>
            <w:tcW w:type="dxa" w:w="3515"/>
            <w:tcMar>
              <w:top w:w="100" w:type="dxa"/>
              <w:start w:w="120" w:type="dxa"/>
              <w:bottom w:w="100" w:type="dxa"/>
              <w:end w:w="120" w:type="dxa"/>
            </w:tcMar>
            <w:vAlign w:val="center"/>
          </w:tcPr>
          <w:p>
            <w:pPr>
              <w:spacing w:after="0" w:line="252" w:lineRule="auto"/>
              <w:jc w:val="left"/>
            </w:pPr>
            <w:r>
              <w:rPr>
                <w:rFonts w:ascii="Aptos" w:hAnsi="Aptos"/>
                <w:color w:val="000000"/>
                <w:sz w:val="17"/>
              </w:rPr>
              <w:t>Solution Studio deployment</w:t>
            </w:r>
          </w:p>
        </w:tc>
        <w:tc>
          <w:tcPr>
            <w:tcW w:type="dxa" w:w="6123"/>
            <w:tcMar>
              <w:top w:w="100" w:type="dxa"/>
              <w:start w:w="120" w:type="dxa"/>
              <w:bottom w:w="100" w:type="dxa"/>
              <w:end w:w="120" w:type="dxa"/>
            </w:tcMar>
            <w:vAlign w:val="center"/>
          </w:tcPr>
          <w:p>
            <w:pPr>
              <w:spacing w:after="0" w:line="252" w:lineRule="auto"/>
              <w:jc w:val="left"/>
            </w:pPr>
            <w:r>
              <w:rPr>
                <w:rFonts w:ascii="Aptos" w:hAnsi="Aptos"/>
                <w:color w:val="000000"/>
                <w:sz w:val="17"/>
              </w:rPr>
              <w:t>/home/renew/ai-effect-solution-studio-staging</w:t>
            </w:r>
          </w:p>
        </w:tc>
      </w:tr>
      <w:tr>
        <w:trPr>
          <w:cantSplit/>
        </w:trPr>
        <w:tc>
          <w:tcPr>
            <w:tcW w:type="dxa" w:w="351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German Portuguese and Danish repository</w:t>
            </w:r>
          </w:p>
        </w:tc>
        <w:tc>
          <w:tcPr>
            <w:tcW w:type="dxa" w:w="6123"/>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/home/renew/ai-effect-country-nodes/ai-effect-wp3-main</w:t>
            </w:r>
          </w:p>
        </w:tc>
      </w:tr>
      <w:tr>
        <w:trPr>
          <w:cantSplit/>
        </w:trPr>
        <w:tc>
          <w:tcPr>
            <w:tcW w:type="dxa" w:w="3515"/>
            <w:tcMar>
              <w:top w:w="100" w:type="dxa"/>
              <w:start w:w="120" w:type="dxa"/>
              <w:bottom w:w="100" w:type="dxa"/>
              <w:end w:w="120" w:type="dxa"/>
            </w:tcMar>
            <w:vAlign w:val="center"/>
          </w:tcPr>
          <w:p>
            <w:pPr>
              <w:spacing w:after="0" w:line="252" w:lineRule="auto"/>
              <w:jc w:val="left"/>
            </w:pPr>
            <w:r>
              <w:rPr>
                <w:rFonts w:ascii="Aptos" w:hAnsi="Aptos"/>
                <w:color w:val="000000"/>
                <w:sz w:val="17"/>
              </w:rPr>
              <w:t>Dutch repository</w:t>
            </w:r>
          </w:p>
        </w:tc>
        <w:tc>
          <w:tcPr>
            <w:tcW w:type="dxa" w:w="6123"/>
            <w:tcMar>
              <w:top w:w="100" w:type="dxa"/>
              <w:start w:w="120" w:type="dxa"/>
              <w:bottom w:w="100" w:type="dxa"/>
              <w:end w:w="120" w:type="dxa"/>
            </w:tcMar>
            <w:vAlign w:val="center"/>
          </w:tcPr>
          <w:p>
            <w:pPr>
              <w:spacing w:after="0" w:line="252" w:lineRule="auto"/>
              <w:jc w:val="left"/>
            </w:pPr>
            <w:r>
              <w:rPr>
                <w:rFonts w:ascii="Aptos" w:hAnsi="Aptos"/>
                <w:color w:val="000000"/>
                <w:sz w:val="17"/>
              </w:rPr>
              <w:t>/home/renew/ai-effect-country-nodes/ai-effect-wp3-dutch</w:t>
            </w:r>
          </w:p>
        </w:tc>
      </w:tr>
      <w:tr>
        <w:trPr>
          <w:cantSplit/>
        </w:trPr>
        <w:tc>
          <w:tcPr>
            <w:tcW w:type="dxa" w:w="351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German VILLAS source</w:t>
            </w:r>
          </w:p>
        </w:tc>
        <w:tc>
          <w:tcPr>
            <w:tcW w:type="dxa" w:w="6123"/>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/home/renew/ai-effect-country-nodes/villas-node</w:t>
            </w:r>
          </w:p>
        </w:tc>
      </w:tr>
      <w:tr>
        <w:trPr>
          <w:cantSplit/>
        </w:trPr>
        <w:tc>
          <w:tcPr>
            <w:tcW w:type="dxa" w:w="3515"/>
            <w:tcMar>
              <w:top w:w="100" w:type="dxa"/>
              <w:start w:w="120" w:type="dxa"/>
              <w:bottom w:w="100" w:type="dxa"/>
              <w:end w:w="120" w:type="dxa"/>
            </w:tcMar>
            <w:vAlign w:val="center"/>
          </w:tcPr>
          <w:p>
            <w:pPr>
              <w:spacing w:after="0" w:line="252" w:lineRule="auto"/>
              <w:jc w:val="left"/>
            </w:pPr>
            <w:r>
              <w:rPr>
                <w:rFonts w:ascii="Aptos" w:hAnsi="Aptos"/>
                <w:color w:val="000000"/>
                <w:sz w:val="17"/>
              </w:rPr>
              <w:t>Production overlays and acceptance tools</w:t>
            </w:r>
          </w:p>
        </w:tc>
        <w:tc>
          <w:tcPr>
            <w:tcW w:type="dxa" w:w="6123"/>
            <w:tcMar>
              <w:top w:w="100" w:type="dxa"/>
              <w:start w:w="120" w:type="dxa"/>
              <w:bottom w:w="100" w:type="dxa"/>
              <w:end w:w="120" w:type="dxa"/>
            </w:tcMar>
            <w:vAlign w:val="center"/>
          </w:tcPr>
          <w:p>
            <w:pPr>
              <w:spacing w:after="0" w:line="252" w:lineRule="auto"/>
              <w:jc w:val="left"/>
            </w:pPr>
            <w:r>
              <w:rPr>
                <w:rFonts w:ascii="Aptos" w:hAnsi="Aptos"/>
                <w:color w:val="000000"/>
                <w:sz w:val="17"/>
              </w:rPr>
              <w:t>/home/renew/ai-effect-country-nodes/overlays</w:t>
            </w:r>
          </w:p>
        </w:tc>
      </w:tr>
      <w:tr>
        <w:trPr>
          <w:cantSplit/>
        </w:trPr>
        <w:tc>
          <w:tcPr>
            <w:tcW w:type="dxa" w:w="351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WP3 orchestrator</w:t>
            </w:r>
          </w:p>
        </w:tc>
        <w:tc>
          <w:tcPr>
            <w:tcW w:type="dxa" w:w="6123"/>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/home/renew/ai-effect-wp3</w:t>
            </w:r>
          </w:p>
        </w:tc>
      </w:tr>
      <w:tr>
        <w:trPr>
          <w:cantSplit/>
        </w:trPr>
        <w:tc>
          <w:tcPr>
            <w:tcW w:type="dxa" w:w="3515"/>
            <w:tcMar>
              <w:top w:w="100" w:type="dxa"/>
              <w:start w:w="120" w:type="dxa"/>
              <w:bottom w:w="100" w:type="dxa"/>
              <w:end w:w="120" w:type="dxa"/>
            </w:tcMar>
            <w:vAlign w:val="center"/>
          </w:tcPr>
          <w:p>
            <w:pPr>
              <w:spacing w:after="0" w:line="252" w:lineRule="auto"/>
              <w:jc w:val="left"/>
            </w:pPr>
            <w:r>
              <w:rPr>
                <w:rFonts w:ascii="Aptos" w:hAnsi="Aptos"/>
                <w:color w:val="000000"/>
                <w:sz w:val="17"/>
              </w:rPr>
              <w:t>Legacy portal retained for rollback</w:t>
            </w:r>
          </w:p>
        </w:tc>
        <w:tc>
          <w:tcPr>
            <w:tcW w:type="dxa" w:w="6123"/>
            <w:tcMar>
              <w:top w:w="100" w:type="dxa"/>
              <w:start w:w="120" w:type="dxa"/>
              <w:bottom w:w="100" w:type="dxa"/>
              <w:end w:w="120" w:type="dxa"/>
            </w:tcMar>
            <w:vAlign w:val="center"/>
          </w:tcPr>
          <w:p>
            <w:pPr>
              <w:spacing w:after="0" w:line="252" w:lineRule="auto"/>
              <w:jc w:val="left"/>
            </w:pPr>
            <w:r>
              <w:rPr>
                <w:rFonts w:ascii="Aptos" w:hAnsi="Aptos"/>
                <w:color w:val="000000"/>
                <w:sz w:val="17"/>
              </w:rPr>
              <w:t>/home/renew/ai-effect-wp3-portal</w:t>
            </w:r>
          </w:p>
        </w:tc>
      </w:tr>
      <w:tr>
        <w:trPr>
          <w:cantSplit/>
        </w:trPr>
        <w:tc>
          <w:tcPr>
            <w:tcW w:type="dxa" w:w="351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Docker managed data</w:t>
            </w:r>
          </w:p>
        </w:tc>
        <w:tc>
          <w:tcPr>
            <w:tcW w:type="dxa" w:w="6123"/>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/var/lib/docker</w:t>
            </w:r>
          </w:p>
        </w:tc>
      </w:tr>
    </w:tbl>
    <w:p>
      <w:pPr>
        <w:spacing w:after="0"/>
        <w:widowControl/>
      </w:pPr>
    </w:p>
    <w:p>
      <w:pPr>
        <w:spacing w:after="120"/>
        <w:widowControl/>
      </w:pPr>
      <w:r>
        <w:rPr>
          <w:rFonts w:ascii="Aptos" w:hAnsi="Aptos"/>
          <w:b/>
          <w:color w:val="B42318"/>
          <w:sz w:val="20"/>
        </w:rPr>
        <w:t xml:space="preserve">Important  </w:t>
      </w:r>
      <w:r>
        <w:rPr>
          <w:rFonts w:ascii="Aptos" w:hAnsi="Aptos"/>
          <w:sz w:val="20"/>
        </w:rPr>
        <w:t>Do not edit files directly under /var/lib/docker. Manage images, containers and volumes only through Docker and the approved Compose files.</w:t>
      </w:r>
    </w:p>
    <w:p>
      <w:pPr>
        <w:widowControl/>
      </w:pPr>
      <w:r>
        <w:br w:type="page"/>
      </w:r>
    </w:p>
    <w:p>
      <w:pPr>
        <w:pStyle w:val="Heading1"/>
        <w:keepNext/>
        <w:widowControl/>
      </w:pPr>
      <w:r>
        <w:t>4 Country node services and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6"/>
        <w:gridCol w:w="2466"/>
        <w:gridCol w:w="2466"/>
        <w:gridCol w:w="2466"/>
      </w:tblGrid>
      <w:tr>
        <w:trPr>
          <w:tblHeader w:val="true"/>
          <w:cantSplit/>
        </w:trPr>
        <w:tc>
          <w:tcPr>
            <w:tcW w:type="dxa" w:w="1191"/>
            <w:shd w:fill="17365D"/>
            <w:tcMar>
              <w:top w:w="115" w:type="dxa"/>
              <w:start w:w="120" w:type="dxa"/>
              <w:bottom w:w="115" w:type="dxa"/>
              <w:end w:w="120" w:type="dxa"/>
            </w:tcMar>
            <w:vAlign w:val="center"/>
          </w:tcPr>
          <w:p>
            <w:pPr>
              <w:spacing w:after="0"/>
              <w:jc w:val="center"/>
            </w:pPr>
            <w:r>
              <w:rPr>
                <w:rFonts w:ascii="Aptos" w:hAnsi="Aptos"/>
                <w:b/>
                <w:color w:val="FFFFFF"/>
                <w:sz w:val="17"/>
              </w:rPr>
              <w:t>Node</w:t>
            </w:r>
          </w:p>
        </w:tc>
        <w:tc>
          <w:tcPr>
            <w:tcW w:type="dxa" w:w="3175"/>
            <w:shd w:fill="17365D"/>
            <w:tcMar>
              <w:top w:w="115" w:type="dxa"/>
              <w:start w:w="120" w:type="dxa"/>
              <w:bottom w:w="115" w:type="dxa"/>
              <w:end w:w="120" w:type="dxa"/>
            </w:tcMar>
            <w:vAlign w:val="center"/>
          </w:tcPr>
          <w:p>
            <w:pPr>
              <w:spacing w:after="0"/>
              <w:jc w:val="center"/>
            </w:pPr>
            <w:r>
              <w:rPr>
                <w:rFonts w:ascii="Aptos" w:hAnsi="Aptos"/>
                <w:b/>
                <w:color w:val="FFFFFF"/>
                <w:sz w:val="17"/>
              </w:rPr>
              <w:t>Production containers</w:t>
            </w:r>
          </w:p>
        </w:tc>
        <w:tc>
          <w:tcPr>
            <w:tcW w:type="dxa" w:w="2268"/>
            <w:shd w:fill="17365D"/>
            <w:tcMar>
              <w:top w:w="115" w:type="dxa"/>
              <w:start w:w="120" w:type="dxa"/>
              <w:bottom w:w="115" w:type="dxa"/>
              <w:end w:w="120" w:type="dxa"/>
            </w:tcMar>
            <w:vAlign w:val="center"/>
          </w:tcPr>
          <w:p>
            <w:pPr>
              <w:spacing w:after="0"/>
              <w:jc w:val="center"/>
            </w:pPr>
            <w:r>
              <w:rPr>
                <w:rFonts w:ascii="Aptos" w:hAnsi="Aptos"/>
                <w:b/>
                <w:color w:val="FFFFFF"/>
                <w:sz w:val="17"/>
              </w:rPr>
              <w:t>Persistent data</w:t>
            </w:r>
          </w:p>
        </w:tc>
        <w:tc>
          <w:tcPr>
            <w:tcW w:type="dxa" w:w="3005"/>
            <w:shd w:fill="17365D"/>
            <w:tcMar>
              <w:top w:w="115" w:type="dxa"/>
              <w:start w:w="120" w:type="dxa"/>
              <w:bottom w:w="115" w:type="dxa"/>
              <w:end w:w="120" w:type="dxa"/>
            </w:tcMar>
            <w:vAlign w:val="center"/>
          </w:tcPr>
          <w:p>
            <w:pPr>
              <w:spacing w:after="0"/>
              <w:jc w:val="center"/>
            </w:pPr>
            <w:r>
              <w:rPr>
                <w:rFonts w:ascii="Aptos" w:hAnsi="Aptos"/>
                <w:b/>
                <w:color w:val="FFFFFF"/>
                <w:sz w:val="17"/>
              </w:rPr>
              <w:t>Acceptance result</w:t>
            </w:r>
          </w:p>
        </w:tc>
      </w:tr>
      <w:tr>
        <w:trPr>
          <w:cantSplit/>
        </w:trPr>
        <w:tc>
          <w:tcPr>
            <w:tcW w:type="dxa" w:w="1191"/>
            <w:tcMar>
              <w:top w:w="100" w:type="dxa"/>
              <w:start w:w="120" w:type="dxa"/>
              <w:bottom w:w="100" w:type="dxa"/>
              <w:end w:w="120" w:type="dxa"/>
            </w:tcMar>
            <w:vAlign w:val="center"/>
          </w:tcPr>
          <w:p>
            <w:pPr>
              <w:spacing w:after="0" w:line="252" w:lineRule="auto"/>
              <w:jc w:val="left"/>
            </w:pPr>
            <w:r>
              <w:rPr>
                <w:rFonts w:ascii="Aptos" w:hAnsi="Aptos"/>
                <w:color w:val="000000"/>
                <w:sz w:val="16"/>
              </w:rPr>
              <w:t>Germany</w:t>
            </w:r>
          </w:p>
        </w:tc>
        <w:tc>
          <w:tcPr>
            <w:tcW w:type="dxa" w:w="3175"/>
            <w:tcMar>
              <w:top w:w="100" w:type="dxa"/>
              <w:start w:w="120" w:type="dxa"/>
              <w:bottom w:w="100" w:type="dxa"/>
              <w:end w:w="120" w:type="dxa"/>
            </w:tcMar>
            <w:vAlign w:val="center"/>
          </w:tcPr>
          <w:p>
            <w:pPr>
              <w:spacing w:after="0" w:line="252" w:lineRule="auto"/>
              <w:jc w:val="left"/>
            </w:pPr>
            <w:r>
              <w:rPr>
                <w:rFonts w:ascii="Aptos" w:hAnsi="Aptos"/>
                <w:color w:val="000000"/>
                <w:sz w:val="16"/>
              </w:rPr>
              <w:t>data-provider, villas-chronics, villas-node, output-formatter</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6"/>
              </w:rPr>
              <w:t>germany-node_shared-data</w:t>
            </w:r>
          </w:p>
        </w:tc>
        <w:tc>
          <w:tcPr>
            <w:tcW w:type="dxa" w:w="3005"/>
            <w:tcMar>
              <w:top w:w="100" w:type="dxa"/>
              <w:start w:w="120" w:type="dxa"/>
              <w:bottom w:w="100" w:type="dxa"/>
              <w:end w:w="120" w:type="dxa"/>
            </w:tcMar>
            <w:vAlign w:val="center"/>
          </w:tcPr>
          <w:p>
            <w:pPr>
              <w:spacing w:after="0" w:line="252" w:lineRule="auto"/>
              <w:jc w:val="left"/>
            </w:pPr>
            <w:r>
              <w:rPr>
                <w:rFonts w:ascii="Aptos" w:hAnsi="Aptos"/>
                <w:color w:val="000000"/>
                <w:sz w:val="16"/>
              </w:rPr>
              <w:t>PASS: ProvideData, GenerateChronics and FormatOutput</w:t>
            </w:r>
          </w:p>
        </w:tc>
      </w:tr>
      <w:tr>
        <w:trPr>
          <w:cantSplit/>
        </w:trPr>
        <w:tc>
          <w:tcPr>
            <w:tcW w:type="dxa" w:w="1191"/>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Portugal</w:t>
            </w:r>
          </w:p>
        </w:tc>
        <w:tc>
          <w:tcPr>
            <w:tcW w:type="dxa" w:w="317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tef-data-provision, tef-knowledge-store, pt-synthetic-data, tef-clickhouse</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ClickHouse data and synthetic models</w:t>
            </w:r>
          </w:p>
        </w:tc>
        <w:tc>
          <w:tcPr>
            <w:tcW w:type="dxa" w:w="300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PASS: ExecuteQuery, ApplyFunction, TrainModel and GenerateData</w:t>
            </w:r>
          </w:p>
        </w:tc>
      </w:tr>
      <w:tr>
        <w:trPr>
          <w:cantSplit/>
        </w:trPr>
        <w:tc>
          <w:tcPr>
            <w:tcW w:type="dxa" w:w="1191"/>
            <w:tcMar>
              <w:top w:w="100" w:type="dxa"/>
              <w:start w:w="120" w:type="dxa"/>
              <w:bottom w:w="100" w:type="dxa"/>
              <w:end w:w="120" w:type="dxa"/>
            </w:tcMar>
            <w:vAlign w:val="center"/>
          </w:tcPr>
          <w:p>
            <w:pPr>
              <w:spacing w:after="0" w:line="252" w:lineRule="auto"/>
              <w:jc w:val="left"/>
            </w:pPr>
            <w:r>
              <w:rPr>
                <w:rFonts w:ascii="Aptos" w:hAnsi="Aptos"/>
                <w:color w:val="000000"/>
                <w:sz w:val="16"/>
              </w:rPr>
              <w:t>Denmark</w:t>
            </w:r>
          </w:p>
        </w:tc>
        <w:tc>
          <w:tcPr>
            <w:tcW w:type="dxa" w:w="3175"/>
            <w:tcMar>
              <w:top w:w="100" w:type="dxa"/>
              <w:start w:w="120" w:type="dxa"/>
              <w:bottom w:w="100" w:type="dxa"/>
              <w:end w:w="120" w:type="dxa"/>
            </w:tcMar>
            <w:vAlign w:val="center"/>
          </w:tcPr>
          <w:p>
            <w:pPr>
              <w:spacing w:after="0" w:line="252" w:lineRule="auto"/>
              <w:jc w:val="left"/>
            </w:pPr>
            <w:r>
              <w:rPr>
                <w:rFonts w:ascii="Aptos" w:hAnsi="Aptos"/>
                <w:color w:val="000000"/>
                <w:sz w:val="16"/>
              </w:rPr>
              <w:t>dk-config-assistant, dk-topology-generator, dk-draw-topology, dk-ollama</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6"/>
              </w:rPr>
              <w:t>Denmark data and Ollama model volumes</w:t>
            </w:r>
          </w:p>
        </w:tc>
        <w:tc>
          <w:tcPr>
            <w:tcW w:type="dxa" w:w="3005"/>
            <w:tcMar>
              <w:top w:w="100" w:type="dxa"/>
              <w:start w:w="120" w:type="dxa"/>
              <w:bottom w:w="100" w:type="dxa"/>
              <w:end w:w="120" w:type="dxa"/>
            </w:tcMar>
            <w:vAlign w:val="center"/>
          </w:tcPr>
          <w:p>
            <w:pPr>
              <w:spacing w:after="0" w:line="252" w:lineRule="auto"/>
              <w:jc w:val="left"/>
            </w:pPr>
            <w:r>
              <w:rPr>
                <w:rFonts w:ascii="Aptos" w:hAnsi="Aptos"/>
                <w:color w:val="000000"/>
                <w:sz w:val="16"/>
              </w:rPr>
              <w:t>PASS: BuildRunConfig, GenerateTopology and RenderTopologies</w:t>
            </w:r>
          </w:p>
        </w:tc>
      </w:tr>
      <w:tr>
        <w:trPr>
          <w:cantSplit/>
        </w:trPr>
        <w:tc>
          <w:tcPr>
            <w:tcW w:type="dxa" w:w="1191"/>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Netherlands</w:t>
            </w:r>
          </w:p>
        </w:tc>
        <w:tc>
          <w:tcPr>
            <w:tcW w:type="dxa" w:w="317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nl-grid-synth-service, nl-benchmark-runner</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Dutch synthetic-model volume</w:t>
            </w:r>
          </w:p>
        </w:tc>
        <w:tc>
          <w:tcPr>
            <w:tcW w:type="dxa" w:w="300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PASS: ConfigureAndSynthesize and RunBenchmark</w:t>
            </w:r>
          </w:p>
        </w:tc>
      </w:tr>
    </w:tbl>
    <w:p>
      <w:pPr>
        <w:spacing w:after="0"/>
        <w:widowControl/>
      </w:pPr>
    </w:p>
    <w:p>
      <w:pPr>
        <w:pStyle w:val="Heading2"/>
        <w:keepNext/>
        <w:widowControl/>
      </w:pPr>
      <w:r>
        <w:t>Shared platform containers</w:t>
      </w:r>
    </w:p>
    <w:p>
      <w:pPr>
        <w:pStyle w:val="ListBullet"/>
        <w:spacing w:after="60"/>
        <w:ind w:left="340" w:hanging="170"/>
        <w:widowControl/>
      </w:pPr>
      <w:r>
        <w:rPr>
          <w:rFonts w:ascii="Aptos" w:hAnsi="Aptos"/>
          <w:b/>
          <w:sz w:val="20"/>
        </w:rPr>
        <w:t xml:space="preserve">Solution Studio  </w:t>
      </w:r>
      <w:r>
        <w:rPr>
          <w:rFonts w:ascii="Aptos" w:hAnsi="Aptos"/>
          <w:sz w:val="20"/>
        </w:rPr>
        <w:t>web, API and PostgreSQL containers.</w:t>
      </w:r>
    </w:p>
    <w:p>
      <w:pPr>
        <w:pStyle w:val="ListBullet"/>
        <w:spacing w:after="60"/>
        <w:ind w:left="340" w:hanging="170"/>
        <w:widowControl/>
      </w:pPr>
      <w:r>
        <w:rPr>
          <w:rFonts w:ascii="Aptos" w:hAnsi="Aptos"/>
          <w:b/>
          <w:sz w:val="20"/>
        </w:rPr>
        <w:t xml:space="preserve">WP3 execution  </w:t>
      </w:r>
      <w:r>
        <w:rPr>
          <w:rFonts w:ascii="Aptos" w:hAnsi="Aptos"/>
          <w:sz w:val="20"/>
        </w:rPr>
        <w:t>orchestrator API, Redis and three worker containers.</w:t>
      </w:r>
    </w:p>
    <w:p>
      <w:pPr>
        <w:pStyle w:val="ListBullet"/>
        <w:spacing w:after="60"/>
        <w:ind w:left="340" w:hanging="170"/>
        <w:widowControl/>
      </w:pPr>
      <w:r>
        <w:rPr>
          <w:rFonts w:ascii="Aptos" w:hAnsi="Aptos"/>
          <w:b/>
          <w:sz w:val="20"/>
        </w:rPr>
        <w:t xml:space="preserve">Ingress  </w:t>
      </w:r>
      <w:r>
        <w:rPr>
          <w:rFonts w:ascii="Aptos" w:hAnsi="Aptos"/>
          <w:sz w:val="20"/>
        </w:rPr>
        <w:t>the existing powerpal-traefik container terminates TLS and routes both AI EFFECT hostnames.</w:t>
      </w:r>
    </w:p>
    <w:p>
      <w:pPr>
        <w:pStyle w:val="ListBullet"/>
        <w:spacing w:after="60"/>
        <w:ind w:left="340" w:hanging="170"/>
        <w:widowControl/>
      </w:pPr>
      <w:r>
        <w:rPr>
          <w:rFonts w:ascii="Aptos" w:hAnsi="Aptos"/>
          <w:b/>
          <w:sz w:val="20"/>
        </w:rPr>
        <w:t xml:space="preserve">Legacy rollback  </w:t>
      </w:r>
      <w:r>
        <w:rPr>
          <w:rFonts w:ascii="Aptos" w:hAnsi="Aptos"/>
          <w:sz w:val="20"/>
        </w:rPr>
        <w:t>ai-effect-nginx is stopped; the legacy backend and database remain temporarily available for controlled rollback.</w:t>
      </w:r>
    </w:p>
    <w:p>
      <w:pPr>
        <w:pStyle w:val="Heading2"/>
        <w:keepNext/>
        <w:widowControl/>
      </w:pPr>
      <w:r>
        <w:t>Data ownership</w:t>
      </w:r>
    </w:p>
    <w:p>
      <w:pPr>
        <w:spacing w:after="140" w:line="269" w:lineRule="auto"/>
        <w:widowControl/>
      </w:pPr>
      <w:r>
        <w:rPr>
          <w:rFonts w:ascii="Aptos" w:hAnsi="Aptos"/>
          <w:sz w:val="20"/>
        </w:rPr>
        <w:t>Git repositories and pinned image definitions make application code reproducible. PostgreSQL, ClickHouse and any user-generated workflow artifacts are stateful and require backups. Ollama models and most generated test data can be downloaded or rebuilt, but rebuilding them takes time and should not be treated as a substitute for a documented recovery procedure.</w:t>
      </w:r>
    </w:p>
    <w:p>
      <w:pPr>
        <w:widowControl/>
      </w:pPr>
      <w:r>
        <w:br w:type="page"/>
      </w:r>
    </w:p>
    <w:p>
      <w:pPr>
        <w:pStyle w:val="Heading1"/>
        <w:keepNext/>
        <w:widowControl/>
      </w:pPr>
      <w:r>
        <w:t>5 Capacity and storage</w:t>
      </w:r>
    </w:p>
    <w:p>
      <w:pPr>
        <w:pStyle w:val="Heading2"/>
        <w:keepNext/>
        <w:widowControl/>
      </w:pPr>
      <w:r>
        <w:t>Current usage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2381"/>
            <w:shd w:fill="17365D"/>
            <w:tcMar>
              <w:top w:w="115" w:type="dxa"/>
              <w:start w:w="120" w:type="dxa"/>
              <w:bottom w:w="115" w:type="dxa"/>
              <w:end w:w="120" w:type="dxa"/>
            </w:tcMar>
            <w:vAlign w:val="center"/>
          </w:tcPr>
          <w:p>
            <w:pPr>
              <w:spacing w:after="0"/>
              <w:jc w:val="center"/>
            </w:pPr>
            <w:r>
              <w:rPr>
                <w:rFonts w:ascii="Aptos" w:hAnsi="Aptos"/>
                <w:b/>
                <w:color w:val="FFFFFF"/>
                <w:sz w:val="17"/>
              </w:rPr>
              <w:t>Resource</w:t>
            </w:r>
          </w:p>
        </w:tc>
        <w:tc>
          <w:tcPr>
            <w:tcW w:type="dxa" w:w="2551"/>
            <w:shd w:fill="17365D"/>
            <w:tcMar>
              <w:top w:w="115" w:type="dxa"/>
              <w:start w:w="120" w:type="dxa"/>
              <w:bottom w:w="115" w:type="dxa"/>
              <w:end w:w="120" w:type="dxa"/>
            </w:tcMar>
            <w:vAlign w:val="center"/>
          </w:tcPr>
          <w:p>
            <w:pPr>
              <w:spacing w:after="0"/>
              <w:jc w:val="center"/>
            </w:pPr>
            <w:r>
              <w:rPr>
                <w:rFonts w:ascii="Aptos" w:hAnsi="Aptos"/>
                <w:b/>
                <w:color w:val="FFFFFF"/>
                <w:sz w:val="17"/>
              </w:rPr>
              <w:t>Current measurement</w:t>
            </w:r>
          </w:p>
        </w:tc>
        <w:tc>
          <w:tcPr>
            <w:tcW w:type="dxa" w:w="4706"/>
            <w:shd w:fill="17365D"/>
            <w:tcMar>
              <w:top w:w="115" w:type="dxa"/>
              <w:start w:w="120" w:type="dxa"/>
              <w:bottom w:w="115" w:type="dxa"/>
              <w:end w:w="120" w:type="dxa"/>
            </w:tcMar>
            <w:vAlign w:val="center"/>
          </w:tcPr>
          <w:p>
            <w:pPr>
              <w:spacing w:after="0"/>
              <w:jc w:val="center"/>
            </w:pPr>
            <w:r>
              <w:rPr>
                <w:rFonts w:ascii="Aptos" w:hAnsi="Aptos"/>
                <w:b/>
                <w:color w:val="FFFFFF"/>
                <w:sz w:val="17"/>
              </w:rPr>
              <w:t>Interpretation</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7"/>
              </w:rPr>
              <w:t>Server disk</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89 GiB used of 196 GiB</w:t>
            </w:r>
          </w:p>
        </w:tc>
        <w:tc>
          <w:tcPr>
            <w:tcW w:type="dxa" w:w="4706"/>
            <w:tcMar>
              <w:top w:w="100" w:type="dxa"/>
              <w:start w:w="120" w:type="dxa"/>
              <w:bottom w:w="100" w:type="dxa"/>
              <w:end w:w="120" w:type="dxa"/>
            </w:tcMar>
            <w:vAlign w:val="center"/>
          </w:tcPr>
          <w:p>
            <w:pPr>
              <w:spacing w:after="0" w:line="252" w:lineRule="auto"/>
              <w:jc w:val="left"/>
            </w:pPr>
            <w:r>
              <w:rPr>
                <w:rFonts w:ascii="Aptos" w:hAnsi="Aptos"/>
                <w:color w:val="000000"/>
                <w:sz w:val="17"/>
              </w:rPr>
              <w:t>48 percent used; 97 GiB available</w:t>
            </w:r>
          </w:p>
        </w:tc>
      </w:tr>
      <w:tr>
        <w:trPr>
          <w:cantSplit/>
        </w:trPr>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All Docker images</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48.61 GB</w:t>
            </w:r>
          </w:p>
        </w:tc>
        <w:tc>
          <w:tcPr>
            <w:tcW w:type="dxa" w:w="470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Includes AI EFFECT, PowerPal and older EVPA projects</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7"/>
              </w:rPr>
              <w:t>Reclaimable images</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23.63 GB</w:t>
            </w:r>
          </w:p>
        </w:tc>
        <w:tc>
          <w:tcPr>
            <w:tcW w:type="dxa" w:w="4706"/>
            <w:tcMar>
              <w:top w:w="100" w:type="dxa"/>
              <w:start w:w="120" w:type="dxa"/>
              <w:bottom w:w="100" w:type="dxa"/>
              <w:end w:w="120" w:type="dxa"/>
            </w:tcMar>
            <w:vAlign w:val="center"/>
          </w:tcPr>
          <w:p>
            <w:pPr>
              <w:spacing w:after="0" w:line="252" w:lineRule="auto"/>
              <w:jc w:val="left"/>
            </w:pPr>
            <w:r>
              <w:rPr>
                <w:rFonts w:ascii="Aptos" w:hAnsi="Aptos"/>
                <w:color w:val="000000"/>
                <w:sz w:val="17"/>
              </w:rPr>
              <w:t>Do not remove until rollback requirements are reviewed</w:t>
            </w:r>
          </w:p>
        </w:tc>
      </w:tr>
      <w:tr>
        <w:trPr>
          <w:cantSplit/>
        </w:trPr>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Docker volumes</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6.20 GB</w:t>
            </w:r>
          </w:p>
        </w:tc>
        <w:tc>
          <w:tcPr>
            <w:tcW w:type="dxa" w:w="470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Includes databases and other projects</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7"/>
              </w:rPr>
              <w:t>Docker build cache</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3.52 GB</w:t>
            </w:r>
          </w:p>
        </w:tc>
        <w:tc>
          <w:tcPr>
            <w:tcW w:type="dxa" w:w="4706"/>
            <w:tcMar>
              <w:top w:w="100" w:type="dxa"/>
              <w:start w:w="120" w:type="dxa"/>
              <w:bottom w:w="100" w:type="dxa"/>
              <w:end w:w="120" w:type="dxa"/>
            </w:tcMar>
            <w:vAlign w:val="center"/>
          </w:tcPr>
          <w:p>
            <w:pPr>
              <w:spacing w:after="0" w:line="252" w:lineRule="auto"/>
              <w:jc w:val="left"/>
            </w:pPr>
            <w:r>
              <w:rPr>
                <w:rFonts w:ascii="Aptos" w:hAnsi="Aptos"/>
                <w:color w:val="000000"/>
                <w:sz w:val="17"/>
              </w:rPr>
              <w:t>Can be cleaned after release stabilization</w:t>
            </w:r>
          </w:p>
        </w:tc>
      </w:tr>
      <w:tr>
        <w:trPr>
          <w:cantSplit/>
        </w:trPr>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AI EFFECT image estimate</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Approximately 25 to 26 GB gross</w:t>
            </w:r>
          </w:p>
        </w:tc>
        <w:tc>
          <w:tcPr>
            <w:tcW w:type="dxa" w:w="470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Large images dominate; shared layers may lower true incremental use</w:t>
            </w:r>
          </w:p>
        </w:tc>
      </w:tr>
      <w:tr>
        <w:trPr>
          <w:cantSplit/>
        </w:trPr>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7"/>
              </w:rPr>
              <w:t>AI EFFECT persistent volumes</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Approximately 1.4 GB</w:t>
            </w:r>
          </w:p>
        </w:tc>
        <w:tc>
          <w:tcPr>
            <w:tcW w:type="dxa" w:w="4706"/>
            <w:tcMar>
              <w:top w:w="100" w:type="dxa"/>
              <w:start w:w="120" w:type="dxa"/>
              <w:bottom w:w="100" w:type="dxa"/>
              <w:end w:w="120" w:type="dxa"/>
            </w:tcMar>
            <w:vAlign w:val="center"/>
          </w:tcPr>
          <w:p>
            <w:pPr>
              <w:spacing w:after="0" w:line="252" w:lineRule="auto"/>
              <w:jc w:val="left"/>
            </w:pPr>
            <w:r>
              <w:rPr>
                <w:rFonts w:ascii="Aptos" w:hAnsi="Aptos"/>
                <w:color w:val="000000"/>
                <w:sz w:val="17"/>
              </w:rPr>
              <w:t>Mostly Ollama and ClickHouse data</w:t>
            </w:r>
          </w:p>
        </w:tc>
      </w:tr>
      <w:tr>
        <w:trPr>
          <w:cantSplit/>
        </w:trPr>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AI EFFECT operational budget</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40 to 50 GB</w:t>
            </w:r>
          </w:p>
        </w:tc>
        <w:tc>
          <w:tcPr>
            <w:tcW w:type="dxa" w:w="4706"/>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Allows for upgrades, old images, logs and moderate data growth</w:t>
            </w:r>
          </w:p>
        </w:tc>
      </w:tr>
    </w:tbl>
    <w:p>
      <w:pPr>
        <w:spacing w:after="0"/>
        <w:widowControl/>
      </w:pPr>
    </w:p>
    <w:p>
      <w:pPr>
        <w:pStyle w:val="Heading2"/>
        <w:keepNext/>
        <w:widowControl/>
      </w:pPr>
      <w:r>
        <w:t>Largest AI EFFECT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cantSplit/>
        </w:trPr>
        <w:tc>
          <w:tcPr>
            <w:tcW w:type="dxa" w:w="6520"/>
            <w:shd w:fill="17365D"/>
            <w:tcMar>
              <w:top w:w="115" w:type="dxa"/>
              <w:start w:w="120" w:type="dxa"/>
              <w:bottom w:w="115" w:type="dxa"/>
              <w:end w:w="120" w:type="dxa"/>
            </w:tcMar>
            <w:vAlign w:val="center"/>
          </w:tcPr>
          <w:p>
            <w:pPr>
              <w:spacing w:after="0"/>
              <w:jc w:val="center"/>
            </w:pPr>
            <w:r>
              <w:rPr>
                <w:rFonts w:ascii="Aptos" w:hAnsi="Aptos"/>
                <w:b/>
                <w:color w:val="FFFFFF"/>
                <w:sz w:val="17"/>
              </w:rPr>
              <w:t>Component</w:t>
            </w:r>
          </w:p>
        </w:tc>
        <w:tc>
          <w:tcPr>
            <w:tcW w:type="dxa" w:w="3118"/>
            <w:shd w:fill="17365D"/>
            <w:tcMar>
              <w:top w:w="115" w:type="dxa"/>
              <w:start w:w="120" w:type="dxa"/>
              <w:bottom w:w="115" w:type="dxa"/>
              <w:end w:w="120" w:type="dxa"/>
            </w:tcMar>
            <w:vAlign w:val="center"/>
          </w:tcPr>
          <w:p>
            <w:pPr>
              <w:spacing w:after="0"/>
              <w:jc w:val="center"/>
            </w:pPr>
            <w:r>
              <w:rPr>
                <w:rFonts w:ascii="Aptos" w:hAnsi="Aptos"/>
                <w:b/>
                <w:color w:val="FFFFFF"/>
                <w:sz w:val="17"/>
              </w:rPr>
              <w:t>Approximate size</w:t>
            </w:r>
          </w:p>
        </w:tc>
      </w:tr>
      <w:tr>
        <w:trPr>
          <w:cantSplit/>
        </w:trPr>
        <w:tc>
          <w:tcPr>
            <w:tcW w:type="dxa" w:w="6520"/>
            <w:tcMar>
              <w:top w:w="100" w:type="dxa"/>
              <w:start w:w="120" w:type="dxa"/>
              <w:bottom w:w="100" w:type="dxa"/>
              <w:end w:w="120" w:type="dxa"/>
            </w:tcMar>
            <w:vAlign w:val="center"/>
          </w:tcPr>
          <w:p>
            <w:pPr>
              <w:spacing w:after="0" w:line="252" w:lineRule="auto"/>
              <w:jc w:val="left"/>
            </w:pPr>
            <w:r>
              <w:rPr>
                <w:rFonts w:ascii="Aptos" w:hAnsi="Aptos"/>
                <w:color w:val="000000"/>
                <w:sz w:val="18"/>
              </w:rPr>
              <w:t>Dutch benchmark image</w:t>
            </w:r>
          </w:p>
        </w:tc>
        <w:tc>
          <w:tcPr>
            <w:tcW w:type="dxa" w:w="3118"/>
            <w:tcMar>
              <w:top w:w="100" w:type="dxa"/>
              <w:start w:w="120" w:type="dxa"/>
              <w:bottom w:w="100" w:type="dxa"/>
              <w:end w:w="120" w:type="dxa"/>
            </w:tcMar>
            <w:vAlign w:val="center"/>
          </w:tcPr>
          <w:p>
            <w:pPr>
              <w:spacing w:after="0" w:line="252" w:lineRule="auto"/>
              <w:jc w:val="center"/>
            </w:pPr>
            <w:r>
              <w:rPr>
                <w:rFonts w:ascii="Aptos" w:hAnsi="Aptos"/>
                <w:color w:val="000000"/>
                <w:sz w:val="18"/>
              </w:rPr>
              <w:t>6.97 GB</w:t>
            </w:r>
          </w:p>
        </w:tc>
      </w:tr>
      <w:tr>
        <w:trPr>
          <w:cantSplit/>
        </w:trPr>
        <w:tc>
          <w:tcPr>
            <w:tcW w:type="dxa" w:w="6520"/>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Denmark Ollama image</w:t>
            </w:r>
          </w:p>
        </w:tc>
        <w:tc>
          <w:tcPr>
            <w:tcW w:type="dxa" w:w="3118"/>
            <w:tcMar>
              <w:top w:w="100" w:type="dxa"/>
              <w:start w:w="120" w:type="dxa"/>
              <w:bottom w:w="100" w:type="dxa"/>
              <w:end w:w="120" w:type="dxa"/>
            </w:tcMar>
            <w:vAlign w:val="center"/>
            <w:shd w:fill="EEF4FC"/>
          </w:tcPr>
          <w:p>
            <w:pPr>
              <w:spacing w:after="0" w:line="252" w:lineRule="auto"/>
              <w:jc w:val="center"/>
            </w:pPr>
            <w:r>
              <w:rPr>
                <w:rFonts w:ascii="Aptos" w:hAnsi="Aptos"/>
                <w:color w:val="000000"/>
                <w:sz w:val="18"/>
              </w:rPr>
              <w:t>5.57 GB</w:t>
            </w:r>
          </w:p>
        </w:tc>
      </w:tr>
      <w:tr>
        <w:trPr>
          <w:cantSplit/>
        </w:trPr>
        <w:tc>
          <w:tcPr>
            <w:tcW w:type="dxa" w:w="6520"/>
            <w:tcMar>
              <w:top w:w="100" w:type="dxa"/>
              <w:start w:w="120" w:type="dxa"/>
              <w:bottom w:w="100" w:type="dxa"/>
              <w:end w:w="120" w:type="dxa"/>
            </w:tcMar>
            <w:vAlign w:val="center"/>
          </w:tcPr>
          <w:p>
            <w:pPr>
              <w:spacing w:after="0" w:line="252" w:lineRule="auto"/>
              <w:jc w:val="left"/>
            </w:pPr>
            <w:r>
              <w:rPr>
                <w:rFonts w:ascii="Aptos" w:hAnsi="Aptos"/>
                <w:color w:val="000000"/>
                <w:sz w:val="18"/>
              </w:rPr>
              <w:t>Denmark Ollama model volume</w:t>
            </w:r>
          </w:p>
        </w:tc>
        <w:tc>
          <w:tcPr>
            <w:tcW w:type="dxa" w:w="3118"/>
            <w:tcMar>
              <w:top w:w="100" w:type="dxa"/>
              <w:start w:w="120" w:type="dxa"/>
              <w:bottom w:w="100" w:type="dxa"/>
              <w:end w:w="120" w:type="dxa"/>
            </w:tcMar>
            <w:vAlign w:val="center"/>
          </w:tcPr>
          <w:p>
            <w:pPr>
              <w:spacing w:after="0" w:line="252" w:lineRule="auto"/>
              <w:jc w:val="center"/>
            </w:pPr>
            <w:r>
              <w:rPr>
                <w:rFonts w:ascii="Aptos" w:hAnsi="Aptos"/>
                <w:color w:val="000000"/>
                <w:sz w:val="18"/>
              </w:rPr>
              <w:t>0.94 GB</w:t>
            </w:r>
          </w:p>
        </w:tc>
      </w:tr>
      <w:tr>
        <w:trPr>
          <w:cantSplit/>
        </w:trPr>
        <w:tc>
          <w:tcPr>
            <w:tcW w:type="dxa" w:w="6520"/>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Portuguese synthetic-data image</w:t>
            </w:r>
          </w:p>
        </w:tc>
        <w:tc>
          <w:tcPr>
            <w:tcW w:type="dxa" w:w="3118"/>
            <w:tcMar>
              <w:top w:w="100" w:type="dxa"/>
              <w:start w:w="120" w:type="dxa"/>
              <w:bottom w:w="100" w:type="dxa"/>
              <w:end w:w="120" w:type="dxa"/>
            </w:tcMar>
            <w:vAlign w:val="center"/>
            <w:shd w:fill="EEF4FC"/>
          </w:tcPr>
          <w:p>
            <w:pPr>
              <w:spacing w:after="0" w:line="252" w:lineRule="auto"/>
              <w:jc w:val="center"/>
            </w:pPr>
            <w:r>
              <w:rPr>
                <w:rFonts w:ascii="Aptos" w:hAnsi="Aptos"/>
                <w:color w:val="000000"/>
                <w:sz w:val="18"/>
              </w:rPr>
              <w:t>4.40 GB</w:t>
            </w:r>
          </w:p>
        </w:tc>
      </w:tr>
      <w:tr>
        <w:trPr>
          <w:cantSplit/>
        </w:trPr>
        <w:tc>
          <w:tcPr>
            <w:tcW w:type="dxa" w:w="6520"/>
            <w:tcMar>
              <w:top w:w="100" w:type="dxa"/>
              <w:start w:w="120" w:type="dxa"/>
              <w:bottom w:w="100" w:type="dxa"/>
              <w:end w:w="120" w:type="dxa"/>
            </w:tcMar>
            <w:vAlign w:val="center"/>
          </w:tcPr>
          <w:p>
            <w:pPr>
              <w:spacing w:after="0" w:line="252" w:lineRule="auto"/>
              <w:jc w:val="left"/>
            </w:pPr>
            <w:r>
              <w:rPr>
                <w:rFonts w:ascii="Aptos" w:hAnsi="Aptos"/>
                <w:color w:val="000000"/>
                <w:sz w:val="18"/>
              </w:rPr>
              <w:t>German VILLAS image</w:t>
            </w:r>
          </w:p>
        </w:tc>
        <w:tc>
          <w:tcPr>
            <w:tcW w:type="dxa" w:w="3118"/>
            <w:tcMar>
              <w:top w:w="100" w:type="dxa"/>
              <w:start w:w="120" w:type="dxa"/>
              <w:bottom w:w="100" w:type="dxa"/>
              <w:end w:w="120" w:type="dxa"/>
            </w:tcMar>
            <w:vAlign w:val="center"/>
          </w:tcPr>
          <w:p>
            <w:pPr>
              <w:spacing w:after="0" w:line="252" w:lineRule="auto"/>
              <w:jc w:val="center"/>
            </w:pPr>
            <w:r>
              <w:rPr>
                <w:rFonts w:ascii="Aptos" w:hAnsi="Aptos"/>
                <w:color w:val="000000"/>
                <w:sz w:val="18"/>
              </w:rPr>
              <w:t>3.08 GB</w:t>
            </w:r>
          </w:p>
        </w:tc>
      </w:tr>
      <w:tr>
        <w:trPr>
          <w:cantSplit/>
        </w:trPr>
        <w:tc>
          <w:tcPr>
            <w:tcW w:type="dxa" w:w="6520"/>
            <w:tcMar>
              <w:top w:w="100" w:type="dxa"/>
              <w:start w:w="120" w:type="dxa"/>
              <w:bottom w:w="100" w:type="dxa"/>
              <w:end w:w="120" w:type="dxa"/>
            </w:tcMar>
            <w:vAlign w:val="center"/>
            <w:shd w:fill="EEF4FC"/>
          </w:tcPr>
          <w:p>
            <w:pPr>
              <w:spacing w:after="0" w:line="252" w:lineRule="auto"/>
              <w:jc w:val="left"/>
            </w:pPr>
            <w:r>
              <w:rPr>
                <w:rFonts w:ascii="Aptos" w:hAnsi="Aptos"/>
                <w:color w:val="000000"/>
                <w:sz w:val="18"/>
              </w:rPr>
              <w:t>Dutch synthesizer image</w:t>
            </w:r>
          </w:p>
        </w:tc>
        <w:tc>
          <w:tcPr>
            <w:tcW w:type="dxa" w:w="3118"/>
            <w:tcMar>
              <w:top w:w="100" w:type="dxa"/>
              <w:start w:w="120" w:type="dxa"/>
              <w:bottom w:w="100" w:type="dxa"/>
              <w:end w:w="120" w:type="dxa"/>
            </w:tcMar>
            <w:vAlign w:val="center"/>
            <w:shd w:fill="EEF4FC"/>
          </w:tcPr>
          <w:p>
            <w:pPr>
              <w:spacing w:after="0" w:line="252" w:lineRule="auto"/>
              <w:jc w:val="center"/>
            </w:pPr>
            <w:r>
              <w:rPr>
                <w:rFonts w:ascii="Aptos" w:hAnsi="Aptos"/>
                <w:color w:val="000000"/>
                <w:sz w:val="18"/>
              </w:rPr>
              <w:t>0.95 GB</w:t>
            </w:r>
          </w:p>
        </w:tc>
      </w:tr>
      <w:tr>
        <w:trPr>
          <w:cantSplit/>
        </w:trPr>
        <w:tc>
          <w:tcPr>
            <w:tcW w:type="dxa" w:w="6520"/>
            <w:tcMar>
              <w:top w:w="100" w:type="dxa"/>
              <w:start w:w="120" w:type="dxa"/>
              <w:bottom w:w="100" w:type="dxa"/>
              <w:end w:w="120" w:type="dxa"/>
            </w:tcMar>
            <w:vAlign w:val="center"/>
          </w:tcPr>
          <w:p>
            <w:pPr>
              <w:spacing w:after="0" w:line="252" w:lineRule="auto"/>
              <w:jc w:val="left"/>
            </w:pPr>
            <w:r>
              <w:rPr>
                <w:rFonts w:ascii="Aptos" w:hAnsi="Aptos"/>
                <w:color w:val="000000"/>
                <w:sz w:val="18"/>
              </w:rPr>
              <w:t>Portuguese ClickHouse volume</w:t>
            </w:r>
          </w:p>
        </w:tc>
        <w:tc>
          <w:tcPr>
            <w:tcW w:type="dxa" w:w="3118"/>
            <w:tcMar>
              <w:top w:w="100" w:type="dxa"/>
              <w:start w:w="120" w:type="dxa"/>
              <w:bottom w:w="100" w:type="dxa"/>
              <w:end w:w="120" w:type="dxa"/>
            </w:tcMar>
            <w:vAlign w:val="center"/>
          </w:tcPr>
          <w:p>
            <w:pPr>
              <w:spacing w:after="0" w:line="252" w:lineRule="auto"/>
              <w:jc w:val="center"/>
            </w:pPr>
            <w:r>
              <w:rPr>
                <w:rFonts w:ascii="Aptos" w:hAnsi="Aptos"/>
                <w:color w:val="000000"/>
                <w:sz w:val="18"/>
              </w:rPr>
              <w:t>0.34 GB</w:t>
            </w:r>
          </w:p>
        </w:tc>
      </w:tr>
    </w:tbl>
    <w:p>
      <w:pPr>
        <w:spacing w:after="0"/>
        <w:widowControl/>
      </w:pPr>
    </w:p>
    <w:p>
      <w:pPr>
        <w:pStyle w:val="Heading2"/>
        <w:keepNext/>
        <w:widowControl/>
      </w:pPr>
      <w:r>
        <w:t>Capacity thresholds</w:t>
      </w:r>
    </w:p>
    <w:p>
      <w:pPr>
        <w:pStyle w:val="ListBullet"/>
        <w:spacing w:after="60"/>
        <w:ind w:left="340" w:hanging="170"/>
        <w:widowControl/>
      </w:pPr>
      <w:r>
        <w:rPr>
          <w:rFonts w:ascii="Aptos" w:hAnsi="Aptos"/>
          <w:b/>
          <w:sz w:val="20"/>
        </w:rPr>
        <w:t xml:space="preserve">Disk warning  </w:t>
      </w:r>
      <w:r>
        <w:rPr>
          <w:rFonts w:ascii="Aptos" w:hAnsi="Aptos"/>
          <w:sz w:val="20"/>
        </w:rPr>
        <w:t>70 percent used. Review images, logs, backups and database growth.</w:t>
      </w:r>
    </w:p>
    <w:p>
      <w:pPr>
        <w:pStyle w:val="ListBullet"/>
        <w:spacing w:after="60"/>
        <w:ind w:left="340" w:hanging="170"/>
        <w:widowControl/>
      </w:pPr>
      <w:r>
        <w:rPr>
          <w:rFonts w:ascii="Aptos" w:hAnsi="Aptos"/>
          <w:b/>
          <w:sz w:val="20"/>
        </w:rPr>
        <w:t xml:space="preserve">Disk critical  </w:t>
      </w:r>
      <w:r>
        <w:rPr>
          <w:rFonts w:ascii="Aptos" w:hAnsi="Aptos"/>
          <w:sz w:val="20"/>
        </w:rPr>
        <w:t>80 percent used. Stop nonessential builds and add capacity or safely remove confirmed obsolete data.</w:t>
      </w:r>
    </w:p>
    <w:p>
      <w:pPr>
        <w:pStyle w:val="ListBullet"/>
        <w:spacing w:after="60"/>
        <w:ind w:left="340" w:hanging="170"/>
        <w:widowControl/>
      </w:pPr>
      <w:r>
        <w:rPr>
          <w:rFonts w:ascii="Aptos" w:hAnsi="Aptos"/>
          <w:b/>
          <w:sz w:val="20"/>
        </w:rPr>
        <w:t xml:space="preserve">Memory warning  </w:t>
      </w:r>
      <w:r>
        <w:rPr>
          <w:rFonts w:ascii="Aptos" w:hAnsi="Aptos"/>
          <w:sz w:val="20"/>
        </w:rPr>
        <w:t>80 percent sustained for 15 minutes.</w:t>
      </w:r>
    </w:p>
    <w:p>
      <w:pPr>
        <w:pStyle w:val="ListBullet"/>
        <w:spacing w:after="60"/>
        <w:ind w:left="340" w:hanging="170"/>
        <w:widowControl/>
      </w:pPr>
      <w:r>
        <w:rPr>
          <w:rFonts w:ascii="Aptos" w:hAnsi="Aptos"/>
          <w:b/>
          <w:sz w:val="20"/>
        </w:rPr>
        <w:t xml:space="preserve">CPU warning  </w:t>
      </w:r>
      <w:r>
        <w:rPr>
          <w:rFonts w:ascii="Aptos" w:hAnsi="Aptos"/>
          <w:sz w:val="20"/>
        </w:rPr>
        <w:t>85 percent sustained for 15 minutes, especially during Dutch benchmarking or Ollama execution.</w:t>
      </w:r>
    </w:p>
    <w:p>
      <w:pPr>
        <w:pStyle w:val="ListBullet"/>
        <w:spacing w:after="60"/>
        <w:ind w:left="340" w:hanging="170"/>
        <w:widowControl/>
      </w:pPr>
      <w:r>
        <w:rPr>
          <w:rFonts w:ascii="Aptos" w:hAnsi="Aptos"/>
          <w:b/>
          <w:sz w:val="20"/>
        </w:rPr>
        <w:t xml:space="preserve">Scale decision  </w:t>
      </w:r>
      <w:r>
        <w:rPr>
          <w:rFonts w:ascii="Aptos" w:hAnsi="Aptos"/>
          <w:sz w:val="20"/>
        </w:rPr>
        <w:t>Move AI EFFECT to a dedicated VPS before sustained public workloads, sensitive user data, or repeated resource contention.</w:t>
      </w:r>
    </w:p>
    <w:p>
      <w:pPr>
        <w:widowControl/>
      </w:pPr>
      <w:r>
        <w:br w:type="page"/>
      </w:r>
    </w:p>
    <w:p>
      <w:pPr>
        <w:pStyle w:val="Heading1"/>
        <w:keepNext/>
        <w:widowControl/>
      </w:pPr>
      <w:r>
        <w:t>6 Expenses and budget planning</w:t>
      </w:r>
    </w:p>
    <w:p>
      <w:pPr>
        <w:spacing w:after="140" w:line="269" w:lineRule="auto"/>
        <w:widowControl/>
      </w:pPr>
      <w:r>
        <w:rPr>
          <w:rFonts w:ascii="Aptos" w:hAnsi="Aptos"/>
          <w:sz w:val="20"/>
        </w:rPr>
        <w:t>All four country nodes run inside one fixed-price VPS. Docker does not charge per container, so the four nodes do not create four separate hosting bills. Cost changes occur only when the VPS plan, storage, backup services, domains, or external services change.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2324"/>
            <w:shd w:fill="17365D"/>
            <w:tcMar>
              <w:top w:w="115" w:type="dxa"/>
              <w:start w:w="120" w:type="dxa"/>
              <w:bottom w:w="115" w:type="dxa"/>
              <w:end w:w="120" w:type="dxa"/>
            </w:tcMar>
            <w:vAlign w:val="center"/>
          </w:tcPr>
          <w:p>
            <w:pPr>
              <w:spacing w:after="0"/>
              <w:jc w:val="center"/>
            </w:pPr>
            <w:r>
              <w:rPr>
                <w:rFonts w:ascii="Aptos" w:hAnsi="Aptos"/>
                <w:b/>
                <w:color w:val="FFFFFF"/>
                <w:sz w:val="17"/>
              </w:rPr>
              <w:t>Cost item</w:t>
            </w:r>
          </w:p>
        </w:tc>
        <w:tc>
          <w:tcPr>
            <w:tcW w:type="dxa" w:w="2324"/>
            <w:shd w:fill="17365D"/>
            <w:tcMar>
              <w:top w:w="115" w:type="dxa"/>
              <w:start w:w="120" w:type="dxa"/>
              <w:bottom w:w="115" w:type="dxa"/>
              <w:end w:w="120" w:type="dxa"/>
            </w:tcMar>
            <w:vAlign w:val="center"/>
          </w:tcPr>
          <w:p>
            <w:pPr>
              <w:spacing w:after="0"/>
              <w:jc w:val="center"/>
            </w:pPr>
            <w:r>
              <w:rPr>
                <w:rFonts w:ascii="Aptos" w:hAnsi="Aptos"/>
                <w:b/>
                <w:color w:val="FFFFFF"/>
                <w:sz w:val="17"/>
              </w:rPr>
              <w:t>Planning estimate</w:t>
            </w:r>
          </w:p>
        </w:tc>
        <w:tc>
          <w:tcPr>
            <w:tcW w:type="dxa" w:w="4989"/>
            <w:shd w:fill="17365D"/>
            <w:tcMar>
              <w:top w:w="115" w:type="dxa"/>
              <w:start w:w="120" w:type="dxa"/>
              <w:bottom w:w="115" w:type="dxa"/>
              <w:end w:w="120" w:type="dxa"/>
            </w:tcMar>
            <w:vAlign w:val="center"/>
          </w:tcPr>
          <w:p>
            <w:pPr>
              <w:spacing w:after="0"/>
              <w:jc w:val="center"/>
            </w:pPr>
            <w:r>
              <w:rPr>
                <w:rFonts w:ascii="Aptos" w:hAnsi="Aptos"/>
                <w:b/>
                <w:color w:val="FFFFFF"/>
                <w:sz w:val="17"/>
              </w:rPr>
              <w:t>Notes</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Existing Contabo VPS</w:t>
            </w:r>
          </w:p>
        </w:tc>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Approximately EUR 14 per month</w:t>
            </w:r>
          </w:p>
        </w:tc>
        <w:tc>
          <w:tcPr>
            <w:tcW w:type="dxa" w:w="4989"/>
            <w:tcMar>
              <w:top w:w="100" w:type="dxa"/>
              <w:start w:w="120" w:type="dxa"/>
              <w:bottom w:w="100" w:type="dxa"/>
              <w:end w:w="120" w:type="dxa"/>
            </w:tcMar>
            <w:vAlign w:val="center"/>
          </w:tcPr>
          <w:p>
            <w:pPr>
              <w:spacing w:after="0" w:line="252" w:lineRule="auto"/>
              <w:jc w:val="left"/>
            </w:pPr>
            <w:r>
              <w:rPr>
                <w:rFonts w:ascii="Aptos" w:hAnsi="Aptos"/>
                <w:color w:val="000000"/>
                <w:sz w:val="17"/>
              </w:rPr>
              <w:t>Matches the older Cloud VPS 30 shape. Confirm the actual invoice, VAT, region and billing term in the Contabo account.</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AI EFFECT incremental compute cost</w:t>
            </w:r>
          </w:p>
        </w:tc>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EUR 0 while sharing the paid VPS</w:t>
            </w:r>
          </w:p>
        </w:tc>
        <w:tc>
          <w:tcPr>
            <w:tcW w:type="dxa" w:w="4989"/>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AI EFFECT consumes capacity but does not add a per-container fee.</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Optional object storage</w:t>
            </w:r>
          </w:p>
        </w:tc>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From EUR 2.49 per month for 250 GB</w:t>
            </w:r>
          </w:p>
        </w:tc>
        <w:tc>
          <w:tcPr>
            <w:tcW w:type="dxa" w:w="4989"/>
            <w:tcMar>
              <w:top w:w="100" w:type="dxa"/>
              <w:start w:w="120" w:type="dxa"/>
              <w:bottom w:w="100" w:type="dxa"/>
              <w:end w:w="120" w:type="dxa"/>
            </w:tcMar>
            <w:vAlign w:val="center"/>
          </w:tcPr>
          <w:p>
            <w:pPr>
              <w:spacing w:after="0" w:line="252" w:lineRule="auto"/>
              <w:jc w:val="left"/>
            </w:pPr>
            <w:r>
              <w:rPr>
                <w:rFonts w:ascii="Aptos" w:hAnsi="Aptos"/>
                <w:color w:val="000000"/>
                <w:sz w:val="17"/>
              </w:rPr>
              <w:t>Recommended for encrypted off-server database backups.</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Comparable dedicated AI EFFECT VPS</w:t>
            </w:r>
          </w:p>
        </w:tc>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Approximately EUR 14 per month</w:t>
            </w:r>
          </w:p>
        </w:tc>
        <w:tc>
          <w:tcPr>
            <w:tcW w:type="dxa" w:w="4989"/>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Would isolate AI EFFECT from PowerPal and EVPA workloads. Pricing changes over time.</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Storage extension</w:t>
            </w:r>
          </w:p>
        </w:tc>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7"/>
              </w:rPr>
              <w:t>Plan-specific</w:t>
            </w:r>
          </w:p>
        </w:tc>
        <w:tc>
          <w:tcPr>
            <w:tcW w:type="dxa" w:w="4989"/>
            <w:tcMar>
              <w:top w:w="100" w:type="dxa"/>
              <w:start w:w="120" w:type="dxa"/>
              <w:bottom w:w="100" w:type="dxa"/>
              <w:end w:w="120" w:type="dxa"/>
            </w:tcMar>
            <w:vAlign w:val="center"/>
          </w:tcPr>
          <w:p>
            <w:pPr>
              <w:spacing w:after="0" w:line="252" w:lineRule="auto"/>
              <w:jc w:val="left"/>
            </w:pPr>
            <w:r>
              <w:rPr>
                <w:rFonts w:ascii="Aptos" w:hAnsi="Aptos"/>
                <w:color w:val="000000"/>
                <w:sz w:val="17"/>
              </w:rPr>
              <w:t>Not required at present; 97 GiB is available.</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Domains DNS and email</w:t>
            </w:r>
          </w:p>
        </w:tc>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Account-specific</w:t>
            </w:r>
          </w:p>
        </w:tc>
        <w:tc>
          <w:tcPr>
            <w:tcW w:type="dxa" w:w="4989"/>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Managed and billed separately from Docker containers.</w:t>
            </w:r>
          </w:p>
        </w:tc>
      </w:tr>
    </w:tbl>
    <w:p>
      <w:pPr>
        <w:spacing w:after="0"/>
        <w:widowControl/>
      </w:pPr>
    </w:p>
    <w:p>
      <w:pPr>
        <w:pStyle w:val="Heading2"/>
        <w:keepNext/>
        <w:widowControl/>
      </w:pPr>
      <w:r>
        <w:t>Budget recommendation</w:t>
      </w:r>
    </w:p>
    <w:p>
      <w:pPr>
        <w:spacing w:after="140" w:line="269" w:lineRule="auto"/>
        <w:widowControl/>
      </w:pPr>
      <w:r>
        <w:rPr>
          <w:rFonts w:ascii="Aptos" w:hAnsi="Aptos"/>
          <w:sz w:val="20"/>
        </w:rPr>
        <w:t>For the current controlled release, retain the existing VPS and budget for off-server backup storage. For a production service with sustained external usage, budget for a separate AI EFFECT VPS of similar size plus backup storage. This removes competition with unrelated projects and reduces the security blast radius.</w:t>
      </w:r>
    </w:p>
    <w:p>
      <w:pPr>
        <w:spacing w:after="120"/>
        <w:widowControl/>
      </w:pPr>
      <w:r>
        <w:rPr>
          <w:rFonts w:ascii="Aptos" w:hAnsi="Aptos"/>
          <w:b/>
          <w:color w:val="9A6700"/>
          <w:sz w:val="20"/>
        </w:rPr>
        <w:t xml:space="preserve">Billing caveat  </w:t>
      </w:r>
      <w:r>
        <w:rPr>
          <w:rFonts w:ascii="Aptos" w:hAnsi="Aptos"/>
          <w:sz w:val="20"/>
        </w:rPr>
        <w:t>SSH access cannot reveal the contractual invoice. IT or finance must confirm the active Contabo product, renewal date, VAT treatment, add-ons and domain expenses in the relevant accounts.</w:t>
      </w:r>
    </w:p>
    <w:p>
      <w:pPr>
        <w:widowControl/>
      </w:pPr>
      <w:r>
        <w:br w:type="page"/>
      </w:r>
    </w:p>
    <w:p>
      <w:pPr>
        <w:pStyle w:val="Heading1"/>
        <w:keepNext/>
        <w:widowControl/>
      </w:pPr>
      <w:r>
        <w:t>7 Security controls</w:t>
      </w:r>
    </w:p>
    <w:p>
      <w:pPr>
        <w:pStyle w:val="Heading2"/>
        <w:keepNext/>
        <w:widowControl/>
      </w:pPr>
      <w:r>
        <w:t>Controls already in place</w:t>
      </w:r>
    </w:p>
    <w:p>
      <w:pPr>
        <w:pStyle w:val="ListBullet"/>
        <w:spacing w:after="60"/>
        <w:ind w:left="340" w:hanging="170"/>
        <w:widowControl/>
      </w:pPr>
      <w:r>
        <w:rPr>
          <w:rFonts w:ascii="Aptos" w:hAnsi="Aptos"/>
          <w:sz w:val="20"/>
        </w:rPr>
        <w:t>HTTPS and valid TLS certificates are provided by Traefik for both production hostnames.</w:t>
      </w:r>
    </w:p>
    <w:p>
      <w:pPr>
        <w:pStyle w:val="ListBullet"/>
        <w:spacing w:after="60"/>
        <w:ind w:left="340" w:hanging="170"/>
        <w:widowControl/>
      </w:pPr>
      <w:r>
        <w:rPr>
          <w:rFonts w:ascii="Aptos" w:hAnsi="Aptos"/>
          <w:sz w:val="20"/>
        </w:rPr>
        <w:t>Country services use private Docker networking and publish no host ports.</w:t>
      </w:r>
    </w:p>
    <w:p>
      <w:pPr>
        <w:pStyle w:val="ListBullet"/>
        <w:spacing w:after="60"/>
        <w:ind w:left="340" w:hanging="170"/>
        <w:widowControl/>
      </w:pPr>
      <w:r>
        <w:rPr>
          <w:rFonts w:ascii="Aptos" w:hAnsi="Aptos"/>
          <w:sz w:val="20"/>
        </w:rPr>
        <w:t>The Solution Studio web service binds locally to 127.0.0.1:13000.</w:t>
      </w:r>
    </w:p>
    <w:p>
      <w:pPr>
        <w:pStyle w:val="ListBullet"/>
        <w:spacing w:after="60"/>
        <w:ind w:left="340" w:hanging="170"/>
        <w:widowControl/>
      </w:pPr>
      <w:r>
        <w:rPr>
          <w:rFonts w:ascii="Aptos" w:hAnsi="Aptos"/>
          <w:sz w:val="20"/>
        </w:rPr>
        <w:t>The WP3 orchestrator binds locally to 127.0.0.1:18000 and Redis has no public host port.</w:t>
      </w:r>
    </w:p>
    <w:p>
      <w:pPr>
        <w:pStyle w:val="ListBullet"/>
        <w:spacing w:after="60"/>
        <w:ind w:left="340" w:hanging="170"/>
        <w:widowControl/>
      </w:pPr>
      <w:r>
        <w:rPr>
          <w:rFonts w:ascii="Aptos" w:hAnsi="Aptos"/>
          <w:sz w:val="20"/>
        </w:rPr>
        <w:t>Production environment files are stored on the server with mode 0600.</w:t>
      </w:r>
    </w:p>
    <w:p>
      <w:pPr>
        <w:pStyle w:val="ListBullet"/>
        <w:spacing w:after="60"/>
        <w:ind w:left="340" w:hanging="170"/>
        <w:widowControl/>
      </w:pPr>
      <w:r>
        <w:rPr>
          <w:rFonts w:ascii="Aptos" w:hAnsi="Aptos"/>
          <w:sz w:val="20"/>
        </w:rPr>
        <w:t>SSH access uses individual public keys and the former developer keys were removed.</w:t>
      </w:r>
    </w:p>
    <w:p>
      <w:pPr>
        <w:pStyle w:val="ListBullet"/>
        <w:spacing w:after="60"/>
        <w:ind w:left="340" w:hanging="170"/>
        <w:widowControl/>
      </w:pPr>
      <w:r>
        <w:rPr>
          <w:rFonts w:ascii="Aptos" w:hAnsi="Aptos"/>
          <w:sz w:val="20"/>
        </w:rPr>
        <w:t>Management pages and management API routes require HTTP Basic Authentication.</w:t>
      </w:r>
    </w:p>
    <w:p>
      <w:pPr>
        <w:pStyle w:val="ListBullet"/>
        <w:spacing w:after="60"/>
        <w:ind w:left="340" w:hanging="170"/>
        <w:widowControl/>
      </w:pPr>
      <w:r>
        <w:rPr>
          <w:rFonts w:ascii="Aptos" w:hAnsi="Aptos"/>
          <w:sz w:val="20"/>
        </w:rPr>
        <w:t>The Portuguese production source excludes development secrets, a private test certificate, cached datasets and cached models.</w:t>
      </w:r>
    </w:p>
    <w:p>
      <w:pPr>
        <w:pStyle w:val="Heading2"/>
        <w:keepNext/>
        <w:widowControl/>
      </w:pPr>
      <w:r>
        <w:t>Required security improvements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1134"/>
            <w:shd w:fill="17365D"/>
            <w:tcMar>
              <w:top w:w="115" w:type="dxa"/>
              <w:start w:w="120" w:type="dxa"/>
              <w:bottom w:w="115" w:type="dxa"/>
              <w:end w:w="120" w:type="dxa"/>
            </w:tcMar>
            <w:vAlign w:val="center"/>
          </w:tcPr>
          <w:p>
            <w:pPr>
              <w:spacing w:after="0"/>
              <w:jc w:val="center"/>
            </w:pPr>
            <w:r>
              <w:rPr>
                <w:rFonts w:ascii="Aptos" w:hAnsi="Aptos"/>
                <w:b/>
                <w:color w:val="FFFFFF"/>
                <w:sz w:val="17"/>
              </w:rPr>
              <w:t>Priority</w:t>
            </w:r>
          </w:p>
        </w:tc>
        <w:tc>
          <w:tcPr>
            <w:tcW w:type="dxa" w:w="3969"/>
            <w:shd w:fill="17365D"/>
            <w:tcMar>
              <w:top w:w="115" w:type="dxa"/>
              <w:start w:w="120" w:type="dxa"/>
              <w:bottom w:w="115" w:type="dxa"/>
              <w:end w:w="120" w:type="dxa"/>
            </w:tcMar>
            <w:vAlign w:val="center"/>
          </w:tcPr>
          <w:p>
            <w:pPr>
              <w:spacing w:after="0"/>
              <w:jc w:val="center"/>
            </w:pPr>
            <w:r>
              <w:rPr>
                <w:rFonts w:ascii="Aptos" w:hAnsi="Aptos"/>
                <w:b/>
                <w:color w:val="FFFFFF"/>
                <w:sz w:val="17"/>
              </w:rPr>
              <w:t>Action</w:t>
            </w:r>
          </w:p>
        </w:tc>
        <w:tc>
          <w:tcPr>
            <w:tcW w:type="dxa" w:w="4535"/>
            <w:shd w:fill="17365D"/>
            <w:tcMar>
              <w:top w:w="115" w:type="dxa"/>
              <w:start w:w="120" w:type="dxa"/>
              <w:bottom w:w="115" w:type="dxa"/>
              <w:end w:w="120" w:type="dxa"/>
            </w:tcMar>
            <w:vAlign w:val="center"/>
          </w:tcPr>
          <w:p>
            <w:pPr>
              <w:spacing w:after="0"/>
              <w:jc w:val="center"/>
            </w:pPr>
            <w:r>
              <w:rPr>
                <w:rFonts w:ascii="Aptos" w:hAnsi="Aptos"/>
                <w:b/>
                <w:color w:val="FFFFFF"/>
                <w:sz w:val="17"/>
              </w:rPr>
              <w:t>Reason</w:t>
            </w:r>
          </w:p>
        </w:tc>
      </w:tr>
      <w:tr>
        <w:trPr>
          <w:cantSplit/>
        </w:trPr>
        <w:tc>
          <w:tcPr>
            <w:tcW w:type="dxa" w:w="1134"/>
            <w:tcMar>
              <w:top w:w="100" w:type="dxa"/>
              <w:start w:w="120" w:type="dxa"/>
              <w:bottom w:w="100" w:type="dxa"/>
              <w:end w:w="120" w:type="dxa"/>
            </w:tcMar>
            <w:vAlign w:val="center"/>
          </w:tcPr>
          <w:p>
            <w:pPr>
              <w:spacing w:after="0" w:line="252" w:lineRule="auto"/>
              <w:jc w:val="center"/>
            </w:pPr>
            <w:r>
              <w:rPr>
                <w:rFonts w:ascii="Aptos" w:hAnsi="Aptos"/>
                <w:color w:val="000000"/>
                <w:sz w:val="16"/>
              </w:rPr>
              <w:t>Critical</w:t>
            </w:r>
          </w:p>
        </w:tc>
        <w:tc>
          <w:tcPr>
            <w:tcW w:type="dxa" w:w="3969"/>
            <w:tcMar>
              <w:top w:w="100" w:type="dxa"/>
              <w:start w:w="120" w:type="dxa"/>
              <w:bottom w:w="100" w:type="dxa"/>
              <w:end w:w="120" w:type="dxa"/>
            </w:tcMar>
            <w:vAlign w:val="center"/>
          </w:tcPr>
          <w:p>
            <w:pPr>
              <w:spacing w:after="0" w:line="252" w:lineRule="auto"/>
              <w:jc w:val="left"/>
            </w:pPr>
            <w:r>
              <w:rPr>
                <w:rFonts w:ascii="Aptos" w:hAnsi="Aptos"/>
                <w:color w:val="000000"/>
                <w:sz w:val="16"/>
              </w:rPr>
              <w:t>Back up the new database off-server and test restoration</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6"/>
              </w:rPr>
              <w:t>The active Solution Studio database is not covered by the current legacy backup job</w:t>
            </w:r>
          </w:p>
        </w:tc>
      </w:tr>
      <w:tr>
        <w:trPr>
          <w:cantSplit/>
        </w:trPr>
        <w:tc>
          <w:tcPr>
            <w:tcW w:type="dxa" w:w="1134"/>
            <w:tcMar>
              <w:top w:w="100" w:type="dxa"/>
              <w:start w:w="120" w:type="dxa"/>
              <w:bottom w:w="100" w:type="dxa"/>
              <w:end w:w="120" w:type="dxa"/>
            </w:tcMar>
            <w:vAlign w:val="center"/>
            <w:shd w:fill="EEF4FC"/>
          </w:tcPr>
          <w:p>
            <w:pPr>
              <w:spacing w:after="0" w:line="252" w:lineRule="auto"/>
              <w:jc w:val="center"/>
            </w:pPr>
            <w:r>
              <w:rPr>
                <w:rFonts w:ascii="Aptos" w:hAnsi="Aptos"/>
                <w:color w:val="000000"/>
                <w:sz w:val="16"/>
              </w:rPr>
              <w:t>High</w:t>
            </w:r>
          </w:p>
        </w:tc>
        <w:tc>
          <w:tcPr>
            <w:tcW w:type="dxa" w:w="3969"/>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Delete the temporary initial-credentials file after secure transfer and rotate the browser credential</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Reduces credential exposure and prevents indefinite reuse</w:t>
            </w:r>
          </w:p>
        </w:tc>
      </w:tr>
      <w:tr>
        <w:trPr>
          <w:cantSplit/>
        </w:trPr>
        <w:tc>
          <w:tcPr>
            <w:tcW w:type="dxa" w:w="1134"/>
            <w:tcMar>
              <w:top w:w="100" w:type="dxa"/>
              <w:start w:w="120" w:type="dxa"/>
              <w:bottom w:w="100" w:type="dxa"/>
              <w:end w:w="120" w:type="dxa"/>
            </w:tcMar>
            <w:vAlign w:val="center"/>
          </w:tcPr>
          <w:p>
            <w:pPr>
              <w:spacing w:after="0" w:line="252" w:lineRule="auto"/>
              <w:jc w:val="center"/>
            </w:pPr>
            <w:r>
              <w:rPr>
                <w:rFonts w:ascii="Aptos" w:hAnsi="Aptos"/>
                <w:color w:val="000000"/>
                <w:sz w:val="16"/>
              </w:rPr>
              <w:t>High</w:t>
            </w:r>
          </w:p>
        </w:tc>
        <w:tc>
          <w:tcPr>
            <w:tcW w:type="dxa" w:w="3969"/>
            <w:tcMar>
              <w:top w:w="100" w:type="dxa"/>
              <w:start w:w="120" w:type="dxa"/>
              <w:bottom w:w="100" w:type="dxa"/>
              <w:end w:w="120" w:type="dxa"/>
            </w:tcMar>
            <w:vAlign w:val="center"/>
          </w:tcPr>
          <w:p>
            <w:pPr>
              <w:spacing w:after="0" w:line="252" w:lineRule="auto"/>
              <w:jc w:val="left"/>
            </w:pPr>
            <w:r>
              <w:rPr>
                <w:rFonts w:ascii="Aptos" w:hAnsi="Aptos"/>
                <w:color w:val="000000"/>
                <w:sz w:val="16"/>
              </w:rPr>
              <w:t>Review host and Contabo firewall rules</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6"/>
              </w:rPr>
              <w:t>Only ports required by approved projects should be reachable from the internet</w:t>
            </w:r>
          </w:p>
        </w:tc>
      </w:tr>
      <w:tr>
        <w:trPr>
          <w:cantSplit/>
        </w:trPr>
        <w:tc>
          <w:tcPr>
            <w:tcW w:type="dxa" w:w="1134"/>
            <w:tcMar>
              <w:top w:w="100" w:type="dxa"/>
              <w:start w:w="120" w:type="dxa"/>
              <w:bottom w:w="100" w:type="dxa"/>
              <w:end w:w="120" w:type="dxa"/>
            </w:tcMar>
            <w:vAlign w:val="center"/>
            <w:shd w:fill="EEF4FC"/>
          </w:tcPr>
          <w:p>
            <w:pPr>
              <w:spacing w:after="0" w:line="252" w:lineRule="auto"/>
              <w:jc w:val="center"/>
            </w:pPr>
            <w:r>
              <w:rPr>
                <w:rFonts w:ascii="Aptos" w:hAnsi="Aptos"/>
                <w:color w:val="000000"/>
                <w:sz w:val="16"/>
              </w:rPr>
              <w:t>High</w:t>
            </w:r>
          </w:p>
        </w:tc>
        <w:tc>
          <w:tcPr>
            <w:tcW w:type="dxa" w:w="3969"/>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Add Docker log limits</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Default json-file logging may grow without a bound</w:t>
            </w:r>
          </w:p>
        </w:tc>
      </w:tr>
      <w:tr>
        <w:trPr>
          <w:cantSplit/>
        </w:trPr>
        <w:tc>
          <w:tcPr>
            <w:tcW w:type="dxa" w:w="1134"/>
            <w:tcMar>
              <w:top w:w="100" w:type="dxa"/>
              <w:start w:w="120" w:type="dxa"/>
              <w:bottom w:w="100" w:type="dxa"/>
              <w:end w:w="120" w:type="dxa"/>
            </w:tcMar>
            <w:vAlign w:val="center"/>
          </w:tcPr>
          <w:p>
            <w:pPr>
              <w:spacing w:after="0" w:line="252" w:lineRule="auto"/>
              <w:jc w:val="center"/>
            </w:pPr>
            <w:r>
              <w:rPr>
                <w:rFonts w:ascii="Aptos" w:hAnsi="Aptos"/>
                <w:color w:val="000000"/>
                <w:sz w:val="16"/>
              </w:rPr>
              <w:t>High</w:t>
            </w:r>
          </w:p>
        </w:tc>
        <w:tc>
          <w:tcPr>
            <w:tcW w:type="dxa" w:w="3969"/>
            <w:tcMar>
              <w:top w:w="100" w:type="dxa"/>
              <w:start w:w="120" w:type="dxa"/>
              <w:bottom w:w="100" w:type="dxa"/>
              <w:end w:w="120" w:type="dxa"/>
            </w:tcMar>
            <w:vAlign w:val="center"/>
          </w:tcPr>
          <w:p>
            <w:pPr>
              <w:spacing w:after="0" w:line="252" w:lineRule="auto"/>
              <w:jc w:val="left"/>
            </w:pPr>
            <w:r>
              <w:rPr>
                <w:rFonts w:ascii="Aptos" w:hAnsi="Aptos"/>
                <w:color w:val="000000"/>
                <w:sz w:val="16"/>
              </w:rPr>
              <w:t>Move to application user accounts or institutional single sign-on</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6"/>
              </w:rPr>
              <w:t>Basic Authentication is a temporary shared gate, not an auditable identity system</w:t>
            </w:r>
          </w:p>
        </w:tc>
      </w:tr>
      <w:tr>
        <w:trPr>
          <w:cantSplit/>
        </w:trPr>
        <w:tc>
          <w:tcPr>
            <w:tcW w:type="dxa" w:w="1134"/>
            <w:tcMar>
              <w:top w:w="100" w:type="dxa"/>
              <w:start w:w="120" w:type="dxa"/>
              <w:bottom w:w="100" w:type="dxa"/>
              <w:end w:w="120" w:type="dxa"/>
            </w:tcMar>
            <w:vAlign w:val="center"/>
            <w:shd w:fill="EEF4FC"/>
          </w:tcPr>
          <w:p>
            <w:pPr>
              <w:spacing w:after="0" w:line="252" w:lineRule="auto"/>
              <w:jc w:val="center"/>
            </w:pPr>
            <w:r>
              <w:rPr>
                <w:rFonts w:ascii="Aptos" w:hAnsi="Aptos"/>
                <w:color w:val="000000"/>
                <w:sz w:val="16"/>
              </w:rPr>
              <w:t>Medium</w:t>
            </w:r>
          </w:p>
        </w:tc>
        <w:tc>
          <w:tcPr>
            <w:tcW w:type="dxa" w:w="3969"/>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Apply Ubuntu and Docker security updates on a scheduled maintenance window</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Reduces exposure to known vulnerabilities</w:t>
            </w:r>
          </w:p>
        </w:tc>
      </w:tr>
      <w:tr>
        <w:trPr>
          <w:cantSplit/>
        </w:trPr>
        <w:tc>
          <w:tcPr>
            <w:tcW w:type="dxa" w:w="1134"/>
            <w:tcMar>
              <w:top w:w="100" w:type="dxa"/>
              <w:start w:w="120" w:type="dxa"/>
              <w:bottom w:w="100" w:type="dxa"/>
              <w:end w:w="120" w:type="dxa"/>
            </w:tcMar>
            <w:vAlign w:val="center"/>
          </w:tcPr>
          <w:p>
            <w:pPr>
              <w:spacing w:after="0" w:line="252" w:lineRule="auto"/>
              <w:jc w:val="center"/>
            </w:pPr>
            <w:r>
              <w:rPr>
                <w:rFonts w:ascii="Aptos" w:hAnsi="Aptos"/>
                <w:color w:val="000000"/>
                <w:sz w:val="16"/>
              </w:rPr>
              <w:t>Medium</w:t>
            </w:r>
          </w:p>
        </w:tc>
        <w:tc>
          <w:tcPr>
            <w:tcW w:type="dxa" w:w="3969"/>
            <w:tcMar>
              <w:top w:w="100" w:type="dxa"/>
              <w:start w:w="120" w:type="dxa"/>
              <w:bottom w:w="100" w:type="dxa"/>
              <w:end w:w="120" w:type="dxa"/>
            </w:tcMar>
            <w:vAlign w:val="center"/>
          </w:tcPr>
          <w:p>
            <w:pPr>
              <w:spacing w:after="0" w:line="252" w:lineRule="auto"/>
              <w:jc w:val="left"/>
            </w:pPr>
            <w:r>
              <w:rPr>
                <w:rFonts w:ascii="Aptos" w:hAnsi="Aptos"/>
                <w:color w:val="000000"/>
                <w:sz w:val="16"/>
              </w:rPr>
              <w:t>Add container image vulnerability scanning and dependency review</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6"/>
              </w:rPr>
              <w:t>Country images include large third-party runtimes</w:t>
            </w:r>
          </w:p>
        </w:tc>
      </w:tr>
      <w:tr>
        <w:trPr>
          <w:cantSplit/>
        </w:trPr>
        <w:tc>
          <w:tcPr>
            <w:tcW w:type="dxa" w:w="1134"/>
            <w:tcMar>
              <w:top w:w="100" w:type="dxa"/>
              <w:start w:w="120" w:type="dxa"/>
              <w:bottom w:w="100" w:type="dxa"/>
              <w:end w:w="120" w:type="dxa"/>
            </w:tcMar>
            <w:vAlign w:val="center"/>
            <w:shd w:fill="EEF4FC"/>
          </w:tcPr>
          <w:p>
            <w:pPr>
              <w:spacing w:after="0" w:line="252" w:lineRule="auto"/>
              <w:jc w:val="center"/>
            </w:pPr>
            <w:r>
              <w:rPr>
                <w:rFonts w:ascii="Aptos" w:hAnsi="Aptos"/>
                <w:color w:val="000000"/>
                <w:sz w:val="16"/>
              </w:rPr>
              <w:t>Medium</w:t>
            </w:r>
          </w:p>
        </w:tc>
        <w:tc>
          <w:tcPr>
            <w:tcW w:type="dxa" w:w="3969"/>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Separate AI EFFECT from unrelated workloads</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Reduces resource contention and shared-host attack surface</w:t>
            </w:r>
          </w:p>
        </w:tc>
      </w:tr>
    </w:tbl>
    <w:p>
      <w:pPr>
        <w:spacing w:after="0"/>
        <w:widowControl/>
      </w:pPr>
    </w:p>
    <w:p>
      <w:pPr>
        <w:pStyle w:val="Heading2"/>
        <w:keepNext/>
        <w:widowControl/>
      </w:pPr>
      <w:r>
        <w:t>Secret handling rules</w:t>
      </w:r>
    </w:p>
    <w:p>
      <w:pPr>
        <w:pStyle w:val="ListBullet"/>
        <w:spacing w:after="60"/>
        <w:ind w:left="340" w:hanging="170"/>
        <w:widowControl/>
      </w:pPr>
      <w:r>
        <w:rPr>
          <w:rFonts w:ascii="Aptos" w:hAnsi="Aptos"/>
          <w:sz w:val="20"/>
        </w:rPr>
        <w:t>Never place passwords, API keys, private keys or environment files in Git, tickets, email or this document.</w:t>
      </w:r>
    </w:p>
    <w:p>
      <w:pPr>
        <w:pStyle w:val="ListBullet"/>
        <w:spacing w:after="60"/>
        <w:ind w:left="340" w:hanging="170"/>
        <w:widowControl/>
      </w:pPr>
      <w:r>
        <w:rPr>
          <w:rFonts w:ascii="Aptos" w:hAnsi="Aptos"/>
          <w:sz w:val="20"/>
        </w:rPr>
        <w:t>Store production credentials in an institutional password manager with named-user access and an access log.</w:t>
      </w:r>
    </w:p>
    <w:p>
      <w:pPr>
        <w:pStyle w:val="ListBullet"/>
        <w:spacing w:after="60"/>
        <w:ind w:left="340" w:hanging="170"/>
        <w:widowControl/>
      </w:pPr>
      <w:r>
        <w:rPr>
          <w:rFonts w:ascii="Aptos" w:hAnsi="Aptos"/>
          <w:sz w:val="20"/>
        </w:rPr>
        <w:t>Use separate credentials for production, staging and development.</w:t>
      </w:r>
    </w:p>
    <w:p>
      <w:pPr>
        <w:pStyle w:val="ListBullet"/>
        <w:spacing w:after="60"/>
        <w:ind w:left="340" w:hanging="170"/>
        <w:widowControl/>
      </w:pPr>
      <w:r>
        <w:rPr>
          <w:rFonts w:ascii="Aptos" w:hAnsi="Aptos"/>
          <w:sz w:val="20"/>
        </w:rPr>
        <w:t>Rotate credentials after staff departure, suspected disclosure or handover to a new operations owner.</w:t>
      </w:r>
    </w:p>
    <w:p>
      <w:pPr>
        <w:pStyle w:val="ListBullet"/>
        <w:spacing w:after="60"/>
        <w:ind w:left="340" w:hanging="170"/>
        <w:widowControl/>
      </w:pPr>
      <w:r>
        <w:rPr>
          <w:rFonts w:ascii="Aptos" w:hAnsi="Aptos"/>
          <w:sz w:val="20"/>
        </w:rPr>
        <w:t>Keep the SSH private key off the server and protect it with device encryption and a passphrase where supported.</w:t>
      </w:r>
    </w:p>
    <w:p>
      <w:pPr>
        <w:widowControl/>
      </w:pPr>
      <w:r>
        <w:br w:type="page"/>
      </w:r>
    </w:p>
    <w:p>
      <w:pPr>
        <w:pStyle w:val="Heading1"/>
        <w:keepNext/>
        <w:widowControl/>
      </w:pPr>
      <w:r>
        <w:t>8 Backup and recovery</w:t>
      </w:r>
    </w:p>
    <w:p>
      <w:pPr>
        <w:pStyle w:val="Heading2"/>
        <w:keepNext/>
        <w:widowControl/>
      </w:pPr>
      <w:r>
        <w:t>Current backup state</w:t>
      </w:r>
    </w:p>
    <w:p>
      <w:pPr>
        <w:spacing w:after="140" w:line="269" w:lineRule="auto"/>
        <w:widowControl/>
      </w:pPr>
      <w:r>
        <w:rPr>
          <w:rFonts w:ascii="Aptos" w:hAnsi="Aptos"/>
          <w:sz w:val="20"/>
        </w:rPr>
        <w:t>A cron job runs at 02:30 each day and retains fourteen days of compressed PostgreSQL dumps. However, the job executes pg_dump inside ai-effect-postgres, which is the legacy portal database. It does not currently protect ai-effect-solution-studio-postgres-1, the active Solution Studio database.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2324"/>
            <w:shd w:fill="17365D"/>
            <w:tcMar>
              <w:top w:w="115" w:type="dxa"/>
              <w:start w:w="120" w:type="dxa"/>
              <w:bottom w:w="115" w:type="dxa"/>
              <w:end w:w="120" w:type="dxa"/>
            </w:tcMar>
            <w:vAlign w:val="center"/>
          </w:tcPr>
          <w:p>
            <w:pPr>
              <w:spacing w:after="0"/>
              <w:jc w:val="center"/>
            </w:pPr>
            <w:r>
              <w:rPr>
                <w:rFonts w:ascii="Aptos" w:hAnsi="Aptos"/>
                <w:b/>
                <w:color w:val="FFFFFF"/>
                <w:sz w:val="17"/>
              </w:rPr>
              <w:t>Data set</w:t>
            </w:r>
          </w:p>
        </w:tc>
        <w:tc>
          <w:tcPr>
            <w:tcW w:type="dxa" w:w="2948"/>
            <w:shd w:fill="17365D"/>
            <w:tcMar>
              <w:top w:w="115" w:type="dxa"/>
              <w:start w:w="120" w:type="dxa"/>
              <w:bottom w:w="115" w:type="dxa"/>
              <w:end w:w="120" w:type="dxa"/>
            </w:tcMar>
            <w:vAlign w:val="center"/>
          </w:tcPr>
          <w:p>
            <w:pPr>
              <w:spacing w:after="0"/>
              <w:jc w:val="center"/>
            </w:pPr>
            <w:r>
              <w:rPr>
                <w:rFonts w:ascii="Aptos" w:hAnsi="Aptos"/>
                <w:b/>
                <w:color w:val="FFFFFF"/>
                <w:sz w:val="17"/>
              </w:rPr>
              <w:t>Current state</w:t>
            </w:r>
          </w:p>
        </w:tc>
        <w:tc>
          <w:tcPr>
            <w:tcW w:type="dxa" w:w="4365"/>
            <w:shd w:fill="17365D"/>
            <w:tcMar>
              <w:top w:w="115" w:type="dxa"/>
              <w:start w:w="120" w:type="dxa"/>
              <w:bottom w:w="115" w:type="dxa"/>
              <w:end w:w="120" w:type="dxa"/>
            </w:tcMar>
            <w:vAlign w:val="center"/>
          </w:tcPr>
          <w:p>
            <w:pPr>
              <w:spacing w:after="0"/>
              <w:jc w:val="center"/>
            </w:pPr>
            <w:r>
              <w:rPr>
                <w:rFonts w:ascii="Aptos" w:hAnsi="Aptos"/>
                <w:b/>
                <w:color w:val="FFFFFF"/>
                <w:sz w:val="17"/>
              </w:rPr>
              <w:t>Required recovery control</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6"/>
              </w:rPr>
              <w:t>Solution Studio PostgreSQL</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6"/>
              </w:rPr>
              <w:t>Not covered by the observed nightly job</w:t>
            </w:r>
          </w:p>
        </w:tc>
        <w:tc>
          <w:tcPr>
            <w:tcW w:type="dxa" w:w="4365"/>
            <w:tcMar>
              <w:top w:w="100" w:type="dxa"/>
              <w:start w:w="120" w:type="dxa"/>
              <w:bottom w:w="100" w:type="dxa"/>
              <w:end w:w="120" w:type="dxa"/>
            </w:tcMar>
            <w:vAlign w:val="center"/>
          </w:tcPr>
          <w:p>
            <w:pPr>
              <w:spacing w:after="0" w:line="252" w:lineRule="auto"/>
              <w:jc w:val="left"/>
            </w:pPr>
            <w:r>
              <w:rPr>
                <w:rFonts w:ascii="Aptos" w:hAnsi="Aptos"/>
                <w:color w:val="000000"/>
                <w:sz w:val="16"/>
              </w:rPr>
              <w:t>Nightly pg_dump, 14 to 30 day retention, encrypted off-server copy and quarterly restore test</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Legacy portal PostgreSQL</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Nightly compressed dump with 14 day retention</w:t>
            </w:r>
          </w:p>
        </w:tc>
        <w:tc>
          <w:tcPr>
            <w:tcW w:type="dxa" w:w="436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Retain temporarily for rollback, then archive according to an approved retirement date</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6"/>
              </w:rPr>
              <w:t>Portuguese ClickHouse</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6"/>
              </w:rPr>
              <w:t>Approximately 342 MB in a Docker volume</w:t>
            </w:r>
          </w:p>
        </w:tc>
        <w:tc>
          <w:tcPr>
            <w:tcW w:type="dxa" w:w="4365"/>
            <w:tcMar>
              <w:top w:w="100" w:type="dxa"/>
              <w:start w:w="120" w:type="dxa"/>
              <w:bottom w:w="100" w:type="dxa"/>
              <w:end w:w="120" w:type="dxa"/>
            </w:tcMar>
            <w:vAlign w:val="center"/>
          </w:tcPr>
          <w:p>
            <w:pPr>
              <w:spacing w:after="0" w:line="252" w:lineRule="auto"/>
              <w:jc w:val="left"/>
            </w:pPr>
            <w:r>
              <w:rPr>
                <w:rFonts w:ascii="Aptos" w:hAnsi="Aptos"/>
                <w:color w:val="000000"/>
                <w:sz w:val="16"/>
              </w:rPr>
              <w:t>Back up if data is authoritative; otherwise document the repeatable reconstruction procedure</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Ollama model volume</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Approximately 941 MB</w:t>
            </w:r>
          </w:p>
        </w:tc>
        <w:tc>
          <w:tcPr>
            <w:tcW w:type="dxa" w:w="436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Can be downloaded again; record the exact model name and version</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6"/>
              </w:rPr>
              <w:t>Country repositories and overlays</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6"/>
              </w:rPr>
              <w:t>Tracked in Git</w:t>
            </w:r>
          </w:p>
        </w:tc>
        <w:tc>
          <w:tcPr>
            <w:tcW w:type="dxa" w:w="4365"/>
            <w:tcMar>
              <w:top w:w="100" w:type="dxa"/>
              <w:start w:w="120" w:type="dxa"/>
              <w:bottom w:w="100" w:type="dxa"/>
              <w:end w:w="120" w:type="dxa"/>
            </w:tcMar>
            <w:vAlign w:val="center"/>
          </w:tcPr>
          <w:p>
            <w:pPr>
              <w:spacing w:after="0" w:line="252" w:lineRule="auto"/>
              <w:jc w:val="left"/>
            </w:pPr>
            <w:r>
              <w:rPr>
                <w:rFonts w:ascii="Aptos" w:hAnsi="Aptos"/>
                <w:color w:val="000000"/>
                <w:sz w:val="16"/>
              </w:rPr>
              <w:t>Protect GitHub access and maintain pinned commits and release tags</w:t>
            </w:r>
          </w:p>
        </w:tc>
      </w:tr>
      <w:tr>
        <w:trPr>
          <w:cantSplit/>
        </w:trPr>
        <w:tc>
          <w:tcPr>
            <w:tcW w:type="dxa" w:w="232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Docker images</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Stored locally and partly reproducible</w:t>
            </w:r>
          </w:p>
        </w:tc>
        <w:tc>
          <w:tcPr>
            <w:tcW w:type="dxa" w:w="4365"/>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Keep immutable image tags or registry copies for each production release</w:t>
            </w:r>
          </w:p>
        </w:tc>
      </w:tr>
      <w:tr>
        <w:trPr>
          <w:cantSplit/>
        </w:trPr>
        <w:tc>
          <w:tcPr>
            <w:tcW w:type="dxa" w:w="2324"/>
            <w:tcMar>
              <w:top w:w="100" w:type="dxa"/>
              <w:start w:w="120" w:type="dxa"/>
              <w:bottom w:w="100" w:type="dxa"/>
              <w:end w:w="120" w:type="dxa"/>
            </w:tcMar>
            <w:vAlign w:val="center"/>
          </w:tcPr>
          <w:p>
            <w:pPr>
              <w:spacing w:after="0" w:line="252" w:lineRule="auto"/>
              <w:jc w:val="left"/>
            </w:pPr>
            <w:r>
              <w:rPr>
                <w:rFonts w:ascii="Aptos" w:hAnsi="Aptos"/>
                <w:color w:val="000000"/>
                <w:sz w:val="16"/>
              </w:rPr>
              <w:t>TLS and Traefik configuration</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6"/>
              </w:rPr>
              <w:t>Stored on the shared server</w:t>
            </w:r>
          </w:p>
        </w:tc>
        <w:tc>
          <w:tcPr>
            <w:tcW w:type="dxa" w:w="4365"/>
            <w:tcMar>
              <w:top w:w="100" w:type="dxa"/>
              <w:start w:w="120" w:type="dxa"/>
              <w:bottom w:w="100" w:type="dxa"/>
              <w:end w:w="120" w:type="dxa"/>
            </w:tcMar>
            <w:vAlign w:val="center"/>
          </w:tcPr>
          <w:p>
            <w:pPr>
              <w:spacing w:after="0" w:line="252" w:lineRule="auto"/>
              <w:jc w:val="left"/>
            </w:pPr>
            <w:r>
              <w:rPr>
                <w:rFonts w:ascii="Aptos" w:hAnsi="Aptos"/>
                <w:color w:val="000000"/>
                <w:sz w:val="16"/>
              </w:rPr>
              <w:t>Include configuration and certificate recovery procedure in infrastructure backup</w:t>
            </w:r>
          </w:p>
        </w:tc>
      </w:tr>
    </w:tbl>
    <w:p>
      <w:pPr>
        <w:spacing w:after="0"/>
        <w:widowControl/>
      </w:pPr>
    </w:p>
    <w:p>
      <w:pPr>
        <w:pStyle w:val="Heading2"/>
        <w:keepNext/>
        <w:widowControl/>
      </w:pPr>
      <w:r>
        <w:t>Minimum recovery objectives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2268"/>
            <w:shd w:fill="17365D"/>
            <w:tcMar>
              <w:top w:w="115" w:type="dxa"/>
              <w:start w:w="120" w:type="dxa"/>
              <w:bottom w:w="115" w:type="dxa"/>
              <w:end w:w="120" w:type="dxa"/>
            </w:tcMar>
            <w:vAlign w:val="center"/>
          </w:tcPr>
          <w:p>
            <w:pPr>
              <w:spacing w:after="0"/>
              <w:jc w:val="center"/>
            </w:pPr>
            <w:r>
              <w:rPr>
                <w:rFonts w:ascii="Aptos" w:hAnsi="Aptos"/>
                <w:b/>
                <w:color w:val="FFFFFF"/>
                <w:sz w:val="17"/>
              </w:rPr>
              <w:t>Objective</w:t>
            </w:r>
          </w:p>
        </w:tc>
        <w:tc>
          <w:tcPr>
            <w:tcW w:type="dxa" w:w="2268"/>
            <w:shd w:fill="17365D"/>
            <w:tcMar>
              <w:top w:w="115" w:type="dxa"/>
              <w:start w:w="120" w:type="dxa"/>
              <w:bottom w:w="115" w:type="dxa"/>
              <w:end w:w="120" w:type="dxa"/>
            </w:tcMar>
            <w:vAlign w:val="center"/>
          </w:tcPr>
          <w:p>
            <w:pPr>
              <w:spacing w:after="0"/>
              <w:jc w:val="center"/>
            </w:pPr>
            <w:r>
              <w:rPr>
                <w:rFonts w:ascii="Aptos" w:hAnsi="Aptos"/>
                <w:b/>
                <w:color w:val="FFFFFF"/>
                <w:sz w:val="17"/>
              </w:rPr>
              <w:t>Initial target</w:t>
            </w:r>
          </w:p>
        </w:tc>
        <w:tc>
          <w:tcPr>
            <w:tcW w:type="dxa" w:w="5102"/>
            <w:shd w:fill="17365D"/>
            <w:tcMar>
              <w:top w:w="115" w:type="dxa"/>
              <w:start w:w="120" w:type="dxa"/>
              <w:bottom w:w="115" w:type="dxa"/>
              <w:end w:w="120" w:type="dxa"/>
            </w:tcMar>
            <w:vAlign w:val="center"/>
          </w:tcPr>
          <w:p>
            <w:pPr>
              <w:spacing w:after="0"/>
              <w:jc w:val="center"/>
            </w:pPr>
            <w:r>
              <w:rPr>
                <w:rFonts w:ascii="Aptos" w:hAnsi="Aptos"/>
                <w:b/>
                <w:color w:val="FFFFFF"/>
                <w:sz w:val="17"/>
              </w:rPr>
              <w:t>Meaning</w:t>
            </w:r>
          </w:p>
        </w:tc>
      </w:tr>
      <w:tr>
        <w:trPr>
          <w:cantSplit/>
        </w:trPr>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7"/>
              </w:rPr>
              <w:t>Recovery point objective</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7"/>
              </w:rPr>
              <w:t>24 hours</w:t>
            </w:r>
          </w:p>
        </w:tc>
        <w:tc>
          <w:tcPr>
            <w:tcW w:type="dxa" w:w="5102"/>
            <w:tcMar>
              <w:top w:w="100" w:type="dxa"/>
              <w:start w:w="120" w:type="dxa"/>
              <w:bottom w:w="100" w:type="dxa"/>
              <w:end w:w="120" w:type="dxa"/>
            </w:tcMar>
            <w:vAlign w:val="center"/>
          </w:tcPr>
          <w:p>
            <w:pPr>
              <w:spacing w:after="0" w:line="252" w:lineRule="auto"/>
              <w:jc w:val="left"/>
            </w:pPr>
            <w:r>
              <w:rPr>
                <w:rFonts w:ascii="Aptos" w:hAnsi="Aptos"/>
                <w:color w:val="000000"/>
                <w:sz w:val="17"/>
              </w:rPr>
              <w:t>At most one day of database changes may be lost</w:t>
            </w:r>
          </w:p>
        </w:tc>
      </w:tr>
      <w:tr>
        <w:trPr>
          <w:cantSplit/>
        </w:trPr>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Recovery time objective</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4 hours</w:t>
            </w:r>
          </w:p>
        </w:tc>
        <w:tc>
          <w:tcPr>
            <w:tcW w:type="dxa" w:w="5102"/>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Restore portal service within four hours during supported operations</w:t>
            </w:r>
          </w:p>
        </w:tc>
      </w:tr>
      <w:tr>
        <w:trPr>
          <w:cantSplit/>
        </w:trPr>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7"/>
              </w:rPr>
              <w:t>Backup retention</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7"/>
              </w:rPr>
              <w:t>14 to 30 days</w:t>
            </w:r>
          </w:p>
        </w:tc>
        <w:tc>
          <w:tcPr>
            <w:tcW w:type="dxa" w:w="5102"/>
            <w:tcMar>
              <w:top w:w="100" w:type="dxa"/>
              <w:start w:w="120" w:type="dxa"/>
              <w:bottom w:w="100" w:type="dxa"/>
              <w:end w:w="120" w:type="dxa"/>
            </w:tcMar>
            <w:vAlign w:val="center"/>
          </w:tcPr>
          <w:p>
            <w:pPr>
              <w:spacing w:after="0" w:line="252" w:lineRule="auto"/>
              <w:jc w:val="left"/>
            </w:pPr>
            <w:r>
              <w:rPr>
                <w:rFonts w:ascii="Aptos" w:hAnsi="Aptos"/>
                <w:color w:val="000000"/>
                <w:sz w:val="17"/>
              </w:rPr>
              <w:t>Keep enough restore points to recover from delayed discovery of corruption</w:t>
            </w:r>
          </w:p>
        </w:tc>
      </w:tr>
      <w:tr>
        <w:trPr>
          <w:cantSplit/>
        </w:trPr>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Restore validation</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Quarterly and after backup changes</w:t>
            </w:r>
          </w:p>
        </w:tc>
        <w:tc>
          <w:tcPr>
            <w:tcW w:type="dxa" w:w="5102"/>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 backup is not accepted until it has been restored and checked</w:t>
            </w:r>
          </w:p>
        </w:tc>
      </w:tr>
    </w:tbl>
    <w:p>
      <w:pPr>
        <w:spacing w:after="0"/>
        <w:widowControl/>
      </w:pPr>
    </w:p>
    <w:p>
      <w:pPr>
        <w:pStyle w:val="Heading2"/>
        <w:keepNext/>
        <w:widowControl/>
      </w:pPr>
      <w:r>
        <w:t>Restore test record</w:t>
      </w:r>
    </w:p>
    <w:p>
      <w:pPr>
        <w:spacing w:after="140" w:line="269" w:lineRule="auto"/>
        <w:widowControl/>
      </w:pPr>
      <w:r>
        <w:rPr>
          <w:rFonts w:ascii="Aptos" w:hAnsi="Aptos"/>
          <w:sz w:val="20"/>
        </w:rPr>
        <w:t>For every restore test, record the backup timestamp, operator, target environment, start and finish times, verification result, defects found and corrective actions. Restore tests must use an isolated database or disposable environment and must never overwrite production without an approved incident decision.</w:t>
      </w:r>
    </w:p>
    <w:p>
      <w:pPr>
        <w:widowControl/>
      </w:pPr>
      <w:r>
        <w:br w:type="page"/>
      </w:r>
    </w:p>
    <w:p>
      <w:pPr>
        <w:pStyle w:val="Heading1"/>
        <w:keepNext/>
        <w:widowControl/>
      </w:pPr>
      <w:r>
        <w:t>9 Monitoring and alerting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6"/>
        <w:gridCol w:w="2466"/>
        <w:gridCol w:w="2466"/>
        <w:gridCol w:w="2466"/>
      </w:tblGrid>
      <w:tr>
        <w:trPr>
          <w:tblHeader w:val="true"/>
          <w:cantSplit/>
        </w:trPr>
        <w:tc>
          <w:tcPr>
            <w:tcW w:type="dxa" w:w="1701"/>
            <w:shd w:fill="17365D"/>
            <w:tcMar>
              <w:top w:w="115" w:type="dxa"/>
              <w:start w:w="120" w:type="dxa"/>
              <w:bottom w:w="115" w:type="dxa"/>
              <w:end w:w="120" w:type="dxa"/>
            </w:tcMar>
            <w:vAlign w:val="center"/>
          </w:tcPr>
          <w:p>
            <w:pPr>
              <w:spacing w:after="0"/>
              <w:jc w:val="center"/>
            </w:pPr>
            <w:r>
              <w:rPr>
                <w:rFonts w:ascii="Aptos" w:hAnsi="Aptos"/>
                <w:b/>
                <w:color w:val="FFFFFF"/>
                <w:sz w:val="17"/>
              </w:rPr>
              <w:t>Monitor</w:t>
            </w:r>
          </w:p>
        </w:tc>
        <w:tc>
          <w:tcPr>
            <w:tcW w:type="dxa" w:w="2381"/>
            <w:shd w:fill="17365D"/>
            <w:tcMar>
              <w:top w:w="115" w:type="dxa"/>
              <w:start w:w="120" w:type="dxa"/>
              <w:bottom w:w="115" w:type="dxa"/>
              <w:end w:w="120" w:type="dxa"/>
            </w:tcMar>
            <w:vAlign w:val="center"/>
          </w:tcPr>
          <w:p>
            <w:pPr>
              <w:spacing w:after="0"/>
              <w:jc w:val="center"/>
            </w:pPr>
            <w:r>
              <w:rPr>
                <w:rFonts w:ascii="Aptos" w:hAnsi="Aptos"/>
                <w:b/>
                <w:color w:val="FFFFFF"/>
                <w:sz w:val="17"/>
              </w:rPr>
              <w:t>Check</w:t>
            </w:r>
          </w:p>
        </w:tc>
        <w:tc>
          <w:tcPr>
            <w:tcW w:type="dxa" w:w="2608"/>
            <w:shd w:fill="17365D"/>
            <w:tcMar>
              <w:top w:w="115" w:type="dxa"/>
              <w:start w:w="120" w:type="dxa"/>
              <w:bottom w:w="115" w:type="dxa"/>
              <w:end w:w="120" w:type="dxa"/>
            </w:tcMar>
            <w:vAlign w:val="center"/>
          </w:tcPr>
          <w:p>
            <w:pPr>
              <w:spacing w:after="0"/>
              <w:jc w:val="center"/>
            </w:pPr>
            <w:r>
              <w:rPr>
                <w:rFonts w:ascii="Aptos" w:hAnsi="Aptos"/>
                <w:b/>
                <w:color w:val="FFFFFF"/>
                <w:sz w:val="17"/>
              </w:rPr>
              <w:t>Suggested threshold</w:t>
            </w:r>
          </w:p>
        </w:tc>
        <w:tc>
          <w:tcPr>
            <w:tcW w:type="dxa" w:w="2948"/>
            <w:shd w:fill="17365D"/>
            <w:tcMar>
              <w:top w:w="115" w:type="dxa"/>
              <w:start w:w="120" w:type="dxa"/>
              <w:bottom w:w="115" w:type="dxa"/>
              <w:end w:w="120" w:type="dxa"/>
            </w:tcMar>
            <w:vAlign w:val="center"/>
          </w:tcPr>
          <w:p>
            <w:pPr>
              <w:spacing w:after="0"/>
              <w:jc w:val="center"/>
            </w:pPr>
            <w:r>
              <w:rPr>
                <w:rFonts w:ascii="Aptos" w:hAnsi="Aptos"/>
                <w:b/>
                <w:color w:val="FFFFFF"/>
                <w:sz w:val="17"/>
              </w:rPr>
              <w:t>Response</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ptos" w:hAnsi="Aptos"/>
                <w:color w:val="000000"/>
                <w:sz w:val="15"/>
              </w:rPr>
              <w:t>Public availability</w:t>
            </w:r>
          </w:p>
        </w:tc>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5"/>
              </w:rPr>
              <w:t>HTTPS GET to platform.ai-effect.eu</w:t>
            </w:r>
          </w:p>
        </w:tc>
        <w:tc>
          <w:tcPr>
            <w:tcW w:type="dxa" w:w="2608"/>
            <w:tcMar>
              <w:top w:w="100" w:type="dxa"/>
              <w:start w:w="120" w:type="dxa"/>
              <w:bottom w:w="100" w:type="dxa"/>
              <w:end w:w="120" w:type="dxa"/>
            </w:tcMar>
            <w:vAlign w:val="center"/>
          </w:tcPr>
          <w:p>
            <w:pPr>
              <w:spacing w:after="0" w:line="252" w:lineRule="auto"/>
              <w:jc w:val="left"/>
            </w:pPr>
            <w:r>
              <w:rPr>
                <w:rFonts w:ascii="Aptos" w:hAnsi="Aptos"/>
                <w:color w:val="000000"/>
                <w:sz w:val="15"/>
              </w:rPr>
              <w:t>Two failures within five minutes</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5"/>
              </w:rPr>
              <w:t>Check Traefik, DNS, web health and certificate status</w:t>
            </w:r>
          </w:p>
        </w:tc>
      </w:tr>
      <w:tr>
        <w:trPr>
          <w:cantSplit/>
        </w:trPr>
        <w:tc>
          <w:tcPr>
            <w:tcW w:type="dxa" w:w="170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API health</w:t>
            </w:r>
          </w:p>
        </w:tc>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GET /api/health</w:t>
            </w:r>
          </w:p>
        </w:tc>
        <w:tc>
          <w:tcPr>
            <w:tcW w:type="dxa" w:w="260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Non-200 response or invalid payload</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Check web proxy, API and PostgreSQL</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ptos" w:hAnsi="Aptos"/>
                <w:color w:val="000000"/>
                <w:sz w:val="15"/>
              </w:rPr>
              <w:t>Container health</w:t>
            </w:r>
          </w:p>
        </w:tc>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5"/>
              </w:rPr>
              <w:t>Docker health and restart state</w:t>
            </w:r>
          </w:p>
        </w:tc>
        <w:tc>
          <w:tcPr>
            <w:tcW w:type="dxa" w:w="2608"/>
            <w:tcMar>
              <w:top w:w="100" w:type="dxa"/>
              <w:start w:w="120" w:type="dxa"/>
              <w:bottom w:w="100" w:type="dxa"/>
              <w:end w:w="120" w:type="dxa"/>
            </w:tcMar>
            <w:vAlign w:val="center"/>
          </w:tcPr>
          <w:p>
            <w:pPr>
              <w:spacing w:after="0" w:line="252" w:lineRule="auto"/>
              <w:jc w:val="left"/>
            </w:pPr>
            <w:r>
              <w:rPr>
                <w:rFonts w:ascii="Aptos" w:hAnsi="Aptos"/>
                <w:color w:val="000000"/>
                <w:sz w:val="15"/>
              </w:rPr>
              <w:t>Unhealthy, exited or restart loop</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5"/>
              </w:rPr>
              <w:t>Review logs and dependency health; restart only after identifying the cause</w:t>
            </w:r>
          </w:p>
        </w:tc>
      </w:tr>
      <w:tr>
        <w:trPr>
          <w:cantSplit/>
        </w:trPr>
        <w:tc>
          <w:tcPr>
            <w:tcW w:type="dxa" w:w="170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Disk</w:t>
            </w:r>
          </w:p>
        </w:tc>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Root filesystem used percentage</w:t>
            </w:r>
          </w:p>
        </w:tc>
        <w:tc>
          <w:tcPr>
            <w:tcW w:type="dxa" w:w="260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Warning 70 percent; critical 80 percent</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Review logs, images, build cache, backups and database growth</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ptos" w:hAnsi="Aptos"/>
                <w:color w:val="000000"/>
                <w:sz w:val="15"/>
              </w:rPr>
              <w:t>Memory</w:t>
            </w:r>
          </w:p>
        </w:tc>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5"/>
              </w:rPr>
              <w:t>Available memory and swap activity</w:t>
            </w:r>
          </w:p>
        </w:tc>
        <w:tc>
          <w:tcPr>
            <w:tcW w:type="dxa" w:w="2608"/>
            <w:tcMar>
              <w:top w:w="100" w:type="dxa"/>
              <w:start w:w="120" w:type="dxa"/>
              <w:bottom w:w="100" w:type="dxa"/>
              <w:end w:w="120" w:type="dxa"/>
            </w:tcMar>
            <w:vAlign w:val="center"/>
          </w:tcPr>
          <w:p>
            <w:pPr>
              <w:spacing w:after="0" w:line="252" w:lineRule="auto"/>
              <w:jc w:val="left"/>
            </w:pPr>
            <w:r>
              <w:rPr>
                <w:rFonts w:ascii="Aptos" w:hAnsi="Aptos"/>
                <w:color w:val="000000"/>
                <w:sz w:val="15"/>
              </w:rPr>
              <w:t>More than 80 percent used for 15 minutes</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5"/>
              </w:rPr>
              <w:t>Identify high-memory workflow; apply limits or scale</w:t>
            </w:r>
          </w:p>
        </w:tc>
      </w:tr>
      <w:tr>
        <w:trPr>
          <w:cantSplit/>
        </w:trPr>
        <w:tc>
          <w:tcPr>
            <w:tcW w:type="dxa" w:w="170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CPU</w:t>
            </w:r>
          </w:p>
        </w:tc>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Host and container CPU</w:t>
            </w:r>
          </w:p>
        </w:tc>
        <w:tc>
          <w:tcPr>
            <w:tcW w:type="dxa" w:w="260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More than 85 percent for 15 minutes</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Check Dutch benchmark, Ollama and concurrent jobs</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ptos" w:hAnsi="Aptos"/>
                <w:color w:val="000000"/>
                <w:sz w:val="15"/>
              </w:rPr>
              <w:t>Backups</w:t>
            </w:r>
          </w:p>
        </w:tc>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5"/>
              </w:rPr>
              <w:t>Age and exit status of newest backup</w:t>
            </w:r>
          </w:p>
        </w:tc>
        <w:tc>
          <w:tcPr>
            <w:tcW w:type="dxa" w:w="2608"/>
            <w:tcMar>
              <w:top w:w="100" w:type="dxa"/>
              <w:start w:w="120" w:type="dxa"/>
              <w:bottom w:w="100" w:type="dxa"/>
              <w:end w:w="120" w:type="dxa"/>
            </w:tcMar>
            <w:vAlign w:val="center"/>
          </w:tcPr>
          <w:p>
            <w:pPr>
              <w:spacing w:after="0" w:line="252" w:lineRule="auto"/>
              <w:jc w:val="left"/>
            </w:pPr>
            <w:r>
              <w:rPr>
                <w:rFonts w:ascii="Aptos" w:hAnsi="Aptos"/>
                <w:color w:val="000000"/>
                <w:sz w:val="15"/>
              </w:rPr>
              <w:t>No successful backup within 26 hours</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5"/>
              </w:rPr>
              <w:t>Treat as a production incident</w:t>
            </w:r>
          </w:p>
        </w:tc>
      </w:tr>
      <w:tr>
        <w:trPr>
          <w:cantSplit/>
        </w:trPr>
        <w:tc>
          <w:tcPr>
            <w:tcW w:type="dxa" w:w="170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TLS</w:t>
            </w:r>
          </w:p>
        </w:tc>
        <w:tc>
          <w:tcPr>
            <w:tcW w:type="dxa" w:w="2381"/>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Certificate expiry</w:t>
            </w:r>
          </w:p>
        </w:tc>
        <w:tc>
          <w:tcPr>
            <w:tcW w:type="dxa" w:w="260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Less than 21 days remaining</w:t>
            </w:r>
          </w:p>
        </w:tc>
        <w:tc>
          <w:tcPr>
            <w:tcW w:type="dxa" w:w="294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Investigate Traefik ACME renewal</w:t>
            </w:r>
          </w:p>
        </w:tc>
      </w:tr>
      <w:tr>
        <w:trPr>
          <w:cantSplit/>
        </w:trPr>
        <w:tc>
          <w:tcPr>
            <w:tcW w:type="dxa" w:w="1701"/>
            <w:tcMar>
              <w:top w:w="100" w:type="dxa"/>
              <w:start w:w="120" w:type="dxa"/>
              <w:bottom w:w="100" w:type="dxa"/>
              <w:end w:w="120" w:type="dxa"/>
            </w:tcMar>
            <w:vAlign w:val="center"/>
          </w:tcPr>
          <w:p>
            <w:pPr>
              <w:spacing w:after="0" w:line="252" w:lineRule="auto"/>
              <w:jc w:val="left"/>
            </w:pPr>
            <w:r>
              <w:rPr>
                <w:rFonts w:ascii="Aptos" w:hAnsi="Aptos"/>
                <w:color w:val="000000"/>
                <w:sz w:val="15"/>
              </w:rPr>
              <w:t>Workflow reliability</w:t>
            </w:r>
          </w:p>
        </w:tc>
        <w:tc>
          <w:tcPr>
            <w:tcW w:type="dxa" w:w="2381"/>
            <w:tcMar>
              <w:top w:w="100" w:type="dxa"/>
              <w:start w:w="120" w:type="dxa"/>
              <w:bottom w:w="100" w:type="dxa"/>
              <w:end w:w="120" w:type="dxa"/>
            </w:tcMar>
            <w:vAlign w:val="center"/>
          </w:tcPr>
          <w:p>
            <w:pPr>
              <w:spacing w:after="0" w:line="252" w:lineRule="auto"/>
              <w:jc w:val="left"/>
            </w:pPr>
            <w:r>
              <w:rPr>
                <w:rFonts w:ascii="Aptos" w:hAnsi="Aptos"/>
                <w:color w:val="000000"/>
                <w:sz w:val="15"/>
              </w:rPr>
              <w:t>Failed or stuck workflow count</w:t>
            </w:r>
          </w:p>
        </w:tc>
        <w:tc>
          <w:tcPr>
            <w:tcW w:type="dxa" w:w="2608"/>
            <w:tcMar>
              <w:top w:w="100" w:type="dxa"/>
              <w:start w:w="120" w:type="dxa"/>
              <w:bottom w:w="100" w:type="dxa"/>
              <w:end w:w="120" w:type="dxa"/>
            </w:tcMar>
            <w:vAlign w:val="center"/>
          </w:tcPr>
          <w:p>
            <w:pPr>
              <w:spacing w:after="0" w:line="252" w:lineRule="auto"/>
              <w:jc w:val="left"/>
            </w:pPr>
            <w:r>
              <w:rPr>
                <w:rFonts w:ascii="Aptos" w:hAnsi="Aptos"/>
                <w:color w:val="000000"/>
                <w:sz w:val="15"/>
              </w:rPr>
              <w:t>Any repeated failure or task beyond agreed runtime</w:t>
            </w:r>
          </w:p>
        </w:tc>
        <w:tc>
          <w:tcPr>
            <w:tcW w:type="dxa" w:w="2948"/>
            <w:tcMar>
              <w:top w:w="100" w:type="dxa"/>
              <w:start w:w="120" w:type="dxa"/>
              <w:bottom w:w="100" w:type="dxa"/>
              <w:end w:w="120" w:type="dxa"/>
            </w:tcMar>
            <w:vAlign w:val="center"/>
          </w:tcPr>
          <w:p>
            <w:pPr>
              <w:spacing w:after="0" w:line="252" w:lineRule="auto"/>
              <w:jc w:val="left"/>
            </w:pPr>
            <w:r>
              <w:rPr>
                <w:rFonts w:ascii="Aptos" w:hAnsi="Aptos"/>
                <w:color w:val="000000"/>
                <w:sz w:val="15"/>
              </w:rPr>
              <w:t>Inspect orchestrator and country-node logs</w:t>
            </w:r>
          </w:p>
        </w:tc>
      </w:tr>
    </w:tbl>
    <w:p>
      <w:pPr>
        <w:spacing w:after="0"/>
        <w:widowControl/>
      </w:pPr>
    </w:p>
    <w:p>
      <w:pPr>
        <w:pStyle w:val="Heading2"/>
        <w:keepNext/>
        <w:widowControl/>
      </w:pPr>
      <w:r>
        <w:t>Logging requirements</w:t>
      </w:r>
    </w:p>
    <w:p>
      <w:pPr>
        <w:pStyle w:val="ListBullet"/>
        <w:spacing w:after="60"/>
        <w:ind w:left="340" w:hanging="170"/>
        <w:widowControl/>
      </w:pPr>
      <w:r>
        <w:rPr>
          <w:rFonts w:ascii="Aptos" w:hAnsi="Aptos"/>
          <w:sz w:val="20"/>
        </w:rPr>
        <w:t>Configure per-container log rotation, for example a 10 to 50 MB maximum file size and three retained files.</w:t>
      </w:r>
    </w:p>
    <w:p>
      <w:pPr>
        <w:pStyle w:val="ListBullet"/>
        <w:spacing w:after="60"/>
        <w:ind w:left="340" w:hanging="170"/>
        <w:widowControl/>
      </w:pPr>
      <w:r>
        <w:rPr>
          <w:rFonts w:ascii="Aptos" w:hAnsi="Aptos"/>
          <w:sz w:val="20"/>
        </w:rPr>
        <w:t>Do not log credentials, authorization headers, full environment variables or private workflow inputs.</w:t>
      </w:r>
    </w:p>
    <w:p>
      <w:pPr>
        <w:pStyle w:val="ListBullet"/>
        <w:spacing w:after="60"/>
        <w:ind w:left="340" w:hanging="170"/>
        <w:widowControl/>
      </w:pPr>
      <w:r>
        <w:rPr>
          <w:rFonts w:ascii="Aptos" w:hAnsi="Aptos"/>
          <w:sz w:val="20"/>
        </w:rPr>
        <w:t>Retain security and administrative events long enough for investigation and governance requirements.</w:t>
      </w:r>
    </w:p>
    <w:p>
      <w:pPr>
        <w:pStyle w:val="ListBullet"/>
        <w:spacing w:after="60"/>
        <w:ind w:left="340" w:hanging="170"/>
        <w:widowControl/>
      </w:pPr>
      <w:r>
        <w:rPr>
          <w:rFonts w:ascii="Aptos" w:hAnsi="Aptos"/>
          <w:sz w:val="20"/>
        </w:rPr>
        <w:t>Record deployment version, operator, timestamp and verification outcome for each production change.</w:t>
      </w:r>
    </w:p>
    <w:p>
      <w:pPr>
        <w:widowControl/>
      </w:pPr>
      <w:r>
        <w:br w:type="page"/>
      </w:r>
    </w:p>
    <w:p>
      <w:pPr>
        <w:pStyle w:val="Heading1"/>
        <w:keepNext/>
        <w:widowControl/>
      </w:pPr>
      <w:r>
        <w:t>10 Routine operations and change management</w:t>
      </w:r>
    </w:p>
    <w:p>
      <w:pPr>
        <w:pStyle w:val="Heading2"/>
        <w:keepNext/>
        <w:widowControl/>
      </w:pPr>
      <w:r>
        <w:t>Daily checks</w:t>
      </w:r>
    </w:p>
    <w:p>
      <w:pPr>
        <w:pStyle w:val="ListBullet"/>
        <w:spacing w:after="60"/>
        <w:ind w:left="340" w:hanging="170"/>
        <w:widowControl/>
      </w:pPr>
      <w:r>
        <w:rPr>
          <w:rFonts w:ascii="Aptos" w:hAnsi="Aptos"/>
          <w:sz w:val="20"/>
        </w:rPr>
        <w:t>Confirm the portal and API health endpoint respond successfully.</w:t>
      </w:r>
    </w:p>
    <w:p>
      <w:pPr>
        <w:pStyle w:val="ListBullet"/>
        <w:spacing w:after="60"/>
        <w:ind w:left="340" w:hanging="170"/>
        <w:widowControl/>
      </w:pPr>
      <w:r>
        <w:rPr>
          <w:rFonts w:ascii="Aptos" w:hAnsi="Aptos"/>
          <w:sz w:val="20"/>
        </w:rPr>
        <w:t>Confirm production containers are running and healthy.</w:t>
      </w:r>
    </w:p>
    <w:p>
      <w:pPr>
        <w:pStyle w:val="ListBullet"/>
        <w:spacing w:after="60"/>
        <w:ind w:left="340" w:hanging="170"/>
        <w:widowControl/>
      </w:pPr>
      <w:r>
        <w:rPr>
          <w:rFonts w:ascii="Aptos" w:hAnsi="Aptos"/>
          <w:sz w:val="20"/>
        </w:rPr>
        <w:t>Confirm the newest database backup completed and exists off-server.</w:t>
      </w:r>
    </w:p>
    <w:p>
      <w:pPr>
        <w:pStyle w:val="ListBullet"/>
        <w:spacing w:after="60"/>
        <w:ind w:left="340" w:hanging="170"/>
        <w:widowControl/>
      </w:pPr>
      <w:r>
        <w:rPr>
          <w:rFonts w:ascii="Aptos" w:hAnsi="Aptos"/>
          <w:sz w:val="20"/>
        </w:rPr>
        <w:t>Review new critical alerts, restart loops and disk usage changes.</w:t>
      </w:r>
    </w:p>
    <w:p>
      <w:pPr>
        <w:pStyle w:val="Heading2"/>
        <w:keepNext/>
        <w:widowControl/>
      </w:pPr>
      <w:r>
        <w:t>Weekly checks</w:t>
      </w:r>
    </w:p>
    <w:p>
      <w:pPr>
        <w:pStyle w:val="ListBullet"/>
        <w:spacing w:after="60"/>
        <w:ind w:left="340" w:hanging="170"/>
        <w:widowControl/>
      </w:pPr>
      <w:r>
        <w:rPr>
          <w:rFonts w:ascii="Aptos" w:hAnsi="Aptos"/>
          <w:sz w:val="20"/>
        </w:rPr>
        <w:t>Review disk, image, volume and log growth.</w:t>
      </w:r>
    </w:p>
    <w:p>
      <w:pPr>
        <w:pStyle w:val="ListBullet"/>
        <w:spacing w:after="60"/>
        <w:ind w:left="340" w:hanging="170"/>
        <w:widowControl/>
      </w:pPr>
      <w:r>
        <w:rPr>
          <w:rFonts w:ascii="Aptos" w:hAnsi="Aptos"/>
          <w:sz w:val="20"/>
        </w:rPr>
        <w:t>Review failed and long-running workflows.</w:t>
      </w:r>
    </w:p>
    <w:p>
      <w:pPr>
        <w:pStyle w:val="ListBullet"/>
        <w:spacing w:after="60"/>
        <w:ind w:left="340" w:hanging="170"/>
        <w:widowControl/>
      </w:pPr>
      <w:r>
        <w:rPr>
          <w:rFonts w:ascii="Aptos" w:hAnsi="Aptos"/>
          <w:sz w:val="20"/>
        </w:rPr>
        <w:t>Review SSH access and recent production changes.</w:t>
      </w:r>
    </w:p>
    <w:p>
      <w:pPr>
        <w:pStyle w:val="ListBullet"/>
        <w:spacing w:after="60"/>
        <w:ind w:left="340" w:hanging="170"/>
        <w:widowControl/>
      </w:pPr>
      <w:r>
        <w:rPr>
          <w:rFonts w:ascii="Aptos" w:hAnsi="Aptos"/>
          <w:sz w:val="20"/>
        </w:rPr>
        <w:t>Confirm DNS, TLS and Basic Authentication behavior on both hostnames.</w:t>
      </w:r>
    </w:p>
    <w:p>
      <w:pPr>
        <w:pStyle w:val="Heading2"/>
        <w:keepNext/>
        <w:widowControl/>
      </w:pPr>
      <w:r>
        <w:t>Monthly checks</w:t>
      </w:r>
    </w:p>
    <w:p>
      <w:pPr>
        <w:pStyle w:val="ListBullet"/>
        <w:spacing w:after="60"/>
        <w:ind w:left="340" w:hanging="170"/>
        <w:widowControl/>
      </w:pPr>
      <w:r>
        <w:rPr>
          <w:rFonts w:ascii="Aptos" w:hAnsi="Aptos"/>
          <w:sz w:val="20"/>
        </w:rPr>
        <w:t>Apply approved Ubuntu, Docker and application security updates during a maintenance window.</w:t>
      </w:r>
    </w:p>
    <w:p>
      <w:pPr>
        <w:pStyle w:val="ListBullet"/>
        <w:spacing w:after="60"/>
        <w:ind w:left="340" w:hanging="170"/>
        <w:widowControl/>
      </w:pPr>
      <w:r>
        <w:rPr>
          <w:rFonts w:ascii="Aptos" w:hAnsi="Aptos"/>
          <w:sz w:val="20"/>
        </w:rPr>
        <w:t>Review container image vulnerabilities and pinned dependencies.</w:t>
      </w:r>
    </w:p>
    <w:p>
      <w:pPr>
        <w:pStyle w:val="ListBullet"/>
        <w:spacing w:after="60"/>
        <w:ind w:left="340" w:hanging="170"/>
        <w:widowControl/>
      </w:pPr>
      <w:r>
        <w:rPr>
          <w:rFonts w:ascii="Aptos" w:hAnsi="Aptos"/>
          <w:sz w:val="20"/>
        </w:rPr>
        <w:t>Review Contabo usage, invoice, domain renewal status and backup storage consumption.</w:t>
      </w:r>
    </w:p>
    <w:p>
      <w:pPr>
        <w:pStyle w:val="ListBullet"/>
        <w:spacing w:after="60"/>
        <w:ind w:left="340" w:hanging="170"/>
        <w:widowControl/>
      </w:pPr>
      <w:r>
        <w:rPr>
          <w:rFonts w:ascii="Aptos" w:hAnsi="Aptos"/>
          <w:sz w:val="20"/>
        </w:rPr>
        <w:t>Remove obsolete images only after confirming rollback requirements and successful backups.</w:t>
      </w:r>
    </w:p>
    <w:p>
      <w:pPr>
        <w:pStyle w:val="ListBullet"/>
        <w:spacing w:after="60"/>
        <w:ind w:left="340" w:hanging="170"/>
        <w:widowControl/>
      </w:pPr>
      <w:r>
        <w:rPr>
          <w:rFonts w:ascii="Aptos" w:hAnsi="Aptos"/>
          <w:sz w:val="20"/>
        </w:rPr>
        <w:t>Review whether shared-host isolation remains acceptable.</w:t>
      </w:r>
    </w:p>
    <w:p>
      <w:pPr>
        <w:pStyle w:val="Heading2"/>
        <w:keepNext/>
        <w:widowControl/>
      </w:pPr>
      <w:r>
        <w:t>Controlled production update</w:t>
      </w:r>
    </w:p>
    <w:p>
      <w:pPr>
        <w:spacing w:after="80"/>
        <w:ind w:left="425" w:hanging="312"/>
        <w:widowControl/>
      </w:pPr>
      <w:r>
        <w:rPr>
          <w:rFonts w:ascii="Aptos" w:hAnsi="Aptos"/>
          <w:b/>
          <w:sz w:val="20"/>
        </w:rPr>
        <w:t xml:space="preserve">1.  </w:t>
      </w:r>
      <w:r>
        <w:rPr>
          <w:rFonts w:ascii="Aptos" w:hAnsi="Aptos"/>
          <w:sz w:val="20"/>
        </w:rPr>
        <w:t>Record the change request, release commit, affected services, owner, risk and rollback version.</w:t>
      </w:r>
    </w:p>
    <w:p>
      <w:pPr>
        <w:spacing w:after="80"/>
        <w:ind w:left="425" w:hanging="312"/>
        <w:widowControl/>
      </w:pPr>
      <w:r>
        <w:rPr>
          <w:rFonts w:ascii="Aptos" w:hAnsi="Aptos"/>
          <w:b/>
          <w:sz w:val="20"/>
        </w:rPr>
        <w:t xml:space="preserve">2.  </w:t>
      </w:r>
      <w:r>
        <w:rPr>
          <w:rFonts w:ascii="Aptos" w:hAnsi="Aptos"/>
          <w:sz w:val="20"/>
        </w:rPr>
        <w:t>Confirm the Git working tree is clean and the release commit is pushed to the institutional repository.</w:t>
      </w:r>
    </w:p>
    <w:p>
      <w:pPr>
        <w:spacing w:after="80"/>
        <w:ind w:left="425" w:hanging="312"/>
        <w:widowControl/>
      </w:pPr>
      <w:r>
        <w:rPr>
          <w:rFonts w:ascii="Aptos" w:hAnsi="Aptos"/>
          <w:b/>
          <w:sz w:val="20"/>
        </w:rPr>
        <w:t xml:space="preserve">3.  </w:t>
      </w:r>
      <w:r>
        <w:rPr>
          <w:rFonts w:ascii="Aptos" w:hAnsi="Aptos"/>
          <w:sz w:val="20"/>
        </w:rPr>
        <w:t>Create and verify a fresh database backup and, for major updates, a Contabo snapshot.</w:t>
      </w:r>
    </w:p>
    <w:p>
      <w:pPr>
        <w:spacing w:after="80"/>
        <w:ind w:left="425" w:hanging="312"/>
        <w:widowControl/>
      </w:pPr>
      <w:r>
        <w:rPr>
          <w:rFonts w:ascii="Aptos" w:hAnsi="Aptos"/>
          <w:b/>
          <w:sz w:val="20"/>
        </w:rPr>
        <w:t xml:space="preserve">4.  </w:t>
      </w:r>
      <w:r>
        <w:rPr>
          <w:rFonts w:ascii="Aptos" w:hAnsi="Aptos"/>
          <w:sz w:val="20"/>
        </w:rPr>
        <w:t>Validate the Docker Compose configuration and confirm secret files retain mode 0600.</w:t>
      </w:r>
    </w:p>
    <w:p>
      <w:pPr>
        <w:spacing w:after="80"/>
        <w:ind w:left="425" w:hanging="312"/>
        <w:widowControl/>
      </w:pPr>
      <w:r>
        <w:rPr>
          <w:rFonts w:ascii="Aptos" w:hAnsi="Aptos"/>
          <w:b/>
          <w:sz w:val="20"/>
        </w:rPr>
        <w:t xml:space="preserve">5.  </w:t>
      </w:r>
      <w:r>
        <w:rPr>
          <w:rFonts w:ascii="Aptos" w:hAnsi="Aptos"/>
          <w:sz w:val="20"/>
        </w:rPr>
        <w:t>Build or pull immutable images. Avoid relying only on the latest tag for production releases.</w:t>
      </w:r>
    </w:p>
    <w:p>
      <w:pPr>
        <w:spacing w:after="80"/>
        <w:ind w:left="425" w:hanging="312"/>
        <w:widowControl/>
      </w:pPr>
      <w:r>
        <w:rPr>
          <w:rFonts w:ascii="Aptos" w:hAnsi="Aptos"/>
          <w:b/>
          <w:sz w:val="20"/>
        </w:rPr>
        <w:t xml:space="preserve">6.  </w:t>
      </w:r>
      <w:r>
        <w:rPr>
          <w:rFonts w:ascii="Aptos" w:hAnsi="Aptos"/>
          <w:sz w:val="20"/>
        </w:rPr>
        <w:t>Deploy the affected services without deleting persistent volumes.</w:t>
      </w:r>
    </w:p>
    <w:p>
      <w:pPr>
        <w:spacing w:after="80"/>
        <w:ind w:left="425" w:hanging="312"/>
        <w:widowControl/>
      </w:pPr>
      <w:r>
        <w:rPr>
          <w:rFonts w:ascii="Aptos" w:hAnsi="Aptos"/>
          <w:b/>
          <w:sz w:val="20"/>
        </w:rPr>
        <w:t xml:space="preserve">7.  </w:t>
      </w:r>
      <w:r>
        <w:rPr>
          <w:rFonts w:ascii="Aptos" w:hAnsi="Aptos"/>
          <w:sz w:val="20"/>
        </w:rPr>
        <w:t>Verify HTTPS, API health, public catalogue, protected management paths and container health.</w:t>
      </w:r>
    </w:p>
    <w:p>
      <w:pPr>
        <w:spacing w:after="80"/>
        <w:ind w:left="425" w:hanging="312"/>
        <w:widowControl/>
      </w:pPr>
      <w:r>
        <w:rPr>
          <w:rFonts w:ascii="Aptos" w:hAnsi="Aptos"/>
          <w:b/>
          <w:sz w:val="20"/>
        </w:rPr>
        <w:t xml:space="preserve">8.  </w:t>
      </w:r>
      <w:r>
        <w:rPr>
          <w:rFonts w:ascii="Aptos" w:hAnsi="Aptos"/>
          <w:sz w:val="20"/>
        </w:rPr>
        <w:t>Run the four-country acceptance validator when orchestration, service metadata or country images change.</w:t>
      </w:r>
    </w:p>
    <w:p>
      <w:pPr>
        <w:spacing w:after="80"/>
        <w:ind w:left="425" w:hanging="312"/>
        <w:widowControl/>
      </w:pPr>
      <w:r>
        <w:rPr>
          <w:rFonts w:ascii="Aptos" w:hAnsi="Aptos"/>
          <w:b/>
          <w:sz w:val="20"/>
        </w:rPr>
        <w:t xml:space="preserve">9.  </w:t>
      </w:r>
      <w:r>
        <w:rPr>
          <w:rFonts w:ascii="Aptos" w:hAnsi="Aptos"/>
          <w:sz w:val="20"/>
        </w:rPr>
        <w:t>Record the result and retain the previous image set until the agreed stabilization period ends.</w:t>
      </w:r>
    </w:p>
    <w:p>
      <w:pPr>
        <w:spacing w:after="120"/>
        <w:widowControl/>
      </w:pPr>
      <w:r>
        <w:rPr>
          <w:rFonts w:ascii="Aptos" w:hAnsi="Aptos"/>
          <w:b/>
          <w:color w:val="B42318"/>
          <w:sz w:val="20"/>
        </w:rPr>
        <w:t xml:space="preserve">Change rule  </w:t>
      </w:r>
      <w:r>
        <w:rPr>
          <w:rFonts w:ascii="Aptos" w:hAnsi="Aptos"/>
          <w:sz w:val="20"/>
        </w:rPr>
        <w:t>Never run docker compose down with volume deletion flags in production unless a separately approved data-destruction procedure identifies the exact volumes and confirms recoverable backups.</w:t>
      </w:r>
    </w:p>
    <w:p>
      <w:pPr>
        <w:widowControl/>
      </w:pPr>
      <w:r>
        <w:br w:type="page"/>
      </w:r>
    </w:p>
    <w:p>
      <w:pPr>
        <w:pStyle w:val="Heading1"/>
        <w:keepNext/>
        <w:widowControl/>
      </w:pPr>
      <w:r>
        <w:t>11 Incident response and rollback</w:t>
      </w:r>
    </w:p>
    <w:p>
      <w:pPr>
        <w:pStyle w:val="Heading2"/>
        <w:keepNext/>
        <w:widowControl/>
      </w:pPr>
      <w:r>
        <w:t>Initial response</w:t>
      </w:r>
    </w:p>
    <w:p>
      <w:pPr>
        <w:spacing w:after="80"/>
        <w:ind w:left="425" w:hanging="312"/>
        <w:widowControl/>
      </w:pPr>
      <w:r>
        <w:rPr>
          <w:rFonts w:ascii="Aptos" w:hAnsi="Aptos"/>
          <w:b/>
          <w:sz w:val="20"/>
        </w:rPr>
        <w:t xml:space="preserve">1.  </w:t>
      </w:r>
      <w:r>
        <w:rPr>
          <w:rFonts w:ascii="Aptos" w:hAnsi="Aptos"/>
          <w:sz w:val="20"/>
        </w:rPr>
        <w:t>Confirm the incident scope: one browser, one hostname, one container, one country node or the complete server.</w:t>
      </w:r>
    </w:p>
    <w:p>
      <w:pPr>
        <w:spacing w:after="80"/>
        <w:ind w:left="425" w:hanging="312"/>
        <w:widowControl/>
      </w:pPr>
      <w:r>
        <w:rPr>
          <w:rFonts w:ascii="Aptos" w:hAnsi="Aptos"/>
          <w:b/>
          <w:sz w:val="20"/>
        </w:rPr>
        <w:t xml:space="preserve">2.  </w:t>
      </w:r>
      <w:r>
        <w:rPr>
          <w:rFonts w:ascii="Aptos" w:hAnsi="Aptos"/>
          <w:sz w:val="20"/>
        </w:rPr>
        <w:t>Preserve evidence. Record timestamps, recent changes, container status and relevant logs before restarting services.</w:t>
      </w:r>
    </w:p>
    <w:p>
      <w:pPr>
        <w:spacing w:after="80"/>
        <w:ind w:left="425" w:hanging="312"/>
        <w:widowControl/>
      </w:pPr>
      <w:r>
        <w:rPr>
          <w:rFonts w:ascii="Aptos" w:hAnsi="Aptos"/>
          <w:b/>
          <w:sz w:val="20"/>
        </w:rPr>
        <w:t xml:space="preserve">3.  </w:t>
      </w:r>
      <w:r>
        <w:rPr>
          <w:rFonts w:ascii="Aptos" w:hAnsi="Aptos"/>
          <w:sz w:val="20"/>
        </w:rPr>
        <w:t>Protect data. Stop further workflow submissions if they could cause corruption or repeated failed writes.</w:t>
      </w:r>
    </w:p>
    <w:p>
      <w:pPr>
        <w:spacing w:after="80"/>
        <w:ind w:left="425" w:hanging="312"/>
        <w:widowControl/>
      </w:pPr>
      <w:r>
        <w:rPr>
          <w:rFonts w:ascii="Aptos" w:hAnsi="Aptos"/>
          <w:b/>
          <w:sz w:val="20"/>
        </w:rPr>
        <w:t xml:space="preserve">4.  </w:t>
      </w:r>
      <w:r>
        <w:rPr>
          <w:rFonts w:ascii="Aptos" w:hAnsi="Aptos"/>
          <w:sz w:val="20"/>
        </w:rPr>
        <w:t>Restore the smallest affected layer first: container, application release, database or full VPS.</w:t>
      </w:r>
    </w:p>
    <w:p>
      <w:pPr>
        <w:spacing w:after="80"/>
        <w:ind w:left="425" w:hanging="312"/>
        <w:widowControl/>
      </w:pPr>
      <w:r>
        <w:rPr>
          <w:rFonts w:ascii="Aptos" w:hAnsi="Aptos"/>
          <w:b/>
          <w:sz w:val="20"/>
        </w:rPr>
        <w:t xml:space="preserve">5.  </w:t>
      </w:r>
      <w:r>
        <w:rPr>
          <w:rFonts w:ascii="Aptos" w:hAnsi="Aptos"/>
          <w:sz w:val="20"/>
        </w:rPr>
        <w:t>Verify service health and business behavior, not only that a container is running.</w:t>
      </w:r>
    </w:p>
    <w:p>
      <w:pPr>
        <w:spacing w:after="80"/>
        <w:ind w:left="425" w:hanging="312"/>
        <w:widowControl/>
      </w:pPr>
      <w:r>
        <w:rPr>
          <w:rFonts w:ascii="Aptos" w:hAnsi="Aptos"/>
          <w:b/>
          <w:sz w:val="20"/>
        </w:rPr>
        <w:t xml:space="preserve">6.  </w:t>
      </w:r>
      <w:r>
        <w:rPr>
          <w:rFonts w:ascii="Aptos" w:hAnsi="Aptos"/>
          <w:sz w:val="20"/>
        </w:rPr>
        <w:t>Document the cause, recovery steps and preventive action.</w:t>
      </w:r>
    </w:p>
    <w:p>
      <w:pPr>
        <w:pStyle w:val="Heading2"/>
        <w:keepNext/>
        <w:widowControl/>
      </w:pPr>
      <w:r>
        <w:t>Rollback options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1984"/>
            <w:shd w:fill="17365D"/>
            <w:tcMar>
              <w:top w:w="115" w:type="dxa"/>
              <w:start w:w="120" w:type="dxa"/>
              <w:bottom w:w="115" w:type="dxa"/>
              <w:end w:w="120" w:type="dxa"/>
            </w:tcMar>
            <w:vAlign w:val="center"/>
          </w:tcPr>
          <w:p>
            <w:pPr>
              <w:spacing w:after="0"/>
              <w:jc w:val="center"/>
            </w:pPr>
            <w:r>
              <w:rPr>
                <w:rFonts w:ascii="Aptos" w:hAnsi="Aptos"/>
                <w:b/>
                <w:color w:val="FFFFFF"/>
                <w:sz w:val="17"/>
              </w:rPr>
              <w:t>Failure</w:t>
            </w:r>
          </w:p>
        </w:tc>
        <w:tc>
          <w:tcPr>
            <w:tcW w:type="dxa" w:w="4082"/>
            <w:shd w:fill="17365D"/>
            <w:tcMar>
              <w:top w:w="115" w:type="dxa"/>
              <w:start w:w="120" w:type="dxa"/>
              <w:bottom w:w="115" w:type="dxa"/>
              <w:end w:w="120" w:type="dxa"/>
            </w:tcMar>
            <w:vAlign w:val="center"/>
          </w:tcPr>
          <w:p>
            <w:pPr>
              <w:spacing w:after="0"/>
              <w:jc w:val="center"/>
            </w:pPr>
            <w:r>
              <w:rPr>
                <w:rFonts w:ascii="Aptos" w:hAnsi="Aptos"/>
                <w:b/>
                <w:color w:val="FFFFFF"/>
                <w:sz w:val="17"/>
              </w:rPr>
              <w:t>Preferred rollback</w:t>
            </w:r>
          </w:p>
        </w:tc>
        <w:tc>
          <w:tcPr>
            <w:tcW w:type="dxa" w:w="3572"/>
            <w:shd w:fill="17365D"/>
            <w:tcMar>
              <w:top w:w="115" w:type="dxa"/>
              <w:start w:w="120" w:type="dxa"/>
              <w:bottom w:w="115" w:type="dxa"/>
              <w:end w:w="120" w:type="dxa"/>
            </w:tcMar>
            <w:vAlign w:val="center"/>
          </w:tcPr>
          <w:p>
            <w:pPr>
              <w:spacing w:after="0"/>
              <w:jc w:val="center"/>
            </w:pPr>
            <w:r>
              <w:rPr>
                <w:rFonts w:ascii="Aptos" w:hAnsi="Aptos"/>
                <w:b/>
                <w:color w:val="FFFFFF"/>
                <w:sz w:val="17"/>
              </w:rPr>
              <w:t>Caution</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New web or API image</w:t>
            </w:r>
          </w:p>
        </w:tc>
        <w:tc>
          <w:tcPr>
            <w:tcW w:type="dxa" w:w="4082"/>
            <w:tcMar>
              <w:top w:w="100" w:type="dxa"/>
              <w:start w:w="120" w:type="dxa"/>
              <w:bottom w:w="100" w:type="dxa"/>
              <w:end w:w="120" w:type="dxa"/>
            </w:tcMar>
            <w:vAlign w:val="center"/>
          </w:tcPr>
          <w:p>
            <w:pPr>
              <w:spacing w:after="0" w:line="252" w:lineRule="auto"/>
              <w:jc w:val="left"/>
            </w:pPr>
            <w:r>
              <w:rPr>
                <w:rFonts w:ascii="Aptos" w:hAnsi="Aptos"/>
                <w:color w:val="000000"/>
                <w:sz w:val="16"/>
              </w:rPr>
              <w:t>Redeploy the previously recorded immutable image tag</w:t>
            </w:r>
          </w:p>
        </w:tc>
        <w:tc>
          <w:tcPr>
            <w:tcW w:type="dxa" w:w="3572"/>
            <w:tcMar>
              <w:top w:w="100" w:type="dxa"/>
              <w:start w:w="120" w:type="dxa"/>
              <w:bottom w:w="100" w:type="dxa"/>
              <w:end w:w="120" w:type="dxa"/>
            </w:tcMar>
            <w:vAlign w:val="center"/>
          </w:tcPr>
          <w:p>
            <w:pPr>
              <w:spacing w:after="0" w:line="252" w:lineRule="auto"/>
              <w:jc w:val="left"/>
            </w:pPr>
            <w:r>
              <w:rPr>
                <w:rFonts w:ascii="Aptos" w:hAnsi="Aptos"/>
                <w:color w:val="000000"/>
                <w:sz w:val="16"/>
              </w:rPr>
              <w:t>Do not change database state unless migration compatibility is confirmed</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Country-node image</w:t>
            </w:r>
          </w:p>
        </w:tc>
        <w:tc>
          <w:tcPr>
            <w:tcW w:type="dxa" w:w="408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Restore the previous pinned image and rerun that country acceptance workflow</w:t>
            </w:r>
          </w:p>
        </w:tc>
        <w:tc>
          <w:tcPr>
            <w:tcW w:type="dxa" w:w="357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Preserve shared volumes unless corruption is proven</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Database migration</w:t>
            </w:r>
          </w:p>
        </w:tc>
        <w:tc>
          <w:tcPr>
            <w:tcW w:type="dxa" w:w="4082"/>
            <w:tcMar>
              <w:top w:w="100" w:type="dxa"/>
              <w:start w:w="120" w:type="dxa"/>
              <w:bottom w:w="100" w:type="dxa"/>
              <w:end w:w="120" w:type="dxa"/>
            </w:tcMar>
            <w:vAlign w:val="center"/>
          </w:tcPr>
          <w:p>
            <w:pPr>
              <w:spacing w:after="0" w:line="252" w:lineRule="auto"/>
              <w:jc w:val="left"/>
            </w:pPr>
            <w:r>
              <w:rPr>
                <w:rFonts w:ascii="Aptos" w:hAnsi="Aptos"/>
                <w:color w:val="000000"/>
                <w:sz w:val="16"/>
              </w:rPr>
              <w:t>Use the documented application rollback or restore a verified pre-change dump</w:t>
            </w:r>
          </w:p>
        </w:tc>
        <w:tc>
          <w:tcPr>
            <w:tcW w:type="dxa" w:w="3572"/>
            <w:tcMar>
              <w:top w:w="100" w:type="dxa"/>
              <w:start w:w="120" w:type="dxa"/>
              <w:bottom w:w="100" w:type="dxa"/>
              <w:end w:w="120" w:type="dxa"/>
            </w:tcMar>
            <w:vAlign w:val="center"/>
          </w:tcPr>
          <w:p>
            <w:pPr>
              <w:spacing w:after="0" w:line="252" w:lineRule="auto"/>
              <w:jc w:val="left"/>
            </w:pPr>
            <w:r>
              <w:rPr>
                <w:rFonts w:ascii="Aptos" w:hAnsi="Aptos"/>
                <w:color w:val="000000"/>
                <w:sz w:val="16"/>
              </w:rPr>
              <w:t>Database restore can discard newer data and requires incident approval</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Traefik routing</w:t>
            </w:r>
          </w:p>
        </w:tc>
        <w:tc>
          <w:tcPr>
            <w:tcW w:type="dxa" w:w="408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Reapply the last known-good labels and verify both hostnames</w:t>
            </w:r>
          </w:p>
        </w:tc>
        <w:tc>
          <w:tcPr>
            <w:tcW w:type="dxa" w:w="357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Avoid exposing private API, orchestrator or country ports</w:t>
            </w:r>
          </w:p>
        </w:tc>
      </w:tr>
      <w:tr>
        <w:trPr>
          <w:cantSplit/>
        </w:trPr>
        <w:tc>
          <w:tcPr>
            <w:tcW w:type="dxa" w:w="1984"/>
            <w:tcMar>
              <w:top w:w="100" w:type="dxa"/>
              <w:start w:w="120" w:type="dxa"/>
              <w:bottom w:w="100" w:type="dxa"/>
              <w:end w:w="120" w:type="dxa"/>
            </w:tcMar>
            <w:vAlign w:val="center"/>
          </w:tcPr>
          <w:p>
            <w:pPr>
              <w:spacing w:after="0" w:line="252" w:lineRule="auto"/>
              <w:jc w:val="left"/>
            </w:pPr>
            <w:r>
              <w:rPr>
                <w:rFonts w:ascii="Aptos" w:hAnsi="Aptos"/>
                <w:color w:val="000000"/>
                <w:sz w:val="16"/>
              </w:rPr>
              <w:t>Complete release failure</w:t>
            </w:r>
          </w:p>
        </w:tc>
        <w:tc>
          <w:tcPr>
            <w:tcW w:type="dxa" w:w="4082"/>
            <w:tcMar>
              <w:top w:w="100" w:type="dxa"/>
              <w:start w:w="120" w:type="dxa"/>
              <w:bottom w:w="100" w:type="dxa"/>
              <w:end w:w="120" w:type="dxa"/>
            </w:tcMar>
            <w:vAlign w:val="center"/>
          </w:tcPr>
          <w:p>
            <w:pPr>
              <w:spacing w:after="0" w:line="252" w:lineRule="auto"/>
              <w:jc w:val="left"/>
            </w:pPr>
            <w:r>
              <w:rPr>
                <w:rFonts w:ascii="Aptos" w:hAnsi="Aptos"/>
                <w:color w:val="000000"/>
                <w:sz w:val="16"/>
              </w:rPr>
              <w:t>Temporarily re-enable the retained legacy frontend only under an approved rollback plan</w:t>
            </w:r>
          </w:p>
        </w:tc>
        <w:tc>
          <w:tcPr>
            <w:tcW w:type="dxa" w:w="3572"/>
            <w:tcMar>
              <w:top w:w="100" w:type="dxa"/>
              <w:start w:w="120" w:type="dxa"/>
              <w:bottom w:w="100" w:type="dxa"/>
              <w:end w:w="120" w:type="dxa"/>
            </w:tcMar>
            <w:vAlign w:val="center"/>
          </w:tcPr>
          <w:p>
            <w:pPr>
              <w:spacing w:after="0" w:line="252" w:lineRule="auto"/>
              <w:jc w:val="left"/>
            </w:pPr>
            <w:r>
              <w:rPr>
                <w:rFonts w:ascii="Aptos" w:hAnsi="Aptos"/>
                <w:color w:val="000000"/>
                <w:sz w:val="16"/>
              </w:rPr>
              <w:t>The legacy service is not the long-term production target</w:t>
            </w:r>
          </w:p>
        </w:tc>
      </w:tr>
      <w:tr>
        <w:trPr>
          <w:cantSplit/>
        </w:trPr>
        <w:tc>
          <w:tcPr>
            <w:tcW w:type="dxa" w:w="1984"/>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Server loss</w:t>
            </w:r>
          </w:p>
        </w:tc>
        <w:tc>
          <w:tcPr>
            <w:tcW w:type="dxa" w:w="408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Provision a replacement VPS, restore configuration and databases, then repoint DNS</w:t>
            </w:r>
          </w:p>
        </w:tc>
        <w:tc>
          <w:tcPr>
            <w:tcW w:type="dxa" w:w="3572"/>
            <w:tcMar>
              <w:top w:w="100" w:type="dxa"/>
              <w:start w:w="120" w:type="dxa"/>
              <w:bottom w:w="100" w:type="dxa"/>
              <w:end w:w="120" w:type="dxa"/>
            </w:tcMar>
            <w:vAlign w:val="center"/>
            <w:shd w:fill="EEF4FC"/>
          </w:tcPr>
          <w:p>
            <w:pPr>
              <w:spacing w:after="0" w:line="252" w:lineRule="auto"/>
              <w:jc w:val="left"/>
            </w:pPr>
            <w:r>
              <w:rPr>
                <w:rFonts w:ascii="Aptos" w:hAnsi="Aptos"/>
                <w:color w:val="000000"/>
                <w:sz w:val="16"/>
              </w:rPr>
              <w:t>Requires off-server backups and documented infrastructure dependencies</w:t>
            </w:r>
          </w:p>
        </w:tc>
      </w:tr>
    </w:tbl>
    <w:p>
      <w:pPr>
        <w:spacing w:after="0"/>
        <w:widowControl/>
      </w:pPr>
    </w:p>
    <w:p>
      <w:pPr>
        <w:widowControl/>
      </w:pPr>
      <w:r>
        <w:br w:type="page"/>
      </w:r>
    </w:p>
    <w:p>
      <w:pPr>
        <w:pStyle w:val="Heading1"/>
        <w:keepNext/>
        <w:widowControl/>
      </w:pPr>
      <w:r>
        <w:t>12 Risks and prioritized action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6"/>
        <w:gridCol w:w="2466"/>
        <w:gridCol w:w="2466"/>
        <w:gridCol w:w="2466"/>
      </w:tblGrid>
      <w:tr>
        <w:trPr>
          <w:tblHeader w:val="true"/>
          <w:cantSplit/>
        </w:trPr>
        <w:tc>
          <w:tcPr>
            <w:tcW w:type="dxa" w:w="1020"/>
            <w:shd w:fill="17365D"/>
            <w:tcMar>
              <w:top w:w="115" w:type="dxa"/>
              <w:start w:w="120" w:type="dxa"/>
              <w:bottom w:w="115" w:type="dxa"/>
              <w:end w:w="120" w:type="dxa"/>
            </w:tcMar>
            <w:vAlign w:val="center"/>
          </w:tcPr>
          <w:p>
            <w:pPr>
              <w:spacing w:after="0"/>
              <w:jc w:val="center"/>
            </w:pPr>
            <w:r>
              <w:rPr>
                <w:rFonts w:ascii="Aptos" w:hAnsi="Aptos"/>
                <w:b/>
                <w:color w:val="FFFFFF"/>
                <w:sz w:val="17"/>
              </w:rPr>
              <w:t>Priority</w:t>
            </w:r>
          </w:p>
        </w:tc>
        <w:tc>
          <w:tcPr>
            <w:tcW w:type="dxa" w:w="2494"/>
            <w:shd w:fill="17365D"/>
            <w:tcMar>
              <w:top w:w="115" w:type="dxa"/>
              <w:start w:w="120" w:type="dxa"/>
              <w:bottom w:w="115" w:type="dxa"/>
              <w:end w:w="120" w:type="dxa"/>
            </w:tcMar>
            <w:vAlign w:val="center"/>
          </w:tcPr>
          <w:p>
            <w:pPr>
              <w:spacing w:after="0"/>
              <w:jc w:val="center"/>
            </w:pPr>
            <w:r>
              <w:rPr>
                <w:rFonts w:ascii="Aptos" w:hAnsi="Aptos"/>
                <w:b/>
                <w:color w:val="FFFFFF"/>
                <w:sz w:val="17"/>
              </w:rPr>
              <w:t>Risk</w:t>
            </w:r>
          </w:p>
        </w:tc>
        <w:tc>
          <w:tcPr>
            <w:tcW w:type="dxa" w:w="3855"/>
            <w:shd w:fill="17365D"/>
            <w:tcMar>
              <w:top w:w="115" w:type="dxa"/>
              <w:start w:w="120" w:type="dxa"/>
              <w:bottom w:w="115" w:type="dxa"/>
              <w:end w:w="120" w:type="dxa"/>
            </w:tcMar>
            <w:vAlign w:val="center"/>
          </w:tcPr>
          <w:p>
            <w:pPr>
              <w:spacing w:after="0"/>
              <w:jc w:val="center"/>
            </w:pPr>
            <w:r>
              <w:rPr>
                <w:rFonts w:ascii="Aptos" w:hAnsi="Aptos"/>
                <w:b/>
                <w:color w:val="FFFFFF"/>
                <w:sz w:val="17"/>
              </w:rPr>
              <w:t>Required action</w:t>
            </w:r>
          </w:p>
        </w:tc>
        <w:tc>
          <w:tcPr>
            <w:tcW w:type="dxa" w:w="2268"/>
            <w:shd w:fill="17365D"/>
            <w:tcMar>
              <w:top w:w="115" w:type="dxa"/>
              <w:start w:w="120" w:type="dxa"/>
              <w:bottom w:w="115" w:type="dxa"/>
              <w:end w:w="120" w:type="dxa"/>
            </w:tcMar>
            <w:vAlign w:val="center"/>
          </w:tcPr>
          <w:p>
            <w:pPr>
              <w:spacing w:after="0"/>
              <w:jc w:val="center"/>
            </w:pPr>
            <w:r>
              <w:rPr>
                <w:rFonts w:ascii="Aptos" w:hAnsi="Aptos"/>
                <w:b/>
                <w:color w:val="FFFFFF"/>
                <w:sz w:val="17"/>
              </w:rPr>
              <w:t>Target</w:t>
            </w:r>
          </w:p>
        </w:tc>
      </w:tr>
      <w:tr>
        <w:trPr>
          <w:cantSplit/>
        </w:trPr>
        <w:tc>
          <w:tcPr>
            <w:tcW w:type="dxa" w:w="1020"/>
            <w:tcMar>
              <w:top w:w="100" w:type="dxa"/>
              <w:start w:w="120" w:type="dxa"/>
              <w:bottom w:w="100" w:type="dxa"/>
              <w:end w:w="120" w:type="dxa"/>
            </w:tcMar>
            <w:vAlign w:val="center"/>
          </w:tcPr>
          <w:p>
            <w:pPr>
              <w:spacing w:after="0" w:line="252" w:lineRule="auto"/>
              <w:jc w:val="center"/>
            </w:pPr>
            <w:r>
              <w:rPr>
                <w:rFonts w:ascii="Aptos" w:hAnsi="Aptos"/>
                <w:color w:val="000000"/>
                <w:sz w:val="15"/>
              </w:rPr>
              <w:t>P0</w:t>
            </w:r>
          </w:p>
        </w:tc>
        <w:tc>
          <w:tcPr>
            <w:tcW w:type="dxa" w:w="2494"/>
            <w:tcMar>
              <w:top w:w="100" w:type="dxa"/>
              <w:start w:w="120" w:type="dxa"/>
              <w:bottom w:w="100" w:type="dxa"/>
              <w:end w:w="120" w:type="dxa"/>
            </w:tcMar>
            <w:vAlign w:val="center"/>
          </w:tcPr>
          <w:p>
            <w:pPr>
              <w:spacing w:after="0" w:line="252" w:lineRule="auto"/>
              <w:jc w:val="left"/>
            </w:pPr>
            <w:r>
              <w:rPr>
                <w:rFonts w:ascii="Aptos" w:hAnsi="Aptos"/>
                <w:color w:val="000000"/>
                <w:sz w:val="15"/>
              </w:rPr>
              <w:t>Active database is not in the observed nightly backup</w:t>
            </w:r>
          </w:p>
        </w:tc>
        <w:tc>
          <w:tcPr>
            <w:tcW w:type="dxa" w:w="3855"/>
            <w:tcMar>
              <w:top w:w="100" w:type="dxa"/>
              <w:start w:w="120" w:type="dxa"/>
              <w:bottom w:w="100" w:type="dxa"/>
              <w:end w:w="120" w:type="dxa"/>
            </w:tcMar>
            <w:vAlign w:val="center"/>
          </w:tcPr>
          <w:p>
            <w:pPr>
              <w:spacing w:after="0" w:line="252" w:lineRule="auto"/>
              <w:jc w:val="left"/>
            </w:pPr>
            <w:r>
              <w:rPr>
                <w:rFonts w:ascii="Aptos" w:hAnsi="Aptos"/>
                <w:color w:val="000000"/>
                <w:sz w:val="15"/>
              </w:rPr>
              <w:t>Create off-server Solution Studio backups and complete a restore test</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5"/>
              </w:rPr>
              <w:t>Before accepting important user-created solutions</w:t>
            </w:r>
          </w:p>
        </w:tc>
      </w:tr>
      <w:tr>
        <w:trPr>
          <w:cantSplit/>
        </w:trPr>
        <w:tc>
          <w:tcPr>
            <w:tcW w:type="dxa" w:w="1020"/>
            <w:tcMar>
              <w:top w:w="100" w:type="dxa"/>
              <w:start w:w="120" w:type="dxa"/>
              <w:bottom w:w="100" w:type="dxa"/>
              <w:end w:w="120" w:type="dxa"/>
            </w:tcMar>
            <w:vAlign w:val="center"/>
            <w:shd w:fill="EEF4FC"/>
          </w:tcPr>
          <w:p>
            <w:pPr>
              <w:spacing w:after="0" w:line="252" w:lineRule="auto"/>
              <w:jc w:val="center"/>
            </w:pPr>
            <w:r>
              <w:rPr>
                <w:rFonts w:ascii="Aptos" w:hAnsi="Aptos"/>
                <w:color w:val="000000"/>
                <w:sz w:val="15"/>
              </w:rPr>
              <w:t>P1</w:t>
            </w:r>
          </w:p>
        </w:tc>
        <w:tc>
          <w:tcPr>
            <w:tcW w:type="dxa" w:w="2494"/>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German services and ClickHouse may not restart after a host reboot</w:t>
            </w:r>
          </w:p>
        </w:tc>
        <w:tc>
          <w:tcPr>
            <w:tcW w:type="dxa" w:w="3855"/>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Apply unless-stopped policies and Docker health checks</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Before next planned reboot</w:t>
            </w:r>
          </w:p>
        </w:tc>
      </w:tr>
      <w:tr>
        <w:trPr>
          <w:cantSplit/>
        </w:trPr>
        <w:tc>
          <w:tcPr>
            <w:tcW w:type="dxa" w:w="1020"/>
            <w:tcMar>
              <w:top w:w="100" w:type="dxa"/>
              <w:start w:w="120" w:type="dxa"/>
              <w:bottom w:w="100" w:type="dxa"/>
              <w:end w:w="120" w:type="dxa"/>
            </w:tcMar>
            <w:vAlign w:val="center"/>
          </w:tcPr>
          <w:p>
            <w:pPr>
              <w:spacing w:after="0" w:line="252" w:lineRule="auto"/>
              <w:jc w:val="center"/>
            </w:pPr>
            <w:r>
              <w:rPr>
                <w:rFonts w:ascii="Aptos" w:hAnsi="Aptos"/>
                <w:color w:val="000000"/>
                <w:sz w:val="15"/>
              </w:rPr>
              <w:t>P1</w:t>
            </w:r>
          </w:p>
        </w:tc>
        <w:tc>
          <w:tcPr>
            <w:tcW w:type="dxa" w:w="2494"/>
            <w:tcMar>
              <w:top w:w="100" w:type="dxa"/>
              <w:start w:w="120" w:type="dxa"/>
              <w:bottom w:w="100" w:type="dxa"/>
              <w:end w:w="120" w:type="dxa"/>
            </w:tcMar>
            <w:vAlign w:val="center"/>
          </w:tcPr>
          <w:p>
            <w:pPr>
              <w:spacing w:after="0" w:line="252" w:lineRule="auto"/>
              <w:jc w:val="left"/>
            </w:pPr>
            <w:r>
              <w:rPr>
                <w:rFonts w:ascii="Aptos" w:hAnsi="Aptos"/>
                <w:color w:val="000000"/>
                <w:sz w:val="15"/>
              </w:rPr>
              <w:t>Docker json-file logs have no confirmed bound</w:t>
            </w:r>
          </w:p>
        </w:tc>
        <w:tc>
          <w:tcPr>
            <w:tcW w:type="dxa" w:w="3855"/>
            <w:tcMar>
              <w:top w:w="100" w:type="dxa"/>
              <w:start w:w="120" w:type="dxa"/>
              <w:bottom w:w="100" w:type="dxa"/>
              <w:end w:w="120" w:type="dxa"/>
            </w:tcMar>
            <w:vAlign w:val="center"/>
          </w:tcPr>
          <w:p>
            <w:pPr>
              <w:spacing w:after="0" w:line="252" w:lineRule="auto"/>
              <w:jc w:val="left"/>
            </w:pPr>
            <w:r>
              <w:rPr>
                <w:rFonts w:ascii="Aptos" w:hAnsi="Aptos"/>
                <w:color w:val="000000"/>
                <w:sz w:val="15"/>
              </w:rPr>
              <w:t>Set daemon or per-service log rotation limits</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5"/>
              </w:rPr>
              <w:t>Within one week</w:t>
            </w:r>
          </w:p>
        </w:tc>
      </w:tr>
      <w:tr>
        <w:trPr>
          <w:cantSplit/>
        </w:trPr>
        <w:tc>
          <w:tcPr>
            <w:tcW w:type="dxa" w:w="1020"/>
            <w:tcMar>
              <w:top w:w="100" w:type="dxa"/>
              <w:start w:w="120" w:type="dxa"/>
              <w:bottom w:w="100" w:type="dxa"/>
              <w:end w:w="120" w:type="dxa"/>
            </w:tcMar>
            <w:vAlign w:val="center"/>
            <w:shd w:fill="EEF4FC"/>
          </w:tcPr>
          <w:p>
            <w:pPr>
              <w:spacing w:after="0" w:line="252" w:lineRule="auto"/>
              <w:jc w:val="center"/>
            </w:pPr>
            <w:r>
              <w:rPr>
                <w:rFonts w:ascii="Aptos" w:hAnsi="Aptos"/>
                <w:color w:val="000000"/>
                <w:sz w:val="15"/>
              </w:rPr>
              <w:t>P1</w:t>
            </w:r>
          </w:p>
        </w:tc>
        <w:tc>
          <w:tcPr>
            <w:tcW w:type="dxa" w:w="2494"/>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Old evpa-nginx-1 is in a continuous restart loop</w:t>
            </w:r>
          </w:p>
        </w:tc>
        <w:tc>
          <w:tcPr>
            <w:tcW w:type="dxa" w:w="3855"/>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Identify owner, preserve necessary evidence, then repair or stop it</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Immediate shared-host housekeeping</w:t>
            </w:r>
          </w:p>
        </w:tc>
      </w:tr>
      <w:tr>
        <w:trPr>
          <w:cantSplit/>
        </w:trPr>
        <w:tc>
          <w:tcPr>
            <w:tcW w:type="dxa" w:w="1020"/>
            <w:tcMar>
              <w:top w:w="100" w:type="dxa"/>
              <w:start w:w="120" w:type="dxa"/>
              <w:bottom w:w="100" w:type="dxa"/>
              <w:end w:w="120" w:type="dxa"/>
            </w:tcMar>
            <w:vAlign w:val="center"/>
          </w:tcPr>
          <w:p>
            <w:pPr>
              <w:spacing w:after="0" w:line="252" w:lineRule="auto"/>
              <w:jc w:val="center"/>
            </w:pPr>
            <w:r>
              <w:rPr>
                <w:rFonts w:ascii="Aptos" w:hAnsi="Aptos"/>
                <w:color w:val="000000"/>
                <w:sz w:val="15"/>
              </w:rPr>
              <w:t>P1</w:t>
            </w:r>
          </w:p>
        </w:tc>
        <w:tc>
          <w:tcPr>
            <w:tcW w:type="dxa" w:w="2494"/>
            <w:tcMar>
              <w:top w:w="100" w:type="dxa"/>
              <w:start w:w="120" w:type="dxa"/>
              <w:bottom w:w="100" w:type="dxa"/>
              <w:end w:w="120" w:type="dxa"/>
            </w:tcMar>
            <w:vAlign w:val="center"/>
          </w:tcPr>
          <w:p>
            <w:pPr>
              <w:spacing w:after="0" w:line="252" w:lineRule="auto"/>
              <w:jc w:val="left"/>
            </w:pPr>
            <w:r>
              <w:rPr>
                <w:rFonts w:ascii="Aptos" w:hAnsi="Aptos"/>
                <w:color w:val="000000"/>
                <w:sz w:val="15"/>
              </w:rPr>
              <w:t>Basic Authentication uses a shared credential</w:t>
            </w:r>
          </w:p>
        </w:tc>
        <w:tc>
          <w:tcPr>
            <w:tcW w:type="dxa" w:w="3855"/>
            <w:tcMar>
              <w:top w:w="100" w:type="dxa"/>
              <w:start w:w="120" w:type="dxa"/>
              <w:bottom w:w="100" w:type="dxa"/>
              <w:end w:w="120" w:type="dxa"/>
            </w:tcMar>
            <w:vAlign w:val="center"/>
          </w:tcPr>
          <w:p>
            <w:pPr>
              <w:spacing w:after="0" w:line="252" w:lineRule="auto"/>
              <w:jc w:val="left"/>
            </w:pPr>
            <w:r>
              <w:rPr>
                <w:rFonts w:ascii="Aptos" w:hAnsi="Aptos"/>
                <w:color w:val="000000"/>
                <w:sz w:val="15"/>
              </w:rPr>
              <w:t>Rotate credential and plan named-user authentication or institutional SSO</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5"/>
              </w:rPr>
              <w:t>Before wider team access</w:t>
            </w:r>
          </w:p>
        </w:tc>
      </w:tr>
      <w:tr>
        <w:trPr>
          <w:cantSplit/>
        </w:trPr>
        <w:tc>
          <w:tcPr>
            <w:tcW w:type="dxa" w:w="1020"/>
            <w:tcMar>
              <w:top w:w="100" w:type="dxa"/>
              <w:start w:w="120" w:type="dxa"/>
              <w:bottom w:w="100" w:type="dxa"/>
              <w:end w:w="120" w:type="dxa"/>
            </w:tcMar>
            <w:vAlign w:val="center"/>
            <w:shd w:fill="EEF4FC"/>
          </w:tcPr>
          <w:p>
            <w:pPr>
              <w:spacing w:after="0" w:line="252" w:lineRule="auto"/>
              <w:jc w:val="center"/>
            </w:pPr>
            <w:r>
              <w:rPr>
                <w:rFonts w:ascii="Aptos" w:hAnsi="Aptos"/>
                <w:color w:val="000000"/>
                <w:sz w:val="15"/>
              </w:rPr>
              <w:t>P2</w:t>
            </w:r>
          </w:p>
        </w:tc>
        <w:tc>
          <w:tcPr>
            <w:tcW w:type="dxa" w:w="2494"/>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AI EFFECT shares the server with unrelated projects and public ports</w:t>
            </w:r>
          </w:p>
        </w:tc>
        <w:tc>
          <w:tcPr>
            <w:tcW w:type="dxa" w:w="3855"/>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Review firewall and plan dedicated hosting when usage increases</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Before sustained public production</w:t>
            </w:r>
          </w:p>
        </w:tc>
      </w:tr>
      <w:tr>
        <w:trPr>
          <w:cantSplit/>
        </w:trPr>
        <w:tc>
          <w:tcPr>
            <w:tcW w:type="dxa" w:w="1020"/>
            <w:tcMar>
              <w:top w:w="100" w:type="dxa"/>
              <w:start w:w="120" w:type="dxa"/>
              <w:bottom w:w="100" w:type="dxa"/>
              <w:end w:w="120" w:type="dxa"/>
            </w:tcMar>
            <w:vAlign w:val="center"/>
          </w:tcPr>
          <w:p>
            <w:pPr>
              <w:spacing w:after="0" w:line="252" w:lineRule="auto"/>
              <w:jc w:val="center"/>
            </w:pPr>
            <w:r>
              <w:rPr>
                <w:rFonts w:ascii="Aptos" w:hAnsi="Aptos"/>
                <w:color w:val="000000"/>
                <w:sz w:val="15"/>
              </w:rPr>
              <w:t>P2</w:t>
            </w:r>
          </w:p>
        </w:tc>
        <w:tc>
          <w:tcPr>
            <w:tcW w:type="dxa" w:w="2494"/>
            <w:tcMar>
              <w:top w:w="100" w:type="dxa"/>
              <w:start w:w="120" w:type="dxa"/>
              <w:bottom w:w="100" w:type="dxa"/>
              <w:end w:w="120" w:type="dxa"/>
            </w:tcMar>
            <w:vAlign w:val="center"/>
          </w:tcPr>
          <w:p>
            <w:pPr>
              <w:spacing w:after="0" w:line="252" w:lineRule="auto"/>
              <w:jc w:val="left"/>
            </w:pPr>
            <w:r>
              <w:rPr>
                <w:rFonts w:ascii="Aptos" w:hAnsi="Aptos"/>
                <w:color w:val="000000"/>
                <w:sz w:val="15"/>
              </w:rPr>
              <w:t>Large images consume disk and slow recovery</w:t>
            </w:r>
          </w:p>
        </w:tc>
        <w:tc>
          <w:tcPr>
            <w:tcW w:type="dxa" w:w="3855"/>
            <w:tcMar>
              <w:top w:w="100" w:type="dxa"/>
              <w:start w:w="120" w:type="dxa"/>
              <w:bottom w:w="100" w:type="dxa"/>
              <w:end w:w="120" w:type="dxa"/>
            </w:tcMar>
            <w:vAlign w:val="center"/>
          </w:tcPr>
          <w:p>
            <w:pPr>
              <w:spacing w:after="0" w:line="252" w:lineRule="auto"/>
              <w:jc w:val="left"/>
            </w:pPr>
            <w:r>
              <w:rPr>
                <w:rFonts w:ascii="Aptos" w:hAnsi="Aptos"/>
                <w:color w:val="000000"/>
                <w:sz w:val="15"/>
              </w:rPr>
              <w:t>Create CPU-appropriate images where possible and retain immutable release tags</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5"/>
              </w:rPr>
              <w:t>Next image optimization cycle</w:t>
            </w:r>
          </w:p>
        </w:tc>
      </w:tr>
      <w:tr>
        <w:trPr>
          <w:cantSplit/>
        </w:trPr>
        <w:tc>
          <w:tcPr>
            <w:tcW w:type="dxa" w:w="1020"/>
            <w:tcMar>
              <w:top w:w="100" w:type="dxa"/>
              <w:start w:w="120" w:type="dxa"/>
              <w:bottom w:w="100" w:type="dxa"/>
              <w:end w:w="120" w:type="dxa"/>
            </w:tcMar>
            <w:vAlign w:val="center"/>
            <w:shd w:fill="EEF4FC"/>
          </w:tcPr>
          <w:p>
            <w:pPr>
              <w:spacing w:after="0" w:line="252" w:lineRule="auto"/>
              <w:jc w:val="center"/>
            </w:pPr>
            <w:r>
              <w:rPr>
                <w:rFonts w:ascii="Aptos" w:hAnsi="Aptos"/>
                <w:color w:val="000000"/>
                <w:sz w:val="15"/>
              </w:rPr>
              <w:t>P2</w:t>
            </w:r>
          </w:p>
        </w:tc>
        <w:tc>
          <w:tcPr>
            <w:tcW w:type="dxa" w:w="2494"/>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No external alerting was verified</w:t>
            </w:r>
          </w:p>
        </w:tc>
        <w:tc>
          <w:tcPr>
            <w:tcW w:type="dxa" w:w="3855"/>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Implement uptime, disk, backup and container-health alerts</w:t>
            </w:r>
          </w:p>
        </w:tc>
        <w:tc>
          <w:tcPr>
            <w:tcW w:type="dxa" w:w="2268"/>
            <w:tcMar>
              <w:top w:w="100" w:type="dxa"/>
              <w:start w:w="120" w:type="dxa"/>
              <w:bottom w:w="100" w:type="dxa"/>
              <w:end w:w="120" w:type="dxa"/>
            </w:tcMar>
            <w:vAlign w:val="center"/>
            <w:shd w:fill="EEF4FC"/>
          </w:tcPr>
          <w:p>
            <w:pPr>
              <w:spacing w:after="0" w:line="252" w:lineRule="auto"/>
              <w:jc w:val="left"/>
            </w:pPr>
            <w:r>
              <w:rPr>
                <w:rFonts w:ascii="Aptos" w:hAnsi="Aptos"/>
                <w:color w:val="000000"/>
                <w:sz w:val="15"/>
              </w:rPr>
              <w:t>Before public announcement</w:t>
            </w:r>
          </w:p>
        </w:tc>
      </w:tr>
      <w:tr>
        <w:trPr>
          <w:cantSplit/>
        </w:trPr>
        <w:tc>
          <w:tcPr>
            <w:tcW w:type="dxa" w:w="1020"/>
            <w:tcMar>
              <w:top w:w="100" w:type="dxa"/>
              <w:start w:w="120" w:type="dxa"/>
              <w:bottom w:w="100" w:type="dxa"/>
              <w:end w:w="120" w:type="dxa"/>
            </w:tcMar>
            <w:vAlign w:val="center"/>
          </w:tcPr>
          <w:p>
            <w:pPr>
              <w:spacing w:after="0" w:line="252" w:lineRule="auto"/>
              <w:jc w:val="center"/>
            </w:pPr>
            <w:r>
              <w:rPr>
                <w:rFonts w:ascii="Aptos" w:hAnsi="Aptos"/>
                <w:color w:val="000000"/>
                <w:sz w:val="15"/>
              </w:rPr>
              <w:t>P3</w:t>
            </w:r>
          </w:p>
        </w:tc>
        <w:tc>
          <w:tcPr>
            <w:tcW w:type="dxa" w:w="2494"/>
            <w:tcMar>
              <w:top w:w="100" w:type="dxa"/>
              <w:start w:w="120" w:type="dxa"/>
              <w:bottom w:w="100" w:type="dxa"/>
              <w:end w:w="120" w:type="dxa"/>
            </w:tcMar>
            <w:vAlign w:val="center"/>
          </w:tcPr>
          <w:p>
            <w:pPr>
              <w:spacing w:after="0" w:line="252" w:lineRule="auto"/>
              <w:jc w:val="left"/>
            </w:pPr>
            <w:r>
              <w:rPr>
                <w:rFonts w:ascii="Aptos" w:hAnsi="Aptos"/>
                <w:color w:val="000000"/>
                <w:sz w:val="15"/>
              </w:rPr>
              <w:t>Legacy portal resources remain on the host</w:t>
            </w:r>
          </w:p>
        </w:tc>
        <w:tc>
          <w:tcPr>
            <w:tcW w:type="dxa" w:w="3855"/>
            <w:tcMar>
              <w:top w:w="100" w:type="dxa"/>
              <w:start w:w="120" w:type="dxa"/>
              <w:bottom w:w="100" w:type="dxa"/>
              <w:end w:w="120" w:type="dxa"/>
            </w:tcMar>
            <w:vAlign w:val="center"/>
          </w:tcPr>
          <w:p>
            <w:pPr>
              <w:spacing w:after="0" w:line="252" w:lineRule="auto"/>
              <w:jc w:val="left"/>
            </w:pPr>
            <w:r>
              <w:rPr>
                <w:rFonts w:ascii="Aptos" w:hAnsi="Aptos"/>
                <w:color w:val="000000"/>
                <w:sz w:val="15"/>
              </w:rPr>
              <w:t>Set a retirement date after the rollback window and archive required data</w:t>
            </w:r>
          </w:p>
        </w:tc>
        <w:tc>
          <w:tcPr>
            <w:tcW w:type="dxa" w:w="2268"/>
            <w:tcMar>
              <w:top w:w="100" w:type="dxa"/>
              <w:start w:w="120" w:type="dxa"/>
              <w:bottom w:w="100" w:type="dxa"/>
              <w:end w:w="120" w:type="dxa"/>
            </w:tcMar>
            <w:vAlign w:val="center"/>
          </w:tcPr>
          <w:p>
            <w:pPr>
              <w:spacing w:after="0" w:line="252" w:lineRule="auto"/>
              <w:jc w:val="left"/>
            </w:pPr>
            <w:r>
              <w:rPr>
                <w:rFonts w:ascii="Aptos" w:hAnsi="Aptos"/>
                <w:color w:val="000000"/>
                <w:sz w:val="15"/>
              </w:rPr>
              <w:t>After release stabilization</w:t>
            </w:r>
          </w:p>
        </w:tc>
      </w:tr>
    </w:tbl>
    <w:p>
      <w:pPr>
        <w:spacing w:after="0"/>
        <w:widowControl/>
      </w:pPr>
    </w:p>
    <w:p>
      <w:pPr>
        <w:pStyle w:val="Heading2"/>
        <w:keepNext/>
        <w:widowControl/>
      </w:pPr>
      <w:r>
        <w:t>Release readiness decision</w:t>
      </w:r>
    </w:p>
    <w:p>
      <w:pPr>
        <w:spacing w:after="140" w:line="269" w:lineRule="auto"/>
        <w:widowControl/>
      </w:pPr>
      <w:r>
        <w:rPr>
          <w:rFonts w:ascii="Aptos" w:hAnsi="Aptos"/>
          <w:sz w:val="20"/>
        </w:rPr>
        <w:t>The platform is technically operational and has passed four-country functional acceptance. IT should treat backup coverage, restart behavior, log rotation and alerting as release-hardening work. The database backup gap is the only item that should prevent storing business-critical user data until corrected and tested.</w:t>
      </w:r>
    </w:p>
    <w:p>
      <w:pPr>
        <w:widowControl/>
      </w:pPr>
      <w:r>
        <w:br w:type="page"/>
      </w:r>
    </w:p>
    <w:p>
      <w:pPr>
        <w:pStyle w:val="Heading1"/>
        <w:keepNext/>
        <w:widowControl/>
      </w:pPr>
      <w:r>
        <w:t>13 Ownership and access management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2551"/>
            <w:shd w:fill="17365D"/>
            <w:tcMar>
              <w:top w:w="115" w:type="dxa"/>
              <w:start w:w="120" w:type="dxa"/>
              <w:bottom w:w="115" w:type="dxa"/>
              <w:end w:w="120" w:type="dxa"/>
            </w:tcMar>
            <w:vAlign w:val="center"/>
          </w:tcPr>
          <w:p>
            <w:pPr>
              <w:spacing w:after="0"/>
              <w:jc w:val="center"/>
            </w:pPr>
            <w:r>
              <w:rPr>
                <w:rFonts w:ascii="Aptos" w:hAnsi="Aptos"/>
                <w:b/>
                <w:color w:val="FFFFFF"/>
                <w:sz w:val="17"/>
              </w:rPr>
              <w:t>Responsibility</w:t>
            </w:r>
          </w:p>
        </w:tc>
        <w:tc>
          <w:tcPr>
            <w:tcW w:type="dxa" w:w="2551"/>
            <w:shd w:fill="17365D"/>
            <w:tcMar>
              <w:top w:w="115" w:type="dxa"/>
              <w:start w:w="120" w:type="dxa"/>
              <w:bottom w:w="115" w:type="dxa"/>
              <w:end w:w="120" w:type="dxa"/>
            </w:tcMar>
            <w:vAlign w:val="center"/>
          </w:tcPr>
          <w:p>
            <w:pPr>
              <w:spacing w:after="0"/>
              <w:jc w:val="center"/>
            </w:pPr>
            <w:r>
              <w:rPr>
                <w:rFonts w:ascii="Aptos" w:hAnsi="Aptos"/>
                <w:b/>
                <w:color w:val="FFFFFF"/>
                <w:sz w:val="17"/>
              </w:rPr>
              <w:t>Suggested owner</w:t>
            </w:r>
          </w:p>
        </w:tc>
        <w:tc>
          <w:tcPr>
            <w:tcW w:type="dxa" w:w="4535"/>
            <w:shd w:fill="17365D"/>
            <w:tcMar>
              <w:top w:w="115" w:type="dxa"/>
              <w:start w:w="120" w:type="dxa"/>
              <w:bottom w:w="115" w:type="dxa"/>
              <w:end w:w="120" w:type="dxa"/>
            </w:tcMar>
            <w:vAlign w:val="center"/>
          </w:tcPr>
          <w:p>
            <w:pPr>
              <w:spacing w:after="0"/>
              <w:jc w:val="center"/>
            </w:pPr>
            <w:r>
              <w:rPr>
                <w:rFonts w:ascii="Aptos" w:hAnsi="Aptos"/>
                <w:b/>
                <w:color w:val="FFFFFF"/>
                <w:sz w:val="17"/>
              </w:rPr>
              <w:t>Record to maintain</w:t>
            </w:r>
          </w:p>
        </w:tc>
      </w:tr>
      <w:tr>
        <w:trPr>
          <w:cantSplit/>
        </w:trPr>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Contabo account and invoices</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Institutional IT or finance</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7"/>
              </w:rPr>
              <w:t>Account owner, renewal date, billing contact, plan and add-ons</w:t>
            </w:r>
          </w:p>
        </w:tc>
      </w:tr>
      <w:tr>
        <w:trPr>
          <w:cantSplit/>
        </w:trPr>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DNS and domains</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Institutional IT</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Registrar, expiry, DNS zone owner and recovery contact</w:t>
            </w:r>
          </w:p>
        </w:tc>
      </w:tr>
      <w:tr>
        <w:trPr>
          <w:cantSplit/>
        </w:trPr>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SSH administration</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Named IT administrators</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7"/>
              </w:rPr>
              <w:t>Authorized key owner, issue date, review date and removal date</w:t>
            </w:r>
          </w:p>
        </w:tc>
      </w:tr>
      <w:tr>
        <w:trPr>
          <w:cantSplit/>
        </w:trPr>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Production deployment</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Application operations owner</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Release commit, images, approver, deployment time and validation result</w:t>
            </w:r>
          </w:p>
        </w:tc>
      </w:tr>
      <w:tr>
        <w:trPr>
          <w:cantSplit/>
        </w:trPr>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Database backups</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Infrastructure operations</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7"/>
              </w:rPr>
              <w:t>Backup age, off-server location, retention and restore-test evidence</w:t>
            </w:r>
          </w:p>
        </w:tc>
      </w:tr>
      <w:tr>
        <w:trPr>
          <w:cantSplit/>
        </w:trPr>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Security response</w:t>
            </w:r>
          </w:p>
        </w:tc>
        <w:tc>
          <w:tcPr>
            <w:tcW w:type="dxa" w:w="2551"/>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Institutional security contact</w:t>
            </w:r>
          </w:p>
        </w:tc>
        <w:tc>
          <w:tcPr>
            <w:tcW w:type="dxa" w:w="4535"/>
            <w:tcMar>
              <w:top w:w="100" w:type="dxa"/>
              <w:start w:w="120" w:type="dxa"/>
              <w:bottom w:w="100" w:type="dxa"/>
              <w:end w:w="120" w:type="dxa"/>
            </w:tcMar>
            <w:vAlign w:val="center"/>
            <w:shd w:fill="EEF4FC"/>
          </w:tcPr>
          <w:p>
            <w:pPr>
              <w:spacing w:after="0" w:line="252" w:lineRule="auto"/>
              <w:jc w:val="left"/>
            </w:pPr>
            <w:r>
              <w:rPr>
                <w:rFonts w:ascii="Aptos" w:hAnsi="Aptos"/>
                <w:color w:val="000000"/>
                <w:sz w:val="17"/>
              </w:rPr>
              <w:t>Incident severity, evidence, decisions, notifications and remediation</w:t>
            </w:r>
          </w:p>
        </w:tc>
      </w:tr>
      <w:tr>
        <w:trPr>
          <w:cantSplit/>
        </w:trPr>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Country-node functional ownership</w:t>
            </w:r>
          </w:p>
        </w:tc>
        <w:tc>
          <w:tcPr>
            <w:tcW w:type="dxa" w:w="2551"/>
            <w:tcMar>
              <w:top w:w="100" w:type="dxa"/>
              <w:start w:w="120" w:type="dxa"/>
              <w:bottom w:w="100" w:type="dxa"/>
              <w:end w:w="120" w:type="dxa"/>
            </w:tcMar>
            <w:vAlign w:val="center"/>
          </w:tcPr>
          <w:p>
            <w:pPr>
              <w:spacing w:after="0" w:line="252" w:lineRule="auto"/>
              <w:jc w:val="left"/>
            </w:pPr>
            <w:r>
              <w:rPr>
                <w:rFonts w:ascii="Aptos" w:hAnsi="Aptos"/>
                <w:color w:val="000000"/>
                <w:sz w:val="17"/>
              </w:rPr>
              <w:t>Relevant node technical leads</w:t>
            </w:r>
          </w:p>
        </w:tc>
        <w:tc>
          <w:tcPr>
            <w:tcW w:type="dxa" w:w="4535"/>
            <w:tcMar>
              <w:top w:w="100" w:type="dxa"/>
              <w:start w:w="120" w:type="dxa"/>
              <w:bottom w:w="100" w:type="dxa"/>
              <w:end w:w="120" w:type="dxa"/>
            </w:tcMar>
            <w:vAlign w:val="center"/>
          </w:tcPr>
          <w:p>
            <w:pPr>
              <w:spacing w:after="0" w:line="252" w:lineRule="auto"/>
              <w:jc w:val="left"/>
            </w:pPr>
            <w:r>
              <w:rPr>
                <w:rFonts w:ascii="Aptos" w:hAnsi="Aptos"/>
                <w:color w:val="000000"/>
                <w:sz w:val="17"/>
              </w:rPr>
              <w:t>Pinned source version, image version and acceptance result</w:t>
            </w:r>
          </w:p>
        </w:tc>
      </w:tr>
    </w:tbl>
    <w:p>
      <w:pPr>
        <w:spacing w:after="0"/>
        <w:widowControl/>
      </w:pPr>
    </w:p>
    <w:p>
      <w:pPr>
        <w:pStyle w:val="Heading2"/>
        <w:keepNext/>
        <w:widowControl/>
      </w:pPr>
      <w:r>
        <w:t>Access review checklist</w:t>
      </w:r>
    </w:p>
    <w:p>
      <w:pPr>
        <w:pStyle w:val="ListBullet"/>
        <w:spacing w:after="60"/>
        <w:ind w:left="340" w:hanging="170"/>
        <w:widowControl/>
      </w:pPr>
      <w:r>
        <w:rPr>
          <w:rFonts w:ascii="Aptos" w:hAnsi="Aptos"/>
          <w:sz w:val="20"/>
        </w:rPr>
        <w:t>Every administrator has an individual SSH key; shared private keys are prohibited.</w:t>
      </w:r>
    </w:p>
    <w:p>
      <w:pPr>
        <w:pStyle w:val="ListBullet"/>
        <w:spacing w:after="60"/>
        <w:ind w:left="340" w:hanging="170"/>
        <w:widowControl/>
      </w:pPr>
      <w:r>
        <w:rPr>
          <w:rFonts w:ascii="Aptos" w:hAnsi="Aptos"/>
          <w:sz w:val="20"/>
        </w:rPr>
        <w:t>Departed or transferred staff are removed from authorized_keys and password-manager access.</w:t>
      </w:r>
    </w:p>
    <w:p>
      <w:pPr>
        <w:pStyle w:val="ListBullet"/>
        <w:spacing w:after="60"/>
        <w:ind w:left="340" w:hanging="170"/>
        <w:widowControl/>
      </w:pPr>
      <w:r>
        <w:rPr>
          <w:rFonts w:ascii="Aptos" w:hAnsi="Aptos"/>
          <w:sz w:val="20"/>
        </w:rPr>
        <w:t>Production browser credentials are rotated and distributed only through the password manager.</w:t>
      </w:r>
    </w:p>
    <w:p>
      <w:pPr>
        <w:pStyle w:val="ListBullet"/>
        <w:spacing w:after="60"/>
        <w:ind w:left="340" w:hanging="170"/>
        <w:widowControl/>
      </w:pPr>
      <w:r>
        <w:rPr>
          <w:rFonts w:ascii="Aptos" w:hAnsi="Aptos"/>
          <w:sz w:val="20"/>
        </w:rPr>
        <w:t>GitHub organization permissions and deployment branch protection are reviewed.</w:t>
      </w:r>
    </w:p>
    <w:p>
      <w:pPr>
        <w:pStyle w:val="ListBullet"/>
        <w:spacing w:after="60"/>
        <w:ind w:left="340" w:hanging="170"/>
        <w:widowControl/>
      </w:pPr>
      <w:r>
        <w:rPr>
          <w:rFonts w:ascii="Aptos" w:hAnsi="Aptos"/>
          <w:sz w:val="20"/>
        </w:rPr>
        <w:t>Contabo, DNS and domain accounts use multifactor authentication and institutional recovery contacts.</w:t>
      </w:r>
    </w:p>
    <w:p>
      <w:pPr>
        <w:pStyle w:val="ListBullet"/>
        <w:spacing w:after="60"/>
        <w:ind w:left="340" w:hanging="170"/>
        <w:widowControl/>
      </w:pPr>
      <w:r>
        <w:rPr>
          <w:rFonts w:ascii="Aptos" w:hAnsi="Aptos"/>
          <w:sz w:val="20"/>
        </w:rPr>
        <w:t>At least two authorized IT staff can recover the service without relying on one developer laptop.</w:t>
      </w:r>
    </w:p>
    <w:p>
      <w:pPr>
        <w:widowControl/>
      </w:pPr>
      <w:r>
        <w:br w:type="page"/>
      </w:r>
    </w:p>
    <w:p>
      <w:pPr>
        <w:pStyle w:val="Heading1"/>
        <w:keepNext/>
        <w:widowControl/>
      </w:pPr>
      <w:r>
        <w:t>Appendix A Operational commands</w:t>
      </w:r>
    </w:p>
    <w:p>
      <w:pPr>
        <w:spacing w:after="140" w:line="269" w:lineRule="auto"/>
        <w:widowControl/>
      </w:pPr>
      <w:r>
        <w:rPr>
          <w:rFonts w:ascii="Aptos" w:hAnsi="Aptos"/>
          <w:sz w:val="20"/>
        </w:rPr>
        <w:t>The following commands are read-only and are suitable for routine diagnosis after connecting to the server as the renew user. They do not display secret values.</w:t>
      </w:r>
    </w:p>
    <w:p>
      <w:pPr>
        <w:pStyle w:val="Heading2"/>
        <w:keepNext/>
        <w:widowControl/>
      </w:pPr>
      <w:r>
        <w:t>Portal and API checks</w:t>
      </w:r>
    </w:p>
    <w:p>
      <w:pPr>
        <w:keepLines/>
        <w:spacing w:after="20"/>
        <w:ind w:left="312" w:right="227"/>
        <w:widowControl/>
      </w:pPr>
      <w:r>
        <w:rPr>
          <w:rFonts w:ascii="Consolas" w:hAnsi="Consolas"/>
          <w:color w:val="000000"/>
          <w:sz w:val="17"/>
          <w:shd w:fill="F6F7F9"/>
        </w:rPr>
        <w:t>curl -fsS -o /dev/null -w '%{http_code}\n' https://platform.ai-effect.eu/</w:t>
      </w:r>
    </w:p>
    <w:p>
      <w:pPr>
        <w:keepLines/>
        <w:spacing w:after="20"/>
        <w:ind w:left="312" w:right="227"/>
        <w:widowControl/>
      </w:pPr>
      <w:r>
        <w:rPr>
          <w:rFonts w:ascii="Consolas" w:hAnsi="Consolas"/>
          <w:color w:val="000000"/>
          <w:sz w:val="17"/>
          <w:shd w:fill="F6F7F9"/>
        </w:rPr>
        <w:t>curl -fsS https://platform.ai-effect.eu/api/health</w:t>
      </w:r>
    </w:p>
    <w:p>
      <w:pPr>
        <w:keepLines/>
        <w:spacing w:after="20"/>
        <w:ind w:left="312" w:right="227"/>
        <w:widowControl/>
      </w:pPr>
      <w:r>
        <w:rPr>
          <w:rFonts w:ascii="Consolas" w:hAnsi="Consolas"/>
          <w:color w:val="000000"/>
          <w:sz w:val="17"/>
          <w:shd w:fill="F6F7F9"/>
        </w:rPr>
        <w:t>curl -fsS -L https://platform.ai-effect.eu/api/services | head</w:t>
      </w:r>
    </w:p>
    <w:p>
      <w:pPr>
        <w:pStyle w:val="Heading2"/>
        <w:keepNext/>
        <w:widowControl/>
      </w:pPr>
      <w:r>
        <w:t>Docker and capacity checks</w:t>
      </w:r>
    </w:p>
    <w:p>
      <w:pPr>
        <w:keepLines/>
        <w:spacing w:after="20"/>
        <w:ind w:left="312" w:right="227"/>
        <w:widowControl/>
      </w:pPr>
      <w:r>
        <w:rPr>
          <w:rFonts w:ascii="Consolas" w:hAnsi="Consolas"/>
          <w:color w:val="000000"/>
          <w:sz w:val="17"/>
          <w:shd w:fill="F6F7F9"/>
        </w:rPr>
        <w:t>docker ps --format 'table {{.Names}}\t{{.Status}}\t{{.Ports}}'</w:t>
      </w:r>
    </w:p>
    <w:p>
      <w:pPr>
        <w:keepLines/>
        <w:spacing w:after="20"/>
        <w:ind w:left="312" w:right="227"/>
        <w:widowControl/>
      </w:pPr>
      <w:r>
        <w:rPr>
          <w:rFonts w:ascii="Consolas" w:hAnsi="Consolas"/>
          <w:color w:val="000000"/>
          <w:sz w:val="17"/>
          <w:shd w:fill="F6F7F9"/>
        </w:rPr>
        <w:t>docker stats --no-stream</w:t>
      </w:r>
    </w:p>
    <w:p>
      <w:pPr>
        <w:keepLines/>
        <w:spacing w:after="20"/>
        <w:ind w:left="312" w:right="227"/>
        <w:widowControl/>
      </w:pPr>
      <w:r>
        <w:rPr>
          <w:rFonts w:ascii="Consolas" w:hAnsi="Consolas"/>
          <w:color w:val="000000"/>
          <w:sz w:val="17"/>
          <w:shd w:fill="F6F7F9"/>
        </w:rPr>
        <w:t>docker system df</w:t>
      </w:r>
    </w:p>
    <w:p>
      <w:pPr>
        <w:keepLines/>
        <w:spacing w:after="20"/>
        <w:ind w:left="312" w:right="227"/>
        <w:widowControl/>
      </w:pPr>
      <w:r>
        <w:rPr>
          <w:rFonts w:ascii="Consolas" w:hAnsi="Consolas"/>
          <w:color w:val="000000"/>
          <w:sz w:val="17"/>
          <w:shd w:fill="F6F7F9"/>
        </w:rPr>
        <w:t>df -hT /</w:t>
      </w:r>
    </w:p>
    <w:p>
      <w:pPr>
        <w:keepLines/>
        <w:spacing w:after="20"/>
        <w:ind w:left="312" w:right="227"/>
        <w:widowControl/>
      </w:pPr>
      <w:r>
        <w:rPr>
          <w:rFonts w:ascii="Consolas" w:hAnsi="Consolas"/>
          <w:color w:val="000000"/>
          <w:sz w:val="17"/>
          <w:shd w:fill="F6F7F9"/>
        </w:rPr>
        <w:t>free -h</w:t>
      </w:r>
    </w:p>
    <w:p>
      <w:pPr>
        <w:pStyle w:val="Heading2"/>
        <w:keepNext/>
        <w:widowControl/>
      </w:pPr>
      <w:r>
        <w:t>Service logs</w:t>
      </w:r>
    </w:p>
    <w:p>
      <w:pPr>
        <w:keepLines/>
        <w:spacing w:after="20"/>
        <w:ind w:left="312" w:right="227"/>
        <w:widowControl/>
      </w:pPr>
      <w:r>
        <w:rPr>
          <w:rFonts w:ascii="Consolas" w:hAnsi="Consolas"/>
          <w:color w:val="000000"/>
          <w:sz w:val="17"/>
          <w:shd w:fill="F6F7F9"/>
        </w:rPr>
        <w:t>docker logs --tail 200 ai-effect-solution-studio-web-1</w:t>
      </w:r>
    </w:p>
    <w:p>
      <w:pPr>
        <w:keepLines/>
        <w:spacing w:after="20"/>
        <w:ind w:left="312" w:right="227"/>
        <w:widowControl/>
      </w:pPr>
      <w:r>
        <w:rPr>
          <w:rFonts w:ascii="Consolas" w:hAnsi="Consolas"/>
          <w:color w:val="000000"/>
          <w:sz w:val="17"/>
          <w:shd w:fill="F6F7F9"/>
        </w:rPr>
        <w:t>docker logs --tail 200 ai-effect-solution-studio-api-1</w:t>
      </w:r>
    </w:p>
    <w:p>
      <w:pPr>
        <w:keepLines/>
        <w:spacing w:after="20"/>
        <w:ind w:left="312" w:right="227"/>
        <w:widowControl/>
      </w:pPr>
      <w:r>
        <w:rPr>
          <w:rFonts w:ascii="Consolas" w:hAnsi="Consolas"/>
          <w:color w:val="000000"/>
          <w:sz w:val="17"/>
          <w:shd w:fill="F6F7F9"/>
        </w:rPr>
        <w:t>docker logs --tail 200 orchestrator-api-1</w:t>
      </w:r>
    </w:p>
    <w:p>
      <w:pPr>
        <w:keepLines/>
        <w:spacing w:after="20"/>
        <w:ind w:left="312" w:right="227"/>
        <w:widowControl/>
      </w:pPr>
      <w:r>
        <w:rPr>
          <w:rFonts w:ascii="Consolas" w:hAnsi="Consolas"/>
          <w:color w:val="000000"/>
          <w:sz w:val="17"/>
          <w:shd w:fill="F6F7F9"/>
        </w:rPr>
        <w:t>docker logs --tail 200 &lt;country-container-name&gt;</w:t>
      </w:r>
    </w:p>
    <w:p>
      <w:pPr>
        <w:pStyle w:val="Heading2"/>
        <w:keepNext/>
        <w:widowControl/>
      </w:pPr>
      <w:r>
        <w:t>Four-country acceptance</w:t>
      </w:r>
    </w:p>
    <w:p>
      <w:pPr>
        <w:keepLines/>
        <w:spacing w:after="20"/>
        <w:ind w:left="312" w:right="227"/>
        <w:widowControl/>
      </w:pPr>
      <w:r>
        <w:rPr>
          <w:rFonts w:ascii="Consolas" w:hAnsi="Consolas"/>
          <w:color w:val="000000"/>
          <w:sz w:val="17"/>
          <w:shd w:fill="F6F7F9"/>
        </w:rPr>
        <w:t>cd /home/renew/ai-effect-country-nodes/overlays</w:t>
      </w:r>
    </w:p>
    <w:p>
      <w:pPr>
        <w:keepLines/>
        <w:spacing w:after="20"/>
        <w:ind w:left="312" w:right="227"/>
        <w:widowControl/>
      </w:pPr>
      <w:r>
        <w:rPr>
          <w:rFonts w:ascii="Consolas" w:hAnsi="Consolas"/>
          <w:color w:val="000000"/>
          <w:sz w:val="17"/>
          <w:shd w:fill="F6F7F9"/>
        </w:rPr>
        <w:t>python3 import_release_candidate.py</w:t>
      </w:r>
    </w:p>
    <w:p>
      <w:pPr>
        <w:keepLines/>
        <w:spacing w:after="20"/>
        <w:ind w:left="312" w:right="227"/>
        <w:widowControl/>
      </w:pPr>
      <w:r>
        <w:rPr>
          <w:rFonts w:ascii="Consolas" w:hAnsi="Consolas"/>
          <w:color w:val="000000"/>
          <w:sz w:val="17"/>
          <w:shd w:fill="F6F7F9"/>
        </w:rPr>
        <w:t>python3 validate_release_candidate.py</w:t>
      </w:r>
    </w:p>
    <w:p>
      <w:pPr>
        <w:spacing w:after="120"/>
        <w:widowControl/>
      </w:pPr>
      <w:r>
        <w:rPr>
          <w:rFonts w:ascii="Aptos" w:hAnsi="Aptos"/>
          <w:b/>
          <w:color w:val="B42318"/>
          <w:sz w:val="20"/>
        </w:rPr>
        <w:t xml:space="preserve">Operational caution  </w:t>
      </w:r>
      <w:r>
        <w:rPr>
          <w:rFonts w:ascii="Aptos" w:hAnsi="Aptos"/>
          <w:sz w:val="20"/>
        </w:rPr>
        <w:t>Do not run prune, volume deletion, database restore, firewall modification or compose-down commands during diagnosis unless the exact impact and rollback path have been approved.</w:t>
      </w:r>
    </w:p>
    <w:p>
      <w:pPr>
        <w:widowControl/>
      </w:pPr>
      <w:r>
        <w:br w:type="page"/>
      </w:r>
    </w:p>
    <w:p>
      <w:pPr>
        <w:pStyle w:val="Heading1"/>
        <w:keepNext/>
        <w:widowControl/>
      </w:pPr>
      <w:r>
        <w:t>Appendix B Reference sources</w:t>
      </w:r>
    </w:p>
    <w:p>
      <w:pPr>
        <w:spacing w:after="140"/>
        <w:widowControl/>
      </w:pPr>
      <w:r>
        <w:rPr>
          <w:rFonts w:ascii="Aptos" w:hAnsi="Aptos"/>
          <w:b/>
          <w:sz w:val="20"/>
        </w:rPr>
        <w:t xml:space="preserve">Production acceptance record  </w:t>
      </w:r>
      <w:r>
        <w:rPr>
          <w:rFonts w:ascii="Aptos" w:hAnsi="Aptos"/>
          <w:sz w:val="20"/>
        </w:rPr>
        <w:t>docs/PRODUCTION_ACCEPTANCE_2026-10-04.md in the Solution Studio repository</w:t>
      </w:r>
    </w:p>
    <w:p>
      <w:pPr>
        <w:spacing w:after="140"/>
        <w:widowControl/>
      </w:pPr>
      <w:r>
        <w:rPr>
          <w:rFonts w:ascii="Aptos" w:hAnsi="Aptos"/>
          <w:b/>
          <w:sz w:val="20"/>
        </w:rPr>
        <w:t xml:space="preserve">Previous developer handover  </w:t>
      </w:r>
      <w:r>
        <w:rPr>
          <w:rFonts w:ascii="Aptos" w:hAnsi="Aptos"/>
          <w:sz w:val="20"/>
        </w:rPr>
        <w:t>Handover-to-Adarsh.md supplied to the project</w:t>
      </w:r>
    </w:p>
    <w:p>
      <w:pPr>
        <w:spacing w:after="140"/>
        <w:widowControl/>
      </w:pPr>
      <w:r>
        <w:rPr>
          <w:rFonts w:ascii="Aptos" w:hAnsi="Aptos"/>
          <w:b/>
          <w:sz w:val="20"/>
        </w:rPr>
        <w:t xml:space="preserve">Contabo VPS product information  </w:t>
      </w:r>
      <w:hyperlink r:id="rId10">
        <w:r>
          <w:rPr>
            <w:color w:val="2F67D8"/>
            <w:u w:val="single"/>
          </w:rPr>
          <w:t>View official source</w:t>
        </w:r>
      </w:hyperlink>
    </w:p>
    <w:p>
      <w:pPr>
        <w:spacing w:after="140"/>
        <w:widowControl/>
      </w:pPr>
      <w:r>
        <w:rPr>
          <w:rFonts w:ascii="Aptos" w:hAnsi="Aptos"/>
          <w:b/>
          <w:sz w:val="20"/>
        </w:rPr>
        <w:t xml:space="preserve">Contabo Cloud VPS documentation  </w:t>
      </w:r>
      <w:hyperlink r:id="rId11">
        <w:r>
          <w:rPr>
            <w:color w:val="2F67D8"/>
            <w:u w:val="single"/>
          </w:rPr>
          <w:t>View official source</w:t>
        </w:r>
      </w:hyperlink>
    </w:p>
    <w:p>
      <w:pPr>
        <w:spacing w:after="140"/>
        <w:widowControl/>
      </w:pPr>
      <w:r>
        <w:rPr>
          <w:rFonts w:ascii="Aptos" w:hAnsi="Aptos"/>
          <w:b/>
          <w:sz w:val="20"/>
        </w:rPr>
        <w:t xml:space="preserve">Contabo Object Storage pricing  </w:t>
      </w:r>
      <w:hyperlink r:id="rId12">
        <w:r>
          <w:rPr>
            <w:color w:val="2F67D8"/>
            <w:u w:val="single"/>
          </w:rPr>
          <w:t>View official source</w:t>
        </w:r>
      </w:hyperlink>
    </w:p>
    <w:p>
      <w:pPr>
        <w:spacing w:after="140"/>
        <w:widowControl/>
      </w:pPr>
      <w:r>
        <w:rPr>
          <w:rFonts w:ascii="Aptos" w:hAnsi="Aptos"/>
          <w:b/>
          <w:sz w:val="20"/>
        </w:rPr>
        <w:t xml:space="preserve">Contabo Auto Backup information  </w:t>
      </w:r>
      <w:hyperlink r:id="rId13">
        <w:r>
          <w:rPr>
            <w:color w:val="2F67D8"/>
            <w:u w:val="single"/>
          </w:rPr>
          <w:t>View official source</w:t>
        </w:r>
      </w:hyperlink>
    </w:p>
    <w:p>
      <w:pPr>
        <w:pStyle w:val="Heading2"/>
        <w:keepNext/>
        <w:widowControl/>
      </w:pPr>
      <w:r>
        <w:t>Measurement notes</w:t>
      </w:r>
    </w:p>
    <w:p>
      <w:pPr>
        <w:spacing w:after="140" w:line="269" w:lineRule="auto"/>
        <w:widowControl/>
      </w:pPr>
      <w:r>
        <w:rPr>
          <w:rFonts w:ascii="Aptos" w:hAnsi="Aptos"/>
          <w:sz w:val="20"/>
        </w:rPr>
        <w:t>Capacity, container and storage values are point-in-time measurements from 4 October 2026. Docker image size totals may count shared layers differently from physical disk usage. Pricing is a planning estimate based on publicly listed Contabo products and must be reconciled with the actual institutional invoice.</w:t>
      </w:r>
    </w:p>
    <w:p>
      <w:pPr>
        <w:pStyle w:val="Heading2"/>
        <w:keepNext/>
        <w:widowControl/>
      </w:pPr>
      <w:r>
        <w:t>Revision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cantSplit/>
        </w:trPr>
        <w:tc>
          <w:tcPr>
            <w:tcW w:type="dxa" w:w="1417"/>
            <w:shd w:fill="17365D"/>
            <w:tcMar>
              <w:top w:w="115" w:type="dxa"/>
              <w:start w:w="120" w:type="dxa"/>
              <w:bottom w:w="115" w:type="dxa"/>
              <w:end w:w="120" w:type="dxa"/>
            </w:tcMar>
            <w:vAlign w:val="center"/>
          </w:tcPr>
          <w:p>
            <w:pPr>
              <w:spacing w:after="0"/>
              <w:jc w:val="center"/>
            </w:pPr>
            <w:r>
              <w:rPr>
                <w:rFonts w:ascii="Aptos" w:hAnsi="Aptos"/>
                <w:b/>
                <w:color w:val="FFFFFF"/>
                <w:sz w:val="17"/>
              </w:rPr>
              <w:t>Version</w:t>
            </w:r>
          </w:p>
        </w:tc>
        <w:tc>
          <w:tcPr>
            <w:tcW w:type="dxa" w:w="2268"/>
            <w:shd w:fill="17365D"/>
            <w:tcMar>
              <w:top w:w="115" w:type="dxa"/>
              <w:start w:w="120" w:type="dxa"/>
              <w:bottom w:w="115" w:type="dxa"/>
              <w:end w:w="120" w:type="dxa"/>
            </w:tcMar>
            <w:vAlign w:val="center"/>
          </w:tcPr>
          <w:p>
            <w:pPr>
              <w:spacing w:after="0"/>
              <w:jc w:val="center"/>
            </w:pPr>
            <w:r>
              <w:rPr>
                <w:rFonts w:ascii="Aptos" w:hAnsi="Aptos"/>
                <w:b/>
                <w:color w:val="FFFFFF"/>
                <w:sz w:val="17"/>
              </w:rPr>
              <w:t>Date</w:t>
            </w:r>
          </w:p>
        </w:tc>
        <w:tc>
          <w:tcPr>
            <w:tcW w:type="dxa" w:w="5953"/>
            <w:shd w:fill="17365D"/>
            <w:tcMar>
              <w:top w:w="115" w:type="dxa"/>
              <w:start w:w="120" w:type="dxa"/>
              <w:bottom w:w="115" w:type="dxa"/>
              <w:end w:w="120" w:type="dxa"/>
            </w:tcMar>
            <w:vAlign w:val="center"/>
          </w:tcPr>
          <w:p>
            <w:pPr>
              <w:spacing w:after="0"/>
              <w:jc w:val="center"/>
            </w:pPr>
            <w:r>
              <w:rPr>
                <w:rFonts w:ascii="Aptos" w:hAnsi="Aptos"/>
                <w:b/>
                <w:color w:val="FFFFFF"/>
                <w:sz w:val="17"/>
              </w:rPr>
              <w:t>Change</w:t>
            </w:r>
          </w:p>
        </w:tc>
      </w:tr>
      <w:tr>
        <w:trPr>
          <w:cantSplit/>
        </w:trPr>
        <w:tc>
          <w:tcPr>
            <w:tcW w:type="dxa" w:w="1417"/>
            <w:tcMar>
              <w:top w:w="100" w:type="dxa"/>
              <w:start w:w="120" w:type="dxa"/>
              <w:bottom w:w="100" w:type="dxa"/>
              <w:end w:w="120" w:type="dxa"/>
            </w:tcMar>
            <w:vAlign w:val="center"/>
          </w:tcPr>
          <w:p>
            <w:pPr>
              <w:spacing w:after="0" w:line="252" w:lineRule="auto"/>
              <w:jc w:val="center"/>
            </w:pPr>
            <w:r>
              <w:rPr>
                <w:rFonts w:ascii="Aptos" w:hAnsi="Aptos"/>
                <w:color w:val="000000"/>
                <w:sz w:val="18"/>
              </w:rPr>
              <w:t>1.0</w:t>
            </w:r>
          </w:p>
        </w:tc>
        <w:tc>
          <w:tcPr>
            <w:tcW w:type="dxa" w:w="2268"/>
            <w:tcMar>
              <w:top w:w="100" w:type="dxa"/>
              <w:start w:w="120" w:type="dxa"/>
              <w:bottom w:w="100" w:type="dxa"/>
              <w:end w:w="120" w:type="dxa"/>
            </w:tcMar>
            <w:vAlign w:val="center"/>
          </w:tcPr>
          <w:p>
            <w:pPr>
              <w:spacing w:after="0" w:line="252" w:lineRule="auto"/>
              <w:jc w:val="center"/>
            </w:pPr>
            <w:r>
              <w:rPr>
                <w:rFonts w:ascii="Aptos" w:hAnsi="Aptos"/>
                <w:color w:val="000000"/>
                <w:sz w:val="18"/>
              </w:rPr>
              <w:t>4 October 2026</w:t>
            </w:r>
          </w:p>
        </w:tc>
        <w:tc>
          <w:tcPr>
            <w:tcW w:type="dxa" w:w="5953"/>
            <w:tcMar>
              <w:top w:w="100" w:type="dxa"/>
              <w:start w:w="120" w:type="dxa"/>
              <w:bottom w:w="100" w:type="dxa"/>
              <w:end w:w="120" w:type="dxa"/>
            </w:tcMar>
            <w:vAlign w:val="center"/>
          </w:tcPr>
          <w:p>
            <w:pPr>
              <w:spacing w:after="0" w:line="252" w:lineRule="auto"/>
              <w:jc w:val="left"/>
            </w:pPr>
            <w:r>
              <w:rPr>
                <w:rFonts w:ascii="Aptos" w:hAnsi="Aptos"/>
                <w:color w:val="000000"/>
                <w:sz w:val="18"/>
              </w:rPr>
              <w:t>Initial IT operations and production management guide following Solution Studio cutover</w:t>
            </w:r>
          </w:p>
        </w:tc>
      </w:tr>
    </w:tbl>
    <w:p>
      <w:pPr>
        <w:spacing w:after="0"/>
        <w:widowControl/>
      </w:pP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932" w:val="center"/>
        <w:tab w:pos="9865" w:val="right"/>
      </w:tabs>
    </w:pPr>
    <w:r>
      <w:rPr>
        <w:rFonts w:ascii="Aptos" w:hAnsi="Aptos"/>
        <w:color w:val="667085"/>
        <w:sz w:val="15"/>
      </w:rPr>
      <w:t>AI EFFECT Solution Studio</w:t>
    </w:r>
    <w:r>
      <w:tab/>
    </w:r>
    <w:r>
      <w:rPr>
        <w:rFonts w:ascii="Aptos" w:hAnsi="Aptos"/>
        <w:color w:val="667085"/>
        <w:sz w:val="15"/>
      </w:rPr>
      <w:t>Internal IT handover</w:t>
    </w:r>
    <w:r>
      <w:tab/>
    </w:r>
    <w:r>
      <w:rPr>
        <w:rFonts w:ascii="Aptos" w:hAnsi="Aptos"/>
        <w:color w:val="667085"/>
        <w:sz w:val="15"/>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ntabo.com/en/vps-server/" TargetMode="External"/><Relationship Id="rId11" Type="http://schemas.openxmlformats.org/officeDocument/2006/relationships/hyperlink" Target="https://docs.contabo.com/docs/products/cloud-vps/" TargetMode="External"/><Relationship Id="rId12" Type="http://schemas.openxmlformats.org/officeDocument/2006/relationships/hyperlink" Target="https://contabo.com/en/object-storage/" TargetMode="External"/><Relationship Id="rId13" Type="http://schemas.openxmlformats.org/officeDocument/2006/relationships/hyperlink" Target="https://contabo.com/en-us/auto-back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EFFECT Solution Studio Production Operations Guide</dc:title>
  <dc:subject>Infrastructure security cost management and IT operations</dc:subject>
  <dc:creator>AI EFFECT Project</dc:creator>
  <cp:keywords>AI EFFECT, Solution Studio, production, Docker, IT operations, security</cp:keywords>
  <dc:description>Contains no credentials or private key material.</dc:description>
  <cp:lastModifiedBy/>
  <cp:revision>1</cp:revision>
  <dcterms:created xsi:type="dcterms:W3CDTF">2013-12-23T23:15:00Z</dcterms:created>
  <dcterms:modified xsi:type="dcterms:W3CDTF">2013-12-23T23:15:00Z</dcterms:modified>
  <cp:category/>
</cp:coreProperties>
</file>