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52B5EA">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1. Project Background</w:t>
      </w:r>
    </w:p>
    <w:p w14:paraId="6019B15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Online forums and developer communities often maintain a shared budget to support ecosystem-building activities such as tool development, educational content creation, onboarding resources, moderation infrastructure, and community events. In most cases, however, the allocation of such funds remains highly centralized: moderators or core teams review proposals, decide which initiatives deserve support, and manually execute payouts. While this model is operationally simple, it creates recurring governance problems. Funding decisions may be opaque, treasury control may be overly concentrated, and the historical record of proposals, votes, and payments may not be easily verifiable by the broader community.</w:t>
      </w:r>
    </w:p>
    <w:p w14:paraId="54B44C1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Forum Builder Fund DAO is designed as a lightweight governance framework for a community-building treasury. Its purpose is not to decentralize every aspect of forum management, but to place the most trust-sensitive component—the allocation and execution of shared community funds—under a transparent, rule-based, and auditable process. This design direction aligns with the project guidance emphasized in class: a strong blockchain project does not need to be radically innovative in terms of industry, but it should be practical, specific, and comprehensive, while carefully considering stakeholder incentives, information structure, and logic/security risks. </w:t>
      </w:r>
    </w:p>
    <w:p w14:paraId="23D6E14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DAO operates through periodic funding rounds. Eligible contributors submit proposals, administrators conduct formal screening, whitelist members vote, proposals are ranked under a fixed budget, and the treasury contract executes approved disbursements automatically. By encoding the rules of proposal handling, voting, allocation, and payment into smart contracts, the system aims to improve procedural legitimacy and reduce reliance on discretionary post-vote administrator actions.</w:t>
      </w:r>
    </w:p>
    <w:p w14:paraId="0070264C">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2. Why a Blockchain Application Is Needed</w:t>
      </w:r>
    </w:p>
    <w:p w14:paraId="052B051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Even in a relatively small and partially trusted community, several governance risks remain in a conventional Web2 implementation:</w:t>
      </w:r>
    </w:p>
    <w:p w14:paraId="5E6F5085">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proposal records may be modified, hidden, or selectively surfaced; </w:t>
      </w:r>
    </w:p>
    <w:p w14:paraId="6F70E03F">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published vote totals may not be independently verifiable; </w:t>
      </w:r>
    </w:p>
    <w:p w14:paraId="5857BA3C">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allocation rules may be applied inconsistently; </w:t>
      </w:r>
    </w:p>
    <w:p w14:paraId="38907879">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approved payouts may still depend on manual administrator discretion; </w:t>
      </w:r>
    </w:p>
    <w:p w14:paraId="196A8A48">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historical funding decisions may not be easily auditable by future community members. </w:t>
      </w:r>
    </w:p>
    <w:p w14:paraId="2747BB3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blockchain-based design addresses these concerns in four ways.</w:t>
      </w:r>
    </w:p>
    <w:p w14:paraId="05E5ABEF">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First, transparency.</w:t>
      </w:r>
      <w:r>
        <w:rPr>
          <w:rFonts w:ascii="Times New Roman" w:hAnsi="Times New Roman" w:eastAsia="Times New Roman" w:cs="Times New Roman"/>
          <w:kern w:val="0"/>
          <w14:ligatures w14:val="none"/>
        </w:rPr>
        <w:t xml:space="preserve"> Proposal metadata, voting outcomes, budget allocation results, and treasury transfers can all be made visible and auditable. This reflects the lecture’s emphasis that blockchain can make important information shared and verifiable across participants. </w:t>
      </w:r>
    </w:p>
    <w:p w14:paraId="5701B4D5">
      <w:pPr>
        <w:spacing w:before="100" w:beforeAutospacing="1" w:after="100" w:afterAutospacing="1" w:line="240" w:lineRule="auto"/>
        <w:rPr>
          <w:rFonts w:hint="eastAsia" w:ascii="Times New Roman" w:hAnsi="Times New Roman" w:eastAsia="Times New Roman" w:cs="Times New Roman"/>
          <w:kern w:val="0"/>
          <w:lang w:val="en-US"/>
          <w14:ligatures w14:val="none"/>
        </w:rPr>
      </w:pPr>
      <w:r>
        <w:rPr>
          <w:rFonts w:ascii="Times New Roman" w:hAnsi="Times New Roman" w:eastAsia="Times New Roman" w:cs="Times New Roman"/>
          <w:b/>
          <w:bCs/>
          <w:kern w:val="0"/>
          <w14:ligatures w14:val="none"/>
        </w:rPr>
        <w:t>Second, immutability.</w:t>
      </w:r>
      <w:r>
        <w:rPr>
          <w:rFonts w:ascii="Times New Roman" w:hAnsi="Times New Roman" w:eastAsia="Times New Roman" w:cs="Times New Roman"/>
          <w:kern w:val="0"/>
          <w14:ligatures w14:val="none"/>
        </w:rPr>
        <w:t xml:space="preserve"> Once proposal records, vote totals, and payout events are stored on-chain, they cannot be casually rewritten by moderators or committee members. This supports trust in the governance process itself, not just in the final outcome. </w:t>
      </w:r>
    </w:p>
    <w:p w14:paraId="7783346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Third, automatic execution.</w:t>
      </w:r>
      <w:r>
        <w:rPr>
          <w:rFonts w:ascii="Times New Roman" w:hAnsi="Times New Roman" w:eastAsia="Times New Roman" w:cs="Times New Roman"/>
          <w:kern w:val="0"/>
          <w14:ligatures w14:val="none"/>
        </w:rPr>
        <w:t xml:space="preserve"> Once a funding round is finalized, disbursement is performed by the treasury contract according to predefined rules. This reduces post-vote administrative discretion and prevents selective payment delays or overrides.</w:t>
      </w:r>
    </w:p>
    <w:p w14:paraId="7F7D67B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Fourth, reduced trust in individual operators.</w:t>
      </w:r>
      <w:r>
        <w:rPr>
          <w:rFonts w:ascii="Times New Roman" w:hAnsi="Times New Roman" w:eastAsia="Times New Roman" w:cs="Times New Roman"/>
          <w:kern w:val="0"/>
          <w14:ligatures w14:val="none"/>
        </w:rPr>
        <w:t xml:space="preserve"> The project does not eliminate all trust at the membership layer, but it reduces trust in the most critical layer: treasury allocation and execution. This is particularly important for a community fund, where procedural fairness matters as much as the projects being funded.</w:t>
      </w:r>
    </w:p>
    <w:p w14:paraId="0901E3A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Accordingly, the role of blockchain in this project is selective and justified: it is used where it adds the most value—</w:t>
      </w:r>
      <w:r>
        <w:rPr>
          <w:rFonts w:ascii="Times New Roman" w:hAnsi="Times New Roman" w:eastAsia="Times New Roman" w:cs="Times New Roman"/>
          <w:b/>
          <w:bCs/>
          <w:kern w:val="0"/>
          <w14:ligatures w14:val="none"/>
        </w:rPr>
        <w:t>shared records, transparent governance, and rule-based treasury execution</w:t>
      </w:r>
      <w:r>
        <w:rPr>
          <w:rFonts w:ascii="Times New Roman" w:hAnsi="Times New Roman" w:eastAsia="Times New Roman" w:cs="Times New Roman"/>
          <w:kern w:val="0"/>
          <w14:ligatures w14:val="none"/>
        </w:rPr>
        <w:t>—rather than as a blanket replacement for all forms of coordination.</w:t>
      </w:r>
    </w:p>
    <w:p w14:paraId="59009FDE">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3. Stakeholders and Incentives</w:t>
      </w:r>
    </w:p>
    <w:p w14:paraId="4DCF2C14">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3.1 Whitelist Members</w:t>
      </w:r>
    </w:p>
    <w:p w14:paraId="1FDAD7A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Whitelist members are recognized contributors who may submit proposals and vote. Their incentive is to influence community resource allocation toward projects they believe will improve the forum ecosystem. However, they may also exhibit non-ideal behavior, such as reciprocal voting, low-effort voting, or coalition-based support for familiar participants.</w:t>
      </w:r>
    </w:p>
    <w:p w14:paraId="298FFA16">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3.2 Proposal Authors</w:t>
      </w:r>
    </w:p>
    <w:p w14:paraId="1379DE5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Proposal authors seek funding for projects such as tool development, educational material, event organization, or contributor support initiatives. Their incentive is to obtain treasury funding, but this may encourage strategic behavior such as overstating impact, requesting excessive budgets, or submitting low-quality but well-marketed proposals.</w:t>
      </w:r>
    </w:p>
    <w:p w14:paraId="45542406">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3.3 Moderators / Committee Members</w:t>
      </w:r>
    </w:p>
    <w:p w14:paraId="47F6C14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Moderators or committee members maintain the whitelist and conduct formal screening. Their incentive is to preserve forum quality and filter spam or malicious submissions. At the same time, they possess gatekeeping power and therefore introduce a potential source of centralization.</w:t>
      </w:r>
    </w:p>
    <w:p w14:paraId="6061F5D1">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3.4 General Community Members</w:t>
      </w:r>
    </w:p>
    <w:p w14:paraId="29204D2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General community members may not directly vote in the MVP design, but they are indirect beneficiaries of better tools, better content, and a stronger forum ecosystem. Their role matters because the legitimacy of the DAO ultimately depends on whether funded projects create visible value for the broader community.</w:t>
      </w:r>
    </w:p>
    <w:p w14:paraId="573BF501">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3.5 Treasury Contract</w:t>
      </w:r>
    </w:p>
    <w:p w14:paraId="3233178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treasury contract serves as the neutral execution layer. It does not evaluate quality, but it enforces the final allocation logic and transfers funds according to codified rules. This reduces dependence on human discretion after voting closes.</w:t>
      </w:r>
    </w:p>
    <w:p w14:paraId="64B4045B">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4. Whitelist Update Rules</w:t>
      </w:r>
    </w:p>
    <w:p w14:paraId="0701B126">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whitelist is controlled by a </w:t>
      </w:r>
      <w:r>
        <w:rPr>
          <w:rFonts w:ascii="Times New Roman" w:hAnsi="Times New Roman" w:eastAsia="Times New Roman" w:cs="Times New Roman"/>
          <w:b/>
          <w:bCs/>
          <w:kern w:val="0"/>
          <w14:ligatures w14:val="none"/>
        </w:rPr>
        <w:t>multisig committee</w:t>
      </w:r>
      <w:r>
        <w:rPr>
          <w:rFonts w:ascii="Times New Roman" w:hAnsi="Times New Roman" w:eastAsia="Times New Roman" w:cs="Times New Roman"/>
          <w:kern w:val="0"/>
          <w14:ligatures w14:val="none"/>
        </w:rPr>
        <w:t xml:space="preserve"> rather than a single administrator. </w:t>
      </w:r>
    </w:p>
    <w:p w14:paraId="66F5A5B1">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whitelist is </w:t>
      </w:r>
      <w:r>
        <w:rPr>
          <w:rFonts w:ascii="Times New Roman" w:hAnsi="Times New Roman" w:eastAsia="Times New Roman" w:cs="Times New Roman"/>
          <w:b/>
          <w:bCs/>
          <w:kern w:val="0"/>
          <w14:ligatures w14:val="none"/>
        </w:rPr>
        <w:t>updatable</w:t>
      </w:r>
      <w:r>
        <w:rPr>
          <w:rFonts w:ascii="Times New Roman" w:hAnsi="Times New Roman" w:eastAsia="Times New Roman" w:cs="Times New Roman"/>
          <w:kern w:val="0"/>
          <w14:ligatures w14:val="none"/>
        </w:rPr>
        <w:t xml:space="preserve">, but updates follow procedural constraints. </w:t>
      </w:r>
    </w:p>
    <w:p w14:paraId="78E25B8D">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Membership updates may only occur </w:t>
      </w:r>
      <w:r>
        <w:rPr>
          <w:rFonts w:ascii="Times New Roman" w:hAnsi="Times New Roman" w:eastAsia="Times New Roman" w:cs="Times New Roman"/>
          <w:b/>
          <w:bCs/>
          <w:kern w:val="0"/>
          <w14:ligatures w14:val="none"/>
        </w:rPr>
        <w:t>between funding rounds</w:t>
      </w:r>
      <w:r>
        <w:rPr>
          <w:rFonts w:ascii="Times New Roman" w:hAnsi="Times New Roman" w:eastAsia="Times New Roman" w:cs="Times New Roman"/>
          <w:kern w:val="0"/>
          <w14:ligatures w14:val="none"/>
        </w:rPr>
        <w:t xml:space="preserve">, not during an active round. </w:t>
      </w:r>
    </w:p>
    <w:p w14:paraId="1EDF31C7">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Each round uses a </w:t>
      </w:r>
      <w:r>
        <w:rPr>
          <w:rFonts w:ascii="Times New Roman" w:hAnsi="Times New Roman" w:eastAsia="Times New Roman" w:cs="Times New Roman"/>
          <w:b/>
          <w:bCs/>
          <w:kern w:val="0"/>
          <w14:ligatures w14:val="none"/>
        </w:rPr>
        <w:t>voter snapshot</w:t>
      </w:r>
      <w:r>
        <w:rPr>
          <w:rFonts w:ascii="Times New Roman" w:hAnsi="Times New Roman" w:eastAsia="Times New Roman" w:cs="Times New Roman"/>
          <w:kern w:val="0"/>
          <w14:ligatures w14:val="none"/>
        </w:rPr>
        <w:t xml:space="preserve">, meaning the set of eligible voters and proposers is fixed at the start of that round. </w:t>
      </w:r>
    </w:p>
    <w:p w14:paraId="73855504">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New applicants may be added based on transparent criteria such as sustained forum contribution, nomination by existing members, or committee approval under documented rules. </w:t>
      </w:r>
    </w:p>
    <w:p w14:paraId="5D1B5D5B">
      <w:pPr>
        <w:numPr>
          <w:ilvl w:val="0"/>
          <w:numId w:val="2"/>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Removal of members also requires committee action and should be recorded with reason categories such as inactivity, abuse, or malicious conduct. </w:t>
      </w:r>
    </w:p>
    <w:p w14:paraId="7DD96344">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This design does not eliminate centralization at the membership layer, but it contains and structures it. In effect, the system accepts limited centralization in </w:t>
      </w:r>
      <w:r>
        <w:rPr>
          <w:rFonts w:ascii="Times New Roman" w:hAnsi="Times New Roman" w:eastAsia="Times New Roman" w:cs="Times New Roman"/>
          <w:b/>
          <w:bCs/>
          <w:kern w:val="0"/>
          <w14:ligatures w14:val="none"/>
        </w:rPr>
        <w:t>admission control</w:t>
      </w:r>
      <w:r>
        <w:rPr>
          <w:rFonts w:ascii="Times New Roman" w:hAnsi="Times New Roman" w:eastAsia="Times New Roman" w:cs="Times New Roman"/>
          <w:kern w:val="0"/>
          <w14:ligatures w14:val="none"/>
        </w:rPr>
        <w:t xml:space="preserve">, while reducing centralization in </w:t>
      </w:r>
      <w:r>
        <w:rPr>
          <w:rFonts w:ascii="Times New Roman" w:hAnsi="Times New Roman" w:eastAsia="Times New Roman" w:cs="Times New Roman"/>
          <w:b/>
          <w:bCs/>
          <w:kern w:val="0"/>
          <w14:ligatures w14:val="none"/>
        </w:rPr>
        <w:t>allocation and execution</w:t>
      </w:r>
      <w:r>
        <w:rPr>
          <w:rFonts w:ascii="Times New Roman" w:hAnsi="Times New Roman" w:eastAsia="Times New Roman" w:cs="Times New Roman"/>
          <w:kern w:val="0"/>
          <w14:ligatures w14:val="none"/>
        </w:rPr>
        <w:t>, which are the more trust-sensitive parts of the treasury workflow.</w:t>
      </w:r>
    </w:p>
    <w:p w14:paraId="7B2D0026">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5. Business Logic</w:t>
      </w:r>
    </w:p>
    <w:p w14:paraId="086BB109">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5.1 Governance Objective</w:t>
      </w:r>
    </w:p>
    <w:p w14:paraId="49EB7D71">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DAO is designed to govern a recurring community budget used for forum-building purposes. It allows recognized contributors to collectively decide how a limited budget should be allocated, while ensuring that final treasury execution is transparent and rule-based.</w:t>
      </w:r>
    </w:p>
    <w:p w14:paraId="6A382633">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5.2 Funding Round Structure</w:t>
      </w:r>
    </w:p>
    <w:p w14:paraId="071E5DA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governance process is organized into periodic funding rounds, for example one round every 30 days. Each round has four stages:</w:t>
      </w:r>
    </w:p>
    <w:p w14:paraId="32FC85F2">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Proposal Submission Period</w:t>
      </w:r>
      <w:r>
        <w:rPr>
          <w:rFonts w:ascii="Times New Roman" w:hAnsi="Times New Roman" w:eastAsia="Times New Roman" w:cs="Times New Roman"/>
          <w:kern w:val="0"/>
          <w14:ligatures w14:val="none"/>
        </w:rPr>
        <w:t xml:space="preserve"> — 7 days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 xml:space="preserve">Eligible whitelist members may submit one proposal each. </w:t>
      </w:r>
    </w:p>
    <w:p w14:paraId="1CAB756D">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Formal Screening Period</w:t>
      </w:r>
      <w:r>
        <w:rPr>
          <w:rFonts w:ascii="Times New Roman" w:hAnsi="Times New Roman" w:eastAsia="Times New Roman" w:cs="Times New Roman"/>
          <w:kern w:val="0"/>
          <w14:ligatures w14:val="none"/>
        </w:rPr>
        <w:t xml:space="preserve"> — 3 days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 xml:space="preserve">Moderators check completeness and compliance, but do not make substantive funding decisions. </w:t>
      </w:r>
    </w:p>
    <w:p w14:paraId="78C48846">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Voting Period</w:t>
      </w:r>
      <w:r>
        <w:rPr>
          <w:rFonts w:ascii="Times New Roman" w:hAnsi="Times New Roman" w:eastAsia="Times New Roman" w:cs="Times New Roman"/>
          <w:kern w:val="0"/>
          <w14:ligatures w14:val="none"/>
        </w:rPr>
        <w:t xml:space="preserve"> — 5 days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 xml:space="preserve">Eligible whitelist members vote on qualified proposals. </w:t>
      </w:r>
    </w:p>
    <w:p w14:paraId="26ACCFAE">
      <w:pPr>
        <w:numPr>
          <w:ilvl w:val="0"/>
          <w:numId w:val="3"/>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Execution Period</w:t>
      </w:r>
      <w:r>
        <w:rPr>
          <w:rFonts w:ascii="Times New Roman" w:hAnsi="Times New Roman" w:eastAsia="Times New Roman" w:cs="Times New Roman"/>
          <w:kern w:val="0"/>
          <w14:ligatures w14:val="none"/>
        </w:rPr>
        <w:t xml:space="preserve"> — immediately after the vote closes</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 xml:space="preserve">The system checks round validity, ranks proposals, and executes treasury payouts according to the predefined rules. </w:t>
      </w:r>
    </w:p>
    <w:p w14:paraId="4EA80F6A">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This round-based structure makes the process predictable, auditable, and easier to manage.</w:t>
      </w:r>
    </w:p>
    <w:p w14:paraId="2064411B">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5.3 Proposal Rules</w:t>
      </w:r>
    </w:p>
    <w:p w14:paraId="41227C5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Each proposal must include:</w:t>
      </w:r>
    </w:p>
    <w:p w14:paraId="630976D7">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title, </w:t>
      </w:r>
    </w:p>
    <w:p w14:paraId="7D20F064">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requested amount, </w:t>
      </w:r>
    </w:p>
    <w:p w14:paraId="73B327CF">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recipient address, </w:t>
      </w:r>
    </w:p>
    <w:p w14:paraId="3B0B173A">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description of fund usage, </w:t>
      </w:r>
    </w:p>
    <w:p w14:paraId="3386DC9F">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project explanation, </w:t>
      </w:r>
    </w:p>
    <w:p w14:paraId="57CA7D5A">
      <w:pPr>
        <w:numPr>
          <w:ilvl w:val="0"/>
          <w:numId w:val="4"/>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expected value to the community. </w:t>
      </w:r>
    </w:p>
    <w:p w14:paraId="0E37CB6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Each whitelist member may submit at most one proposal per round. In addition, no proposal may request more than 20% of the round’s total budget. These constraints reduce spam, discourage strategic fragmentation, and preserve budget diversity.</w:t>
      </w:r>
    </w:p>
    <w:p w14:paraId="74FEFA26">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6. Voting Mechanism and Anti-Collusion Design</w:t>
      </w:r>
    </w:p>
    <w:p w14:paraId="58E288A5">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The project adopts </w:t>
      </w:r>
      <w:r>
        <w:rPr>
          <w:rFonts w:ascii="Times New Roman" w:hAnsi="Times New Roman" w:eastAsia="Times New Roman" w:cs="Times New Roman"/>
          <w:b/>
          <w:bCs/>
          <w:kern w:val="0"/>
          <w14:ligatures w14:val="none"/>
        </w:rPr>
        <w:t>limited approval voting</w:t>
      </w:r>
      <w:r>
        <w:rPr>
          <w:rFonts w:ascii="Times New Roman" w:hAnsi="Times New Roman" w:eastAsia="Times New Roman" w:cs="Times New Roman"/>
          <w:kern w:val="0"/>
          <w14:ligatures w14:val="none"/>
        </w:rPr>
        <w:t xml:space="preserve">. Each eligible voter may approve multiple proposals, but only up to a fixed maximum number per round—for example, </w:t>
      </w:r>
      <w:r>
        <w:rPr>
          <w:rFonts w:ascii="Times New Roman" w:hAnsi="Times New Roman" w:eastAsia="Times New Roman" w:cs="Times New Roman"/>
          <w:b/>
          <w:bCs/>
          <w:kern w:val="0"/>
          <w14:ligatures w14:val="none"/>
        </w:rPr>
        <w:t>at most three proposals</w:t>
      </w:r>
      <w:r>
        <w:rPr>
          <w:rFonts w:ascii="Times New Roman" w:hAnsi="Times New Roman" w:eastAsia="Times New Roman" w:cs="Times New Roman"/>
          <w:kern w:val="0"/>
          <w14:ligatures w14:val="none"/>
        </w:rPr>
        <w:t>. A proposer may not vote on their own proposal.</w:t>
      </w:r>
    </w:p>
    <w:p w14:paraId="166E8C78">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6.1 No Self-Voting</w:t>
      </w:r>
    </w:p>
    <w:p w14:paraId="2A0FA75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Proposal authors cannot vote on their own proposals. This prevents the most direct form of self-serving behavior and strengthens the integrity of each proposal’s support count.</w:t>
      </w:r>
      <w:r>
        <w:rPr>
          <w:rFonts w:ascii="Times New Roman" w:hAnsi="Times New Roman" w:eastAsia="Times New Roman"/>
          <w:b w:val="0"/>
          <w:sz w:val="22"/>
        </w:rPr>
        <w:t xml:space="preserve"> Enforced in GovernanceService.castApprovalVote, covered by test vote_selfVote_isRejected.</w:t>
      </w:r>
    </w:p>
    <w:p w14:paraId="3592B275">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6.2 Delayed Reveal of Ballots</w:t>
      </w:r>
    </w:p>
    <w:p w14:paraId="57D4F8C9">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During the active voting period, individual ballots are hidden. Only aggregated results are disclosed after the voting window ends. This reduces live signaling, social pressure, and real-time coordination based on visible voting patterns.</w:t>
      </w:r>
    </w:p>
    <w:p w14:paraId="20591F66">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6.3 Limited Number of Approvals</w:t>
      </w:r>
    </w:p>
    <w:p w14:paraId="16164082">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Each voter may support only a small number of proposals, such as three. This reduces “approve-everything” behavior and forces voters to make more selective judgments. It also makes approval counts more informative by raising the opportunity cost of each approval.</w:t>
      </w:r>
    </w:p>
    <w:p w14:paraId="6EB57465">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6.4 Fixed Voter Snapshot per Round</w:t>
      </w:r>
    </w:p>
    <w:p w14:paraId="423F373C">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list of eligible voters is fixed when a funding round begins. This prevents strategic mid-round whitelist changes that could distort the vote.</w:t>
      </w:r>
    </w:p>
    <w:p w14:paraId="0E36CBE5">
      <w:pPr>
        <w:spacing w:before="100" w:beforeAutospacing="1" w:after="100" w:afterAutospacing="1" w:line="240" w:lineRule="auto"/>
        <w:outlineLvl w:val="2"/>
        <w:rPr>
          <w:rFonts w:ascii="Times New Roman" w:hAnsi="Times New Roman" w:eastAsia="Times New Roman" w:cs="Times New Roman"/>
          <w:b/>
          <w:bCs/>
          <w:kern w:val="0"/>
          <w:sz w:val="27"/>
          <w:szCs w:val="27"/>
          <w14:ligatures w14:val="none"/>
        </w:rPr>
      </w:pPr>
      <w:r>
        <w:rPr>
          <w:rFonts w:ascii="Times New Roman" w:hAnsi="Times New Roman" w:eastAsia="Times New Roman" w:cs="Times New Roman"/>
          <w:b/>
          <w:bCs/>
          <w:kern w:val="0"/>
          <w:sz w:val="27"/>
          <w:szCs w:val="27"/>
          <w14:ligatures w14:val="none"/>
        </w:rPr>
        <w:t>6.5 Quorum and Threshold</w:t>
      </w:r>
    </w:p>
    <w:p w14:paraId="6738D486">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 round is valid only if at least 5 eligible members participate. In addition, a proposal must receive at least 3 approvals to qualify for allocation consideration. These rules serve different functions:</w:t>
      </w:r>
      <w:r>
        <w:rPr>
          <w:rFonts w:ascii="Times New Roman" w:hAnsi="Times New Roman" w:eastAsia="Times New Roman"/>
          <w:b w:val="0"/>
          <w:sz w:val="22"/>
        </w:rPr>
        <w:t xml:space="preserve"> Enforced in GovernanceService.tallyRound via the constants QUORUM_UNIQUE_VOTERS = 5 and APPROVAL_THRESHOLD = 3, covered by tally_quorumNotReached_producesNoWinners_evenIfThresholdMet.</w:t>
      </w:r>
    </w:p>
    <w:p w14:paraId="0A3E0BB3">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quorum</w:t>
      </w:r>
      <w:r>
        <w:rPr>
          <w:rFonts w:ascii="Times New Roman" w:hAnsi="Times New Roman" w:eastAsia="Times New Roman" w:cs="Times New Roman"/>
          <w:kern w:val="0"/>
          <w14:ligatures w14:val="none"/>
        </w:rPr>
        <w:t xml:space="preserve"> protects the legitimacy of the round; </w:t>
      </w:r>
    </w:p>
    <w:p w14:paraId="09537E8A">
      <w:pPr>
        <w:numPr>
          <w:ilvl w:val="0"/>
          <w:numId w:val="5"/>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threshold</w:t>
      </w:r>
      <w:r>
        <w:rPr>
          <w:rFonts w:ascii="Times New Roman" w:hAnsi="Times New Roman" w:eastAsia="Times New Roman" w:cs="Times New Roman"/>
          <w:kern w:val="0"/>
          <w14:ligatures w14:val="none"/>
        </w:rPr>
        <w:t xml:space="preserve"> filters out proposals with insufficient baseline support. </w:t>
      </w:r>
    </w:p>
    <w:p w14:paraId="632A239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Taken together, these mechanisms do not guarantee perfect resistance to collusion, but they reduce the likelihood of direct self-dealing, low-effort blanket voting, and strategic manipulation through visible live voting behavior. </w:t>
      </w:r>
    </w:p>
    <w:p w14:paraId="756F25BC">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7. Ranking and Allocation Logic</w:t>
      </w:r>
    </w:p>
    <w:p w14:paraId="20C26173">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The treasury budget in each round is fixed. As a result, even if multiple proposals are individually acceptable, the system still needs a rule to prioritize among qualified proposals when total requested funding exceeds available budget. The allocation logic therefore works in two stages:</w:t>
      </w:r>
    </w:p>
    <w:p w14:paraId="5C214E45">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Minimum support screening</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 xml:space="preserve">A proposal must first meet the threshold requirement to be considered viable. </w:t>
      </w:r>
    </w:p>
    <w:p w14:paraId="04C49093">
      <w:pPr>
        <w:numPr>
          <w:ilvl w:val="0"/>
          <w:numId w:val="6"/>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Budget-priority ranking</w:t>
      </w:r>
      <w:r>
        <w:rPr>
          <w:rFonts w:ascii="Times New Roman" w:hAnsi="Times New Roman" w:eastAsia="Times New Roman" w:cs="Times New Roman"/>
          <w:kern w:val="0"/>
          <w14:ligatures w14:val="none"/>
        </w:rPr>
        <w:br w:type="textWrapping"/>
      </w:r>
      <w:r>
        <w:rPr>
          <w:rFonts w:ascii="Times New Roman" w:hAnsi="Times New Roman" w:eastAsia="Times New Roman" w:cs="Times New Roman"/>
          <w:kern w:val="0"/>
          <w14:ligatures w14:val="none"/>
        </w:rPr>
        <w:t xml:space="preserve">Qualified proposals are then ranked by total approval count, from highest to lowest. </w:t>
      </w:r>
    </w:p>
    <w:p w14:paraId="2F99D09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val="0"/>
          <w:kern w:val="0"/>
          <w:sz w:val="22"/>
          <w14:ligatures w14:val="none"/>
        </w:rPr>
        <w:t>On ties the ranking falls back to submission timestamp, then submission order, then proposal id, giving a fully deterministic ordering implemented by a Comparator chain in GovernanceService.tallyRound.</w:t>
      </w:r>
    </w:p>
    <w:p w14:paraId="55E349B8">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After ranking, the treasury allocates funds in descending order until the round budget is exhausted.</w:t>
      </w:r>
    </w:p>
    <w:p w14:paraId="0B8FFF9F">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If a proposal’s requested amount fits within the remaining budget, it is funded. </w:t>
      </w:r>
    </w:p>
    <w:p w14:paraId="2E4E4031">
      <w:pPr>
        <w:numPr>
          <w:ilvl w:val="0"/>
          <w:numId w:val="7"/>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If it exceeds the remaining budget, it is skipped in that round. </w:t>
      </w:r>
      <w:r>
        <w:rPr>
          <w:rFonts w:ascii="Times New Roman" w:hAnsi="Times New Roman" w:eastAsia="Times New Roman"/>
          <w:b w:val="0"/>
          <w:sz w:val="22"/>
        </w:rPr>
        <w:t xml:space="preserve"> The allocator is a greedy walk rather than partial funding: a skipped proposal does not block smaller lower-ranked proposals from being funded if they still fit. Covered by tally_budgetInsufficient_skipsProposalThatDoesNotFit.</w:t>
      </w:r>
    </w:p>
    <w:p w14:paraId="7D2887D7">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8. Oracle Boundary and Off-Chain Information</w:t>
      </w:r>
    </w:p>
    <w:p w14:paraId="32612F47">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Forum Builder Fund DAO does not depend on price feeds, weather APIs, or sensor inputs. However, it still relies heavily on off-chain human judgment. </w:t>
      </w:r>
    </w:p>
    <w:p w14:paraId="3837EF2B">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On-chain</w:t>
      </w:r>
    </w:p>
    <w:p w14:paraId="54DF0DAD">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proposal registration, </w:t>
      </w:r>
    </w:p>
    <w:p w14:paraId="0C1C8383">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round timing, </w:t>
      </w:r>
    </w:p>
    <w:p w14:paraId="3CEDEE04">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vote counting, </w:t>
      </w:r>
    </w:p>
    <w:p w14:paraId="0ED0D67D">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quorum and threshold checks, </w:t>
      </w:r>
    </w:p>
    <w:p w14:paraId="7CC13460">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ranking, </w:t>
      </w:r>
    </w:p>
    <w:p w14:paraId="1B034535">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treasury disbursement, </w:t>
      </w:r>
    </w:p>
    <w:p w14:paraId="6782BF2B">
      <w:pPr>
        <w:numPr>
          <w:ilvl w:val="0"/>
          <w:numId w:val="8"/>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auditability of decisions. </w:t>
      </w:r>
    </w:p>
    <w:p w14:paraId="1DECC850">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Off-chain</w:t>
      </w:r>
    </w:p>
    <w:p w14:paraId="1FCD69ED">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quality assessment, </w:t>
      </w:r>
    </w:p>
    <w:p w14:paraId="266559CE">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contribution reputation, </w:t>
      </w:r>
    </w:p>
    <w:p w14:paraId="1932E9DD">
      <w:pPr>
        <w:numPr>
          <w:ilvl w:val="0"/>
          <w:numId w:val="9"/>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t xml:space="preserve">interpretation of forum value, </w:t>
      </w:r>
    </w:p>
    <w:p w14:paraId="675629E6">
      <w:pPr>
        <w:numPr>
          <w:ilvl w:val="0"/>
          <w:numId w:val="9"/>
        </w:numPr>
        <w:spacing w:before="100" w:beforeAutospacing="1" w:after="100" w:afterAutospacing="1" w:line="240" w:lineRule="auto"/>
        <w:rPr>
          <w:rFonts w:hint="eastAsia" w:ascii="Times New Roman" w:hAnsi="Times New Roman" w:eastAsia="Times New Roman" w:cs="Times New Roman"/>
          <w:kern w:val="0"/>
          <w:lang w:val="en-US"/>
          <w14:ligatures w14:val="none"/>
        </w:rPr>
      </w:pPr>
      <w:r>
        <w:rPr>
          <w:rFonts w:ascii="Times New Roman" w:hAnsi="Times New Roman" w:eastAsia="Times New Roman" w:cs="Times New Roman"/>
          <w:kern w:val="0"/>
          <w14:ligatures w14:val="none"/>
        </w:rPr>
        <w:t xml:space="preserve">evaluation of post-funding outcomes. </w:t>
      </w:r>
    </w:p>
    <w:p w14:paraId="084B1F5B">
      <w:pPr>
        <w:spacing w:before="100" w:beforeAutospacing="1" w:after="100" w:afterAutospacing="1" w:line="240" w:lineRule="auto"/>
        <w:outlineLvl w:val="1"/>
        <w:rPr>
          <w:rFonts w:hint="eastAsia" w:ascii="Times New Roman" w:hAnsi="Times New Roman" w:eastAsia="Times New Roman" w:cs="Times New Roman"/>
          <w:b/>
          <w:bCs/>
          <w:kern w:val="0"/>
          <w:sz w:val="36"/>
          <w:szCs w:val="36"/>
          <w14:ligatures w14:val="none"/>
        </w:rPr>
      </w:pPr>
      <w:r>
        <w:rPr>
          <w:rFonts w:hint="eastAsia" w:ascii="Times New Roman" w:hAnsi="Times New Roman" w:eastAsia="Times New Roman" w:cs="Times New Roman"/>
          <w:b/>
          <w:bCs/>
          <w:kern w:val="0"/>
          <w:sz w:val="36"/>
          <w:szCs w:val="36"/>
          <w14:ligatures w14:val="none"/>
        </w:rPr>
        <w:t xml:space="preserve">9. </w:t>
      </w:r>
      <w:r>
        <w:rPr>
          <w:rFonts w:ascii="Times New Roman" w:hAnsi="Times New Roman" w:eastAsia="Times New Roman" w:cs="Times New Roman"/>
          <w:b/>
          <w:bCs/>
          <w:kern w:val="0"/>
          <w:sz w:val="36"/>
          <w:szCs w:val="36"/>
          <w14:ligatures w14:val="none"/>
        </w:rPr>
        <w:t>Funding Round Flow Diagram</w:t>
      </w:r>
    </w:p>
    <w:p w14:paraId="3ECFB520">
      <w:r>
        <w:drawing>
          <wp:inline distT="0" distB="0" distL="0" distR="0">
            <wp:extent cx="5414010" cy="7424420"/>
            <wp:effectExtent l="0" t="0" r="21590" b="17780"/>
            <wp:docPr id="159130593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05939" name="Picture 1" descr="A diagram of a flowchart&#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414010" cy="7424420"/>
                    </a:xfrm>
                    <a:prstGeom prst="rect">
                      <a:avLst/>
                    </a:prstGeom>
                  </pic:spPr>
                </pic:pic>
              </a:graphicData>
            </a:graphic>
          </wp:inline>
        </w:drawing>
      </w:r>
      <w:bookmarkStart w:id="0" w:name="_GoBack"/>
      <w:bookmarkEnd w:id="0"/>
    </w:p>
    <w:p w14:paraId="6007827A">
      <w:pPr>
        <w:numPr>
          <w:ilvl w:val="0"/>
          <w:numId w:val="10"/>
        </w:numPr>
        <w:rPr>
          <w:rFonts w:ascii="Times New Roman" w:hAnsi="Times New Roman" w:eastAsia="Times New Roman" w:cs="Times New Roman"/>
          <w:b/>
          <w:bCs/>
          <w:kern w:val="0"/>
          <w:sz w:val="36"/>
          <w:szCs w:val="36"/>
          <w14:ligatures w14:val="none"/>
        </w:rPr>
      </w:pPr>
      <w:r>
        <w:rPr>
          <w:rFonts w:ascii="Times New Roman" w:hAnsi="Times New Roman" w:eastAsia="Times New Roman" w:cs="Times New Roman"/>
          <w:b/>
          <w:bCs/>
          <w:kern w:val="0"/>
          <w:sz w:val="36"/>
          <w:szCs w:val="36"/>
          <w14:ligatures w14:val="none"/>
        </w:rPr>
        <w:t>System Architecture Diagram</w:t>
      </w:r>
    </w:p>
    <w:p w14:paraId="636136B7">
      <w:pPr>
        <w:numPr>
          <w:numId w:val="0"/>
        </w:numPr>
        <w:rPr>
          <w:rFonts w:hint="eastAsia" w:ascii="Times New Roman" w:hAnsi="Times New Roman" w:eastAsia="Times New Roman" w:cs="Times New Roman"/>
          <w:b/>
          <w:bCs/>
          <w:kern w:val="0"/>
          <w:sz w:val="36"/>
          <w:szCs w:val="36"/>
          <w14:ligatures w14:val="none"/>
        </w:rPr>
      </w:pPr>
      <w:r>
        <w:drawing>
          <wp:inline distT="0" distB="0" distL="114300" distR="114300">
            <wp:extent cx="5728970" cy="4563110"/>
            <wp:effectExtent l="0" t="0" r="1143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28970" cy="4563110"/>
                    </a:xfrm>
                    <a:prstGeom prst="rect">
                      <a:avLst/>
                    </a:prstGeom>
                    <a:noFill/>
                    <a:ln>
                      <a:noFill/>
                    </a:ln>
                  </pic:spPr>
                </pic:pic>
              </a:graphicData>
            </a:graphic>
          </wp:inline>
        </w:drawing>
      </w:r>
    </w:p>
    <w:p w14:paraId="48E01771">
      <w:r>
        <w:rPr>
          <w:rFonts w:ascii="Times New Roman" w:hAnsi="Times New Roman" w:eastAsia="Times New Roman"/>
          <w:b/>
          <w:sz w:val="36"/>
        </w:rPr>
        <w:t>11. Technical Implementation</w:t>
      </w:r>
    </w:p>
    <w:p w14:paraId="48A8940A">
      <w:r>
        <w:rPr>
          <w:rFonts w:ascii="Times New Roman" w:hAnsi="Times New Roman" w:eastAsia="Times New Roman"/>
          <w:b w:val="0"/>
          <w:sz w:val="22"/>
        </w:rPr>
        <w:t>The governance rules in sections 5–7 are implemented across three layers: a Solidity contract for on-chain payout, a Java rules engine, and a Spring Boot web layer serving a single-page frontend.</w:t>
      </w:r>
    </w:p>
    <w:p w14:paraId="1E5FAF40">
      <w:r>
        <w:rPr>
          <w:rFonts w:ascii="Times New Roman" w:hAnsi="Times New Roman" w:eastAsia="Times New Roman"/>
          <w:b/>
          <w:sz w:val="27"/>
        </w:rPr>
        <w:t>11.1 Tech Stack</w:t>
      </w:r>
    </w:p>
    <w:p w14:paraId="04BEF016">
      <w:r>
        <w:rPr>
          <w:rFonts w:ascii="Times New Roman" w:hAnsi="Times New Roman" w:eastAsia="Times New Roman"/>
          <w:b w:val="0"/>
          <w:sz w:val="22"/>
        </w:rPr>
        <w:t>Solidity 0.8.20 on Hardhat; Java 17 with Spring Boot 3; Web3j 4.12 for the chain client; static HTML/JavaScript frontend; JUnit 5 for tests.</w:t>
      </w:r>
    </w:p>
    <w:p w14:paraId="2783AEAB">
      <w:r>
        <w:rPr>
          <w:rFonts w:ascii="Times New Roman" w:hAnsi="Times New Roman" w:eastAsia="Times New Roman"/>
          <w:b/>
          <w:sz w:val="27"/>
        </w:rPr>
        <w:t>11.2 Components</w:t>
      </w:r>
    </w:p>
    <w:tbl>
      <w:tblPr>
        <w:tblStyle w:val="12"/>
        <w:tblW w:w="9360" w:type="dxa"/>
        <w:tblInd w:w="0" w:type="dxa"/>
        <w:tblLayout w:type="fixed"/>
        <w:tblCellMar>
          <w:top w:w="0" w:type="dxa"/>
          <w:left w:w="108" w:type="dxa"/>
          <w:bottom w:w="0" w:type="dxa"/>
          <w:right w:w="108" w:type="dxa"/>
        </w:tblCellMar>
      </w:tblPr>
      <w:tblGrid>
        <w:gridCol w:w="2880"/>
        <w:gridCol w:w="6480"/>
      </w:tblGrid>
      <w:tr w14:paraId="0862ED15">
        <w:tc>
          <w:tcPr>
            <w:tcW w:w="2880" w:type="dxa"/>
            <w:tcBorders>
              <w:top w:val="single" w:color="000000" w:sz="4" w:space="0"/>
              <w:left w:val="single" w:color="000000" w:sz="4" w:space="0"/>
              <w:bottom w:val="single" w:color="000000" w:sz="4" w:space="0"/>
              <w:right w:val="single" w:color="000000" w:sz="4" w:space="0"/>
            </w:tcBorders>
            <w:vAlign w:val="top"/>
          </w:tcPr>
          <w:p w14:paraId="26BDC5E9">
            <w:r>
              <w:rPr>
                <w:rFonts w:ascii="Times New Roman" w:hAnsi="Times New Roman" w:eastAsia="Times New Roman"/>
                <w:b/>
                <w:sz w:val="22"/>
              </w:rPr>
              <w:t>Component</w:t>
            </w:r>
          </w:p>
        </w:tc>
        <w:tc>
          <w:tcPr>
            <w:tcW w:w="6480" w:type="dxa"/>
            <w:tcBorders>
              <w:top w:val="single" w:color="000000" w:sz="4" w:space="0"/>
              <w:left w:val="single" w:color="000000" w:sz="4" w:space="0"/>
              <w:bottom w:val="single" w:color="000000" w:sz="4" w:space="0"/>
              <w:right w:val="single" w:color="000000" w:sz="4" w:space="0"/>
            </w:tcBorders>
            <w:vAlign w:val="top"/>
          </w:tcPr>
          <w:p w14:paraId="24532381">
            <w:r>
              <w:rPr>
                <w:rFonts w:ascii="Times New Roman" w:hAnsi="Times New Roman" w:eastAsia="Times New Roman"/>
                <w:b/>
                <w:sz w:val="22"/>
              </w:rPr>
              <w:t>Responsibility</w:t>
            </w:r>
          </w:p>
        </w:tc>
      </w:tr>
      <w:tr w14:paraId="52970768">
        <w:tc>
          <w:tcPr>
            <w:tcW w:w="2880" w:type="dxa"/>
            <w:tcBorders>
              <w:top w:val="single" w:color="000000" w:sz="4" w:space="0"/>
              <w:left w:val="single" w:color="000000" w:sz="4" w:space="0"/>
              <w:bottom w:val="single" w:color="000000" w:sz="4" w:space="0"/>
              <w:right w:val="single" w:color="000000" w:sz="4" w:space="0"/>
            </w:tcBorders>
            <w:vAlign w:val="top"/>
          </w:tcPr>
          <w:p w14:paraId="305C9089">
            <w:r>
              <w:rPr>
                <w:rFonts w:ascii="Times New Roman" w:hAnsi="Times New Roman" w:eastAsia="Times New Roman"/>
                <w:b w:val="0"/>
                <w:sz w:val="22"/>
              </w:rPr>
              <w:t>ForumTreasury.sol</w:t>
            </w:r>
          </w:p>
        </w:tc>
        <w:tc>
          <w:tcPr>
            <w:tcW w:w="6480" w:type="dxa"/>
            <w:tcBorders>
              <w:top w:val="single" w:color="000000" w:sz="4" w:space="0"/>
              <w:left w:val="single" w:color="000000" w:sz="4" w:space="0"/>
              <w:bottom w:val="single" w:color="000000" w:sz="4" w:space="0"/>
              <w:right w:val="single" w:color="000000" w:sz="4" w:space="0"/>
            </w:tcBorders>
            <w:vAlign w:val="top"/>
          </w:tcPr>
          <w:p w14:paraId="27702412">
            <w:r>
              <w:rPr>
                <w:rFonts w:ascii="Times New Roman" w:hAnsi="Times New Roman" w:eastAsia="Times New Roman"/>
                <w:b w:val="0"/>
                <w:sz w:val="22"/>
              </w:rPr>
              <w:t>Holds ETH and exposes executeTreasury(recipients, amounts) guarded by onlyAdmin.</w:t>
            </w:r>
          </w:p>
        </w:tc>
      </w:tr>
      <w:tr w14:paraId="67E7385C">
        <w:tc>
          <w:tcPr>
            <w:tcW w:w="2880" w:type="dxa"/>
            <w:tcBorders>
              <w:top w:val="single" w:color="000000" w:sz="4" w:space="0"/>
              <w:left w:val="single" w:color="000000" w:sz="4" w:space="0"/>
              <w:bottom w:val="single" w:color="000000" w:sz="4" w:space="0"/>
              <w:right w:val="single" w:color="000000" w:sz="4" w:space="0"/>
            </w:tcBorders>
            <w:vAlign w:val="top"/>
          </w:tcPr>
          <w:p w14:paraId="7375DC7A">
            <w:r>
              <w:rPr>
                <w:rFonts w:ascii="Times New Roman" w:hAnsi="Times New Roman" w:eastAsia="Times New Roman"/>
                <w:b w:val="0"/>
                <w:sz w:val="22"/>
              </w:rPr>
              <w:t>GovernanceService</w:t>
            </w:r>
          </w:p>
        </w:tc>
        <w:tc>
          <w:tcPr>
            <w:tcW w:w="6480" w:type="dxa"/>
            <w:tcBorders>
              <w:top w:val="single" w:color="000000" w:sz="4" w:space="0"/>
              <w:left w:val="single" w:color="000000" w:sz="4" w:space="0"/>
              <w:bottom w:val="single" w:color="000000" w:sz="4" w:space="0"/>
              <w:right w:val="single" w:color="000000" w:sz="4" w:space="0"/>
            </w:tcBorders>
            <w:vAlign w:val="top"/>
          </w:tcPr>
          <w:p w14:paraId="3C06620D">
            <w:r>
              <w:rPr>
                <w:rFonts w:ascii="Times New Roman" w:hAnsi="Times New Roman" w:eastAsia="Times New Roman"/>
                <w:b w:val="0"/>
                <w:sz w:val="22"/>
              </w:rPr>
              <w:t>Off-chain rules engine: whitelist, no self-vote, no duplicate approval, quorum, threshold, deterministic ranking, greedy budget allocation.</w:t>
            </w:r>
          </w:p>
        </w:tc>
      </w:tr>
      <w:tr w14:paraId="2393AF86">
        <w:tc>
          <w:tcPr>
            <w:tcW w:w="2880" w:type="dxa"/>
            <w:tcBorders>
              <w:top w:val="single" w:color="000000" w:sz="4" w:space="0"/>
              <w:left w:val="single" w:color="000000" w:sz="4" w:space="0"/>
              <w:bottom w:val="single" w:color="000000" w:sz="4" w:space="0"/>
              <w:right w:val="single" w:color="000000" w:sz="4" w:space="0"/>
            </w:tcBorders>
            <w:vAlign w:val="top"/>
          </w:tcPr>
          <w:p w14:paraId="2F27E5F0">
            <w:r>
              <w:rPr>
                <w:rFonts w:ascii="Times New Roman" w:hAnsi="Times New Roman" w:eastAsia="Times New Roman"/>
                <w:b w:val="0"/>
                <w:sz w:val="22"/>
              </w:rPr>
              <w:t>BlockchainService</w:t>
            </w:r>
          </w:p>
        </w:tc>
        <w:tc>
          <w:tcPr>
            <w:tcW w:w="6480" w:type="dxa"/>
            <w:tcBorders>
              <w:top w:val="single" w:color="000000" w:sz="4" w:space="0"/>
              <w:left w:val="single" w:color="000000" w:sz="4" w:space="0"/>
              <w:bottom w:val="single" w:color="000000" w:sz="4" w:space="0"/>
              <w:right w:val="single" w:color="000000" w:sz="4" w:space="0"/>
            </w:tcBorders>
            <w:vAlign w:val="top"/>
          </w:tcPr>
          <w:p w14:paraId="2B670CA6">
            <w:r>
              <w:rPr>
                <w:rFonts w:ascii="Times New Roman" w:hAnsi="Times New Roman" w:eastAsia="Times New Roman"/>
                <w:b w:val="0"/>
                <w:sz w:val="22"/>
              </w:rPr>
              <w:t>Web3j wrapper; converts USDC to Wei and executes the batch payout.</w:t>
            </w:r>
          </w:p>
        </w:tc>
      </w:tr>
      <w:tr w14:paraId="77386551">
        <w:tc>
          <w:tcPr>
            <w:tcW w:w="2880" w:type="dxa"/>
            <w:tcBorders>
              <w:top w:val="single" w:color="000000" w:sz="4" w:space="0"/>
              <w:left w:val="single" w:color="000000" w:sz="4" w:space="0"/>
              <w:bottom w:val="single" w:color="000000" w:sz="4" w:space="0"/>
              <w:right w:val="single" w:color="000000" w:sz="4" w:space="0"/>
            </w:tcBorders>
            <w:vAlign w:val="top"/>
          </w:tcPr>
          <w:p w14:paraId="56F1D413">
            <w:r>
              <w:rPr>
                <w:rFonts w:ascii="Times New Roman" w:hAnsi="Times New Roman" w:eastAsia="Times New Roman"/>
                <w:b w:val="0"/>
                <w:sz w:val="22"/>
              </w:rPr>
              <w:t>DemoService</w:t>
            </w:r>
          </w:p>
        </w:tc>
        <w:tc>
          <w:tcPr>
            <w:tcW w:w="6480" w:type="dxa"/>
            <w:tcBorders>
              <w:top w:val="single" w:color="000000" w:sz="4" w:space="0"/>
              <w:left w:val="single" w:color="000000" w:sz="4" w:space="0"/>
              <w:bottom w:val="single" w:color="000000" w:sz="4" w:space="0"/>
              <w:right w:val="single" w:color="000000" w:sz="4" w:space="0"/>
            </w:tcBorders>
            <w:vAlign w:val="top"/>
          </w:tcPr>
          <w:p w14:paraId="25F529F4">
            <w:r>
              <w:rPr>
                <w:rFonts w:ascii="Times New Roman" w:hAnsi="Times New Roman" w:eastAsia="Times New Roman"/>
                <w:b w:val="0"/>
                <w:sz w:val="22"/>
              </w:rPr>
              <w:t>Stateful Spring service holding the current round and member roster; exposes submit, vote, execute, reset.</w:t>
            </w:r>
          </w:p>
        </w:tc>
      </w:tr>
      <w:tr w14:paraId="60ED75FC">
        <w:tc>
          <w:tcPr>
            <w:tcW w:w="2880" w:type="dxa"/>
            <w:tcBorders>
              <w:top w:val="single" w:color="000000" w:sz="4" w:space="0"/>
              <w:left w:val="single" w:color="000000" w:sz="4" w:space="0"/>
              <w:bottom w:val="single" w:color="000000" w:sz="4" w:space="0"/>
              <w:right w:val="single" w:color="000000" w:sz="4" w:space="0"/>
            </w:tcBorders>
            <w:vAlign w:val="top"/>
          </w:tcPr>
          <w:p w14:paraId="0B5D8D78">
            <w:r>
              <w:rPr>
                <w:rFonts w:ascii="Times New Roman" w:hAnsi="Times New Roman" w:eastAsia="Times New Roman"/>
                <w:b w:val="0"/>
                <w:sz w:val="22"/>
              </w:rPr>
              <w:t>DemoController / ApiExceptionHandler</w:t>
            </w:r>
          </w:p>
        </w:tc>
        <w:tc>
          <w:tcPr>
            <w:tcW w:w="6480" w:type="dxa"/>
            <w:tcBorders>
              <w:top w:val="single" w:color="000000" w:sz="4" w:space="0"/>
              <w:left w:val="single" w:color="000000" w:sz="4" w:space="0"/>
              <w:bottom w:val="single" w:color="000000" w:sz="4" w:space="0"/>
              <w:right w:val="single" w:color="000000" w:sz="4" w:space="0"/>
            </w:tcBorders>
            <w:vAlign w:val="top"/>
          </w:tcPr>
          <w:p w14:paraId="3E07FCF9">
            <w:r>
              <w:rPr>
                <w:rFonts w:ascii="Times New Roman" w:hAnsi="Times New Roman" w:eastAsia="Times New Roman"/>
                <w:b w:val="0"/>
                <w:sz w:val="22"/>
              </w:rPr>
              <w:t>REST layer at /api/*; converts governance exceptions into HTTP 400 JSON.</w:t>
            </w:r>
          </w:p>
        </w:tc>
      </w:tr>
      <w:tr w14:paraId="6F28DBB2">
        <w:tc>
          <w:tcPr>
            <w:tcW w:w="2880" w:type="dxa"/>
            <w:tcBorders>
              <w:top w:val="single" w:color="000000" w:sz="4" w:space="0"/>
              <w:left w:val="single" w:color="000000" w:sz="4" w:space="0"/>
              <w:bottom w:val="single" w:color="000000" w:sz="4" w:space="0"/>
              <w:right w:val="single" w:color="000000" w:sz="4" w:space="0"/>
            </w:tcBorders>
            <w:vAlign w:val="top"/>
          </w:tcPr>
          <w:p w14:paraId="3F29DA88">
            <w:r>
              <w:rPr>
                <w:rFonts w:ascii="Times New Roman" w:hAnsi="Times New Roman" w:eastAsia="Times New Roman"/>
                <w:b w:val="0"/>
                <w:sz w:val="22"/>
              </w:rPr>
              <w:t>static/index.html</w:t>
            </w:r>
          </w:p>
        </w:tc>
        <w:tc>
          <w:tcPr>
            <w:tcW w:w="6480" w:type="dxa"/>
            <w:tcBorders>
              <w:top w:val="single" w:color="000000" w:sz="4" w:space="0"/>
              <w:left w:val="single" w:color="000000" w:sz="4" w:space="0"/>
              <w:bottom w:val="single" w:color="000000" w:sz="4" w:space="0"/>
              <w:right w:val="single" w:color="000000" w:sz="4" w:space="0"/>
            </w:tcBorders>
            <w:vAlign w:val="top"/>
          </w:tcPr>
          <w:p w14:paraId="0BCB03AB">
            <w:r>
              <w:rPr>
                <w:rFonts w:ascii="Times New Roman" w:hAnsi="Times New Roman" w:eastAsia="Times New Roman"/>
                <w:b w:val="0"/>
                <w:sz w:val="22"/>
              </w:rPr>
              <w:t>Vanilla-JS single-page frontend; renders members, proposals, tally and treasury; shows rejections as toasts.</w:t>
            </w:r>
          </w:p>
        </w:tc>
      </w:tr>
    </w:tbl>
    <w:p w14:paraId="216467FE"/>
    <w:p w14:paraId="484C0628">
      <w:r>
        <w:rPr>
          <w:rFonts w:ascii="Times New Roman" w:hAnsi="Times New Roman" w:eastAsia="Times New Roman"/>
          <w:b/>
          <w:sz w:val="27"/>
        </w:rPr>
        <w:t>11.3 Rule to Code Mapping</w:t>
      </w:r>
    </w:p>
    <w:tbl>
      <w:tblPr>
        <w:tblStyle w:val="12"/>
        <w:tblW w:w="9360" w:type="dxa"/>
        <w:tblInd w:w="0" w:type="dxa"/>
        <w:tblLayout w:type="fixed"/>
        <w:tblCellMar>
          <w:top w:w="0" w:type="dxa"/>
          <w:left w:w="108" w:type="dxa"/>
          <w:bottom w:w="0" w:type="dxa"/>
          <w:right w:w="108" w:type="dxa"/>
        </w:tblCellMar>
      </w:tblPr>
      <w:tblGrid>
        <w:gridCol w:w="2304"/>
        <w:gridCol w:w="3312"/>
        <w:gridCol w:w="3744"/>
      </w:tblGrid>
      <w:tr w14:paraId="3FB9F06F">
        <w:tc>
          <w:tcPr>
            <w:tcW w:w="2304" w:type="dxa"/>
            <w:tcBorders>
              <w:top w:val="single" w:color="000000" w:sz="4" w:space="0"/>
              <w:left w:val="single" w:color="000000" w:sz="4" w:space="0"/>
              <w:bottom w:val="single" w:color="000000" w:sz="4" w:space="0"/>
              <w:right w:val="single" w:color="000000" w:sz="4" w:space="0"/>
            </w:tcBorders>
            <w:vAlign w:val="top"/>
          </w:tcPr>
          <w:p w14:paraId="6D013D6F">
            <w:r>
              <w:rPr>
                <w:rFonts w:ascii="Times New Roman" w:hAnsi="Times New Roman" w:eastAsia="Times New Roman"/>
                <w:b/>
                <w:sz w:val="22"/>
              </w:rPr>
              <w:t>Rule</w:t>
            </w:r>
          </w:p>
        </w:tc>
        <w:tc>
          <w:tcPr>
            <w:tcW w:w="3312" w:type="dxa"/>
            <w:tcBorders>
              <w:top w:val="single" w:color="000000" w:sz="4" w:space="0"/>
              <w:left w:val="single" w:color="000000" w:sz="4" w:space="0"/>
              <w:bottom w:val="single" w:color="000000" w:sz="4" w:space="0"/>
              <w:right w:val="single" w:color="000000" w:sz="4" w:space="0"/>
            </w:tcBorders>
            <w:vAlign w:val="top"/>
          </w:tcPr>
          <w:p w14:paraId="39190D9B">
            <w:r>
              <w:rPr>
                <w:rFonts w:ascii="Times New Roman" w:hAnsi="Times New Roman" w:eastAsia="Times New Roman"/>
                <w:b/>
                <w:sz w:val="22"/>
              </w:rPr>
              <w:t>Enforcement</w:t>
            </w:r>
          </w:p>
        </w:tc>
        <w:tc>
          <w:tcPr>
            <w:tcW w:w="3744" w:type="dxa"/>
            <w:tcBorders>
              <w:top w:val="single" w:color="000000" w:sz="4" w:space="0"/>
              <w:left w:val="single" w:color="000000" w:sz="4" w:space="0"/>
              <w:bottom w:val="single" w:color="000000" w:sz="4" w:space="0"/>
              <w:right w:val="single" w:color="000000" w:sz="4" w:space="0"/>
            </w:tcBorders>
            <w:vAlign w:val="top"/>
          </w:tcPr>
          <w:p w14:paraId="5C4E9869">
            <w:r>
              <w:rPr>
                <w:rFonts w:ascii="Times New Roman" w:hAnsi="Times New Roman" w:eastAsia="Times New Roman"/>
                <w:b/>
                <w:sz w:val="22"/>
              </w:rPr>
              <w:t>Test</w:t>
            </w:r>
          </w:p>
        </w:tc>
      </w:tr>
      <w:tr w14:paraId="2AC48B14">
        <w:tc>
          <w:tcPr>
            <w:tcW w:w="2304" w:type="dxa"/>
            <w:tcBorders>
              <w:top w:val="single" w:color="000000" w:sz="4" w:space="0"/>
              <w:left w:val="single" w:color="000000" w:sz="4" w:space="0"/>
              <w:bottom w:val="single" w:color="000000" w:sz="4" w:space="0"/>
              <w:right w:val="single" w:color="000000" w:sz="4" w:space="0"/>
            </w:tcBorders>
            <w:vAlign w:val="top"/>
          </w:tcPr>
          <w:p w14:paraId="6A789A9A">
            <w:r>
              <w:rPr>
                <w:rFonts w:ascii="Times New Roman" w:hAnsi="Times New Roman" w:eastAsia="Times New Roman"/>
                <w:b w:val="0"/>
                <w:sz w:val="22"/>
              </w:rPr>
              <w:t>Submitter whitelist</w:t>
            </w:r>
          </w:p>
        </w:tc>
        <w:tc>
          <w:tcPr>
            <w:tcW w:w="3312" w:type="dxa"/>
            <w:tcBorders>
              <w:top w:val="single" w:color="000000" w:sz="4" w:space="0"/>
              <w:left w:val="single" w:color="000000" w:sz="4" w:space="0"/>
              <w:bottom w:val="single" w:color="000000" w:sz="4" w:space="0"/>
              <w:right w:val="single" w:color="000000" w:sz="4" w:space="0"/>
            </w:tcBorders>
            <w:vAlign w:val="top"/>
          </w:tcPr>
          <w:p w14:paraId="3D168C4F">
            <w:r>
              <w:rPr>
                <w:rFonts w:ascii="Times New Roman" w:hAnsi="Times New Roman" w:eastAsia="Times New Roman"/>
                <w:b w:val="0"/>
                <w:sz w:val="22"/>
              </w:rPr>
              <w:t>GovernanceService.submitProposal</w:t>
            </w:r>
          </w:p>
        </w:tc>
        <w:tc>
          <w:tcPr>
            <w:tcW w:w="3744" w:type="dxa"/>
            <w:tcBorders>
              <w:top w:val="single" w:color="000000" w:sz="4" w:space="0"/>
              <w:left w:val="single" w:color="000000" w:sz="4" w:space="0"/>
              <w:bottom w:val="single" w:color="000000" w:sz="4" w:space="0"/>
              <w:right w:val="single" w:color="000000" w:sz="4" w:space="0"/>
            </w:tcBorders>
            <w:vAlign w:val="top"/>
          </w:tcPr>
          <w:p w14:paraId="6EFAE6C5">
            <w:r>
              <w:rPr>
                <w:rFonts w:ascii="Times New Roman" w:hAnsi="Times New Roman" w:eastAsia="Times New Roman"/>
                <w:b w:val="0"/>
                <w:sz w:val="22"/>
              </w:rPr>
              <w:t>submit_nonWhitelistedSubmitter_isRejected</w:t>
            </w:r>
          </w:p>
        </w:tc>
      </w:tr>
      <w:tr w14:paraId="40C47079">
        <w:tc>
          <w:tcPr>
            <w:tcW w:w="2304" w:type="dxa"/>
            <w:tcBorders>
              <w:top w:val="single" w:color="000000" w:sz="4" w:space="0"/>
              <w:left w:val="single" w:color="000000" w:sz="4" w:space="0"/>
              <w:bottom w:val="single" w:color="000000" w:sz="4" w:space="0"/>
              <w:right w:val="single" w:color="000000" w:sz="4" w:space="0"/>
            </w:tcBorders>
            <w:vAlign w:val="top"/>
          </w:tcPr>
          <w:p w14:paraId="59DE1D22">
            <w:r>
              <w:rPr>
                <w:rFonts w:ascii="Times New Roman" w:hAnsi="Times New Roman" w:eastAsia="Times New Roman"/>
                <w:b w:val="0"/>
                <w:sz w:val="22"/>
              </w:rPr>
              <w:t>Voter whitelist</w:t>
            </w:r>
          </w:p>
        </w:tc>
        <w:tc>
          <w:tcPr>
            <w:tcW w:w="3312" w:type="dxa"/>
            <w:tcBorders>
              <w:top w:val="single" w:color="000000" w:sz="4" w:space="0"/>
              <w:left w:val="single" w:color="000000" w:sz="4" w:space="0"/>
              <w:bottom w:val="single" w:color="000000" w:sz="4" w:space="0"/>
              <w:right w:val="single" w:color="000000" w:sz="4" w:space="0"/>
            </w:tcBorders>
            <w:vAlign w:val="top"/>
          </w:tcPr>
          <w:p w14:paraId="23B1FB50">
            <w:r>
              <w:rPr>
                <w:rFonts w:ascii="Times New Roman" w:hAnsi="Times New Roman" w:eastAsia="Times New Roman"/>
                <w:b w:val="0"/>
                <w:sz w:val="22"/>
              </w:rPr>
              <w:t>GovernanceService.castApprovalVote</w:t>
            </w:r>
          </w:p>
        </w:tc>
        <w:tc>
          <w:tcPr>
            <w:tcW w:w="3744" w:type="dxa"/>
            <w:tcBorders>
              <w:top w:val="single" w:color="000000" w:sz="4" w:space="0"/>
              <w:left w:val="single" w:color="000000" w:sz="4" w:space="0"/>
              <w:bottom w:val="single" w:color="000000" w:sz="4" w:space="0"/>
              <w:right w:val="single" w:color="000000" w:sz="4" w:space="0"/>
            </w:tcBorders>
            <w:vAlign w:val="top"/>
          </w:tcPr>
          <w:p w14:paraId="248E9C35">
            <w:r>
              <w:rPr>
                <w:rFonts w:ascii="Times New Roman" w:hAnsi="Times New Roman" w:eastAsia="Times New Roman"/>
                <w:b w:val="0"/>
                <w:sz w:val="22"/>
              </w:rPr>
              <w:t>vote_nonWhitelistedVoter_isRejected</w:t>
            </w:r>
          </w:p>
        </w:tc>
      </w:tr>
      <w:tr w14:paraId="0FF9C0FA">
        <w:tc>
          <w:tcPr>
            <w:tcW w:w="2304" w:type="dxa"/>
            <w:tcBorders>
              <w:top w:val="single" w:color="000000" w:sz="4" w:space="0"/>
              <w:left w:val="single" w:color="000000" w:sz="4" w:space="0"/>
              <w:bottom w:val="single" w:color="000000" w:sz="4" w:space="0"/>
              <w:right w:val="single" w:color="000000" w:sz="4" w:space="0"/>
            </w:tcBorders>
            <w:vAlign w:val="top"/>
          </w:tcPr>
          <w:p w14:paraId="2F735C6D">
            <w:r>
              <w:rPr>
                <w:rFonts w:ascii="Times New Roman" w:hAnsi="Times New Roman" w:eastAsia="Times New Roman"/>
                <w:b w:val="0"/>
                <w:sz w:val="22"/>
              </w:rPr>
              <w:t>No self-vote</w:t>
            </w:r>
          </w:p>
        </w:tc>
        <w:tc>
          <w:tcPr>
            <w:tcW w:w="3312" w:type="dxa"/>
            <w:tcBorders>
              <w:top w:val="single" w:color="000000" w:sz="4" w:space="0"/>
              <w:left w:val="single" w:color="000000" w:sz="4" w:space="0"/>
              <w:bottom w:val="single" w:color="000000" w:sz="4" w:space="0"/>
              <w:right w:val="single" w:color="000000" w:sz="4" w:space="0"/>
            </w:tcBorders>
            <w:vAlign w:val="top"/>
          </w:tcPr>
          <w:p w14:paraId="0A7ED3B0">
            <w:r>
              <w:rPr>
                <w:rFonts w:ascii="Times New Roman" w:hAnsi="Times New Roman" w:eastAsia="Times New Roman"/>
                <w:b w:val="0"/>
                <w:sz w:val="22"/>
              </w:rPr>
              <w:t>GovernanceService.castApprovalVote</w:t>
            </w:r>
          </w:p>
        </w:tc>
        <w:tc>
          <w:tcPr>
            <w:tcW w:w="3744" w:type="dxa"/>
            <w:tcBorders>
              <w:top w:val="single" w:color="000000" w:sz="4" w:space="0"/>
              <w:left w:val="single" w:color="000000" w:sz="4" w:space="0"/>
              <w:bottom w:val="single" w:color="000000" w:sz="4" w:space="0"/>
              <w:right w:val="single" w:color="000000" w:sz="4" w:space="0"/>
            </w:tcBorders>
            <w:vAlign w:val="top"/>
          </w:tcPr>
          <w:p w14:paraId="775E8F5B">
            <w:r>
              <w:rPr>
                <w:rFonts w:ascii="Times New Roman" w:hAnsi="Times New Roman" w:eastAsia="Times New Roman"/>
                <w:b w:val="0"/>
                <w:sz w:val="22"/>
              </w:rPr>
              <w:t>vote_selfVote_isRejected</w:t>
            </w:r>
          </w:p>
        </w:tc>
      </w:tr>
      <w:tr w14:paraId="3B770247">
        <w:tc>
          <w:tcPr>
            <w:tcW w:w="2304" w:type="dxa"/>
            <w:tcBorders>
              <w:top w:val="single" w:color="000000" w:sz="4" w:space="0"/>
              <w:left w:val="single" w:color="000000" w:sz="4" w:space="0"/>
              <w:bottom w:val="single" w:color="000000" w:sz="4" w:space="0"/>
              <w:right w:val="single" w:color="000000" w:sz="4" w:space="0"/>
            </w:tcBorders>
            <w:vAlign w:val="top"/>
          </w:tcPr>
          <w:p w14:paraId="1C6255FF">
            <w:r>
              <w:rPr>
                <w:rFonts w:ascii="Times New Roman" w:hAnsi="Times New Roman" w:eastAsia="Times New Roman"/>
                <w:b w:val="0"/>
                <w:sz w:val="22"/>
              </w:rPr>
              <w:t>No duplicate approval</w:t>
            </w:r>
          </w:p>
        </w:tc>
        <w:tc>
          <w:tcPr>
            <w:tcW w:w="3312" w:type="dxa"/>
            <w:tcBorders>
              <w:top w:val="single" w:color="000000" w:sz="4" w:space="0"/>
              <w:left w:val="single" w:color="000000" w:sz="4" w:space="0"/>
              <w:bottom w:val="single" w:color="000000" w:sz="4" w:space="0"/>
              <w:right w:val="single" w:color="000000" w:sz="4" w:space="0"/>
            </w:tcBorders>
            <w:vAlign w:val="top"/>
          </w:tcPr>
          <w:p w14:paraId="2C920E8A">
            <w:r>
              <w:rPr>
                <w:rFonts w:ascii="Times New Roman" w:hAnsi="Times New Roman" w:eastAsia="Times New Roman"/>
                <w:b w:val="0"/>
                <w:sz w:val="22"/>
              </w:rPr>
              <w:t>Proposal.addApprovalVoterAddress</w:t>
            </w:r>
          </w:p>
        </w:tc>
        <w:tc>
          <w:tcPr>
            <w:tcW w:w="3744" w:type="dxa"/>
            <w:tcBorders>
              <w:top w:val="single" w:color="000000" w:sz="4" w:space="0"/>
              <w:left w:val="single" w:color="000000" w:sz="4" w:space="0"/>
              <w:bottom w:val="single" w:color="000000" w:sz="4" w:space="0"/>
              <w:right w:val="single" w:color="000000" w:sz="4" w:space="0"/>
            </w:tcBorders>
            <w:vAlign w:val="top"/>
          </w:tcPr>
          <w:p w14:paraId="751ECDE6">
            <w:r>
              <w:rPr>
                <w:rFonts w:ascii="Times New Roman" w:hAnsi="Times New Roman" w:eastAsia="Times New Roman"/>
                <w:b w:val="0"/>
                <w:sz w:val="22"/>
              </w:rPr>
              <w:t>vote_duplicateApproval_isRejected</w:t>
            </w:r>
          </w:p>
        </w:tc>
      </w:tr>
      <w:tr w14:paraId="77E5818D">
        <w:tc>
          <w:tcPr>
            <w:tcW w:w="2304" w:type="dxa"/>
            <w:tcBorders>
              <w:top w:val="single" w:color="000000" w:sz="4" w:space="0"/>
              <w:left w:val="single" w:color="000000" w:sz="4" w:space="0"/>
              <w:bottom w:val="single" w:color="000000" w:sz="4" w:space="0"/>
              <w:right w:val="single" w:color="000000" w:sz="4" w:space="0"/>
            </w:tcBorders>
            <w:vAlign w:val="top"/>
          </w:tcPr>
          <w:p w14:paraId="6CB06581">
            <w:r>
              <w:rPr>
                <w:rFonts w:ascii="Times New Roman" w:hAnsi="Times New Roman" w:eastAsia="Times New Roman"/>
                <w:b w:val="0"/>
                <w:sz w:val="22"/>
              </w:rPr>
              <w:t>Quorum ≥ 5</w:t>
            </w:r>
          </w:p>
        </w:tc>
        <w:tc>
          <w:tcPr>
            <w:tcW w:w="3312" w:type="dxa"/>
            <w:tcBorders>
              <w:top w:val="single" w:color="000000" w:sz="4" w:space="0"/>
              <w:left w:val="single" w:color="000000" w:sz="4" w:space="0"/>
              <w:bottom w:val="single" w:color="000000" w:sz="4" w:space="0"/>
              <w:right w:val="single" w:color="000000" w:sz="4" w:space="0"/>
            </w:tcBorders>
            <w:vAlign w:val="top"/>
          </w:tcPr>
          <w:p w14:paraId="3E48738B">
            <w:r>
              <w:rPr>
                <w:rFonts w:ascii="Times New Roman" w:hAnsi="Times New Roman" w:eastAsia="Times New Roman"/>
                <w:b w:val="0"/>
                <w:sz w:val="22"/>
              </w:rPr>
              <w:t>GovernanceService.tallyRound</w:t>
            </w:r>
          </w:p>
        </w:tc>
        <w:tc>
          <w:tcPr>
            <w:tcW w:w="3744" w:type="dxa"/>
            <w:tcBorders>
              <w:top w:val="single" w:color="000000" w:sz="4" w:space="0"/>
              <w:left w:val="single" w:color="000000" w:sz="4" w:space="0"/>
              <w:bottom w:val="single" w:color="000000" w:sz="4" w:space="0"/>
              <w:right w:val="single" w:color="000000" w:sz="4" w:space="0"/>
            </w:tcBorders>
            <w:vAlign w:val="top"/>
          </w:tcPr>
          <w:p w14:paraId="44A2B4CC">
            <w:r>
              <w:rPr>
                <w:rFonts w:ascii="Times New Roman" w:hAnsi="Times New Roman" w:eastAsia="Times New Roman"/>
                <w:b w:val="0"/>
                <w:sz w:val="22"/>
              </w:rPr>
              <w:t>tally_quorumNotReached_producesNoWinners_evenIfThresholdMet</w:t>
            </w:r>
          </w:p>
        </w:tc>
      </w:tr>
      <w:tr w14:paraId="74B30438">
        <w:tc>
          <w:tcPr>
            <w:tcW w:w="2304" w:type="dxa"/>
            <w:tcBorders>
              <w:top w:val="single" w:color="000000" w:sz="4" w:space="0"/>
              <w:left w:val="single" w:color="000000" w:sz="4" w:space="0"/>
              <w:bottom w:val="single" w:color="000000" w:sz="4" w:space="0"/>
              <w:right w:val="single" w:color="000000" w:sz="4" w:space="0"/>
            </w:tcBorders>
            <w:vAlign w:val="top"/>
          </w:tcPr>
          <w:p w14:paraId="21708A43">
            <w:r>
              <w:rPr>
                <w:rFonts w:ascii="Times New Roman" w:hAnsi="Times New Roman" w:eastAsia="Times New Roman"/>
                <w:b w:val="0"/>
                <w:sz w:val="22"/>
              </w:rPr>
              <w:t>Threshold ≥ 3</w:t>
            </w:r>
          </w:p>
        </w:tc>
        <w:tc>
          <w:tcPr>
            <w:tcW w:w="3312" w:type="dxa"/>
            <w:tcBorders>
              <w:top w:val="single" w:color="000000" w:sz="4" w:space="0"/>
              <w:left w:val="single" w:color="000000" w:sz="4" w:space="0"/>
              <w:bottom w:val="single" w:color="000000" w:sz="4" w:space="0"/>
              <w:right w:val="single" w:color="000000" w:sz="4" w:space="0"/>
            </w:tcBorders>
            <w:vAlign w:val="top"/>
          </w:tcPr>
          <w:p w14:paraId="4B69B270">
            <w:r>
              <w:rPr>
                <w:rFonts w:ascii="Times New Roman" w:hAnsi="Times New Roman" w:eastAsia="Times New Roman"/>
                <w:b w:val="0"/>
                <w:sz w:val="22"/>
              </w:rPr>
              <w:t>GovernanceService.tallyRound</w:t>
            </w:r>
          </w:p>
        </w:tc>
        <w:tc>
          <w:tcPr>
            <w:tcW w:w="3744" w:type="dxa"/>
            <w:tcBorders>
              <w:top w:val="single" w:color="000000" w:sz="4" w:space="0"/>
              <w:left w:val="single" w:color="000000" w:sz="4" w:space="0"/>
              <w:bottom w:val="single" w:color="000000" w:sz="4" w:space="0"/>
              <w:right w:val="single" w:color="000000" w:sz="4" w:space="0"/>
            </w:tcBorders>
            <w:vAlign w:val="top"/>
          </w:tcPr>
          <w:p w14:paraId="573AEB15">
            <w:r>
              <w:rPr>
                <w:rFonts w:ascii="Times New Roman" w:hAnsi="Times New Roman" w:eastAsia="Times New Roman"/>
                <w:b w:val="0"/>
                <w:sz w:val="22"/>
              </w:rPr>
              <w:t>tallyRound_quorumNotReached_noWinners</w:t>
            </w:r>
          </w:p>
        </w:tc>
      </w:tr>
      <w:tr w14:paraId="2DB3383D">
        <w:tc>
          <w:tcPr>
            <w:tcW w:w="2304" w:type="dxa"/>
            <w:tcBorders>
              <w:top w:val="single" w:color="000000" w:sz="4" w:space="0"/>
              <w:left w:val="single" w:color="000000" w:sz="4" w:space="0"/>
              <w:bottom w:val="single" w:color="000000" w:sz="4" w:space="0"/>
              <w:right w:val="single" w:color="000000" w:sz="4" w:space="0"/>
            </w:tcBorders>
            <w:vAlign w:val="top"/>
          </w:tcPr>
          <w:p w14:paraId="716D3ECE">
            <w:r>
              <w:rPr>
                <w:rFonts w:ascii="Times New Roman" w:hAnsi="Times New Roman" w:eastAsia="Times New Roman"/>
                <w:b w:val="0"/>
                <w:sz w:val="22"/>
              </w:rPr>
              <w:t>Ranking + tie-break</w:t>
            </w:r>
          </w:p>
        </w:tc>
        <w:tc>
          <w:tcPr>
            <w:tcW w:w="3312" w:type="dxa"/>
            <w:tcBorders>
              <w:top w:val="single" w:color="000000" w:sz="4" w:space="0"/>
              <w:left w:val="single" w:color="000000" w:sz="4" w:space="0"/>
              <w:bottom w:val="single" w:color="000000" w:sz="4" w:space="0"/>
              <w:right w:val="single" w:color="000000" w:sz="4" w:space="0"/>
            </w:tcBorders>
            <w:vAlign w:val="top"/>
          </w:tcPr>
          <w:p w14:paraId="0E7CFAD9">
            <w:r>
              <w:rPr>
                <w:rFonts w:ascii="Times New Roman" w:hAnsi="Times New Roman" w:eastAsia="Times New Roman"/>
                <w:b w:val="0"/>
                <w:sz w:val="22"/>
              </w:rPr>
              <w:t>GovernanceService.tallyRound</w:t>
            </w:r>
          </w:p>
        </w:tc>
        <w:tc>
          <w:tcPr>
            <w:tcW w:w="3744" w:type="dxa"/>
            <w:tcBorders>
              <w:top w:val="single" w:color="000000" w:sz="4" w:space="0"/>
              <w:left w:val="single" w:color="000000" w:sz="4" w:space="0"/>
              <w:bottom w:val="single" w:color="000000" w:sz="4" w:space="0"/>
              <w:right w:val="single" w:color="000000" w:sz="4" w:space="0"/>
            </w:tcBorders>
            <w:vAlign w:val="top"/>
          </w:tcPr>
          <w:p w14:paraId="03269422">
            <w:r>
              <w:rPr>
                <w:rFonts w:ascii="Times New Roman" w:hAnsi="Times New Roman" w:eastAsia="Times New Roman"/>
                <w:b w:val="0"/>
                <w:sz w:val="22"/>
              </w:rPr>
              <w:t>tallyRound_sortAndBudgetCutoff</w:t>
            </w:r>
          </w:p>
        </w:tc>
      </w:tr>
      <w:tr w14:paraId="39CDA44B">
        <w:tc>
          <w:tcPr>
            <w:tcW w:w="2304" w:type="dxa"/>
            <w:tcBorders>
              <w:top w:val="single" w:color="000000" w:sz="4" w:space="0"/>
              <w:left w:val="single" w:color="000000" w:sz="4" w:space="0"/>
              <w:bottom w:val="single" w:color="000000" w:sz="4" w:space="0"/>
              <w:right w:val="single" w:color="000000" w:sz="4" w:space="0"/>
            </w:tcBorders>
            <w:vAlign w:val="top"/>
          </w:tcPr>
          <w:p w14:paraId="5E0FB630">
            <w:r>
              <w:rPr>
                <w:rFonts w:ascii="Times New Roman" w:hAnsi="Times New Roman" w:eastAsia="Times New Roman"/>
                <w:b w:val="0"/>
                <w:sz w:val="22"/>
              </w:rPr>
              <w:t>Greedy budget skip</w:t>
            </w:r>
          </w:p>
        </w:tc>
        <w:tc>
          <w:tcPr>
            <w:tcW w:w="3312" w:type="dxa"/>
            <w:tcBorders>
              <w:top w:val="single" w:color="000000" w:sz="4" w:space="0"/>
              <w:left w:val="single" w:color="000000" w:sz="4" w:space="0"/>
              <w:bottom w:val="single" w:color="000000" w:sz="4" w:space="0"/>
              <w:right w:val="single" w:color="000000" w:sz="4" w:space="0"/>
            </w:tcBorders>
            <w:vAlign w:val="top"/>
          </w:tcPr>
          <w:p w14:paraId="2B862A41">
            <w:r>
              <w:rPr>
                <w:rFonts w:ascii="Times New Roman" w:hAnsi="Times New Roman" w:eastAsia="Times New Roman"/>
                <w:b w:val="0"/>
                <w:sz w:val="22"/>
              </w:rPr>
              <w:t>GovernanceService.tallyRound</w:t>
            </w:r>
          </w:p>
        </w:tc>
        <w:tc>
          <w:tcPr>
            <w:tcW w:w="3744" w:type="dxa"/>
            <w:tcBorders>
              <w:top w:val="single" w:color="000000" w:sz="4" w:space="0"/>
              <w:left w:val="single" w:color="000000" w:sz="4" w:space="0"/>
              <w:bottom w:val="single" w:color="000000" w:sz="4" w:space="0"/>
              <w:right w:val="single" w:color="000000" w:sz="4" w:space="0"/>
            </w:tcBorders>
            <w:vAlign w:val="top"/>
          </w:tcPr>
          <w:p w14:paraId="6D904A77">
            <w:r>
              <w:rPr>
                <w:rFonts w:ascii="Times New Roman" w:hAnsi="Times New Roman" w:eastAsia="Times New Roman"/>
                <w:b w:val="0"/>
                <w:sz w:val="22"/>
              </w:rPr>
              <w:t>tally_budgetInsufficient_skipsProposalThatDoesNotFit</w:t>
            </w:r>
          </w:p>
        </w:tc>
      </w:tr>
    </w:tbl>
    <w:p w14:paraId="56BFB6E7"/>
    <w:p w14:paraId="4DB766CF">
      <w:r>
        <w:rPr>
          <w:rFonts w:ascii="Times New Roman" w:hAnsi="Times New Roman" w:eastAsia="Times New Roman"/>
          <w:b/>
          <w:sz w:val="27"/>
        </w:rPr>
        <w:t>11.4 On-Chain vs Off-Chain Boundary</w:t>
      </w:r>
    </w:p>
    <w:p w14:paraId="2BF6AA25">
      <w:r>
        <w:rPr>
          <w:rFonts w:ascii="Times New Roman" w:hAnsi="Times New Roman" w:eastAsia="Times New Roman"/>
          <w:b w:val="0"/>
          <w:sz w:val="22"/>
        </w:rPr>
        <w:t>All governance evaluation runs off-chain in Java. The smart contract is invoked once per round with the pre-computed winner list, so the on-chain trusted computing base only has to enforce onlyAdmin and perform the batch transfer. Changing a governance rule does not require redeploying the contract.</w:t>
      </w:r>
    </w:p>
    <w:p w14:paraId="0AF7CD5A">
      <w:r>
        <w:rPr>
          <w:rFonts w:ascii="Times New Roman" w:hAnsi="Times New Roman" w:eastAsia="Times New Roman"/>
          <w:b/>
          <w:sz w:val="36"/>
        </w:rPr>
        <w:t>12. Design Rationale</w:t>
      </w:r>
    </w:p>
    <w:p w14:paraId="518934F1">
      <w:r>
        <w:rPr>
          <w:rFonts w:ascii="Times New Roman" w:hAnsi="Times New Roman" w:eastAsia="Times New Roman"/>
          <w:b/>
          <w:sz w:val="27"/>
        </w:rPr>
        <w:t>12.1 Off-chain governance, on-chain execution</w:t>
      </w:r>
    </w:p>
    <w:p w14:paraId="4AC680B4">
      <w:r>
        <w:rPr>
          <w:rFonts w:ascii="Times New Roman" w:hAnsi="Times New Roman" w:eastAsia="Times New Roman"/>
          <w:b w:val="0"/>
          <w:sz w:val="22"/>
        </w:rPr>
        <w:t>All rules run off-chain in Java; the contract only executes the final payout. This mirrors the Snapshot + Gnosis Safe pattern: voting is free, rules can iterate without redeployment, and the on-chain trusted base stays minimal. Acceptable here because membership is already a whitelist concept.</w:t>
      </w:r>
    </w:p>
    <w:p w14:paraId="43E259C1">
      <w:r>
        <w:rPr>
          <w:rFonts w:ascii="Times New Roman" w:hAnsi="Times New Roman" w:eastAsia="Times New Roman"/>
          <w:b/>
          <w:sz w:val="27"/>
        </w:rPr>
        <w:t>12.2 Admin-gated treasury instead of per-member signatures</w:t>
      </w:r>
    </w:p>
    <w:p w14:paraId="207A8F78">
      <w:r>
        <w:rPr>
          <w:rFonts w:ascii="Times New Roman" w:hAnsi="Times New Roman" w:eastAsia="Times New Roman"/>
          <w:b w:val="0"/>
          <w:sz w:val="22"/>
        </w:rPr>
        <w:t>ForumTreasury is guarded by onlyAdmin rather than requiring every approver to sign on-chain. Members are identified off-chain by whitelist, so asking them to also sign on-chain would duplicate identity for no added integrity. In production the admin key would be a committee multisig.</w:t>
      </w:r>
    </w:p>
    <w:p w14:paraId="290B4FD1">
      <w:r>
        <w:rPr>
          <w:rFonts w:ascii="Times New Roman" w:hAnsi="Times New Roman" w:eastAsia="Times New Roman"/>
          <w:b/>
          <w:sz w:val="27"/>
        </w:rPr>
        <w:t>12.3 In-memory state instead of a database</w:t>
      </w:r>
    </w:p>
    <w:p w14:paraId="4699C0CF">
      <w:r>
        <w:rPr>
          <w:rFonts w:ascii="Times New Roman" w:hAnsi="Times New Roman" w:eastAsia="Times New Roman"/>
          <w:b w:val="0"/>
          <w:sz w:val="22"/>
        </w:rPr>
        <w:t>A funding round is a short single-writer workflow, so the current round lives in a Spring singleton. Reset is literally new GovernanceService(...). Introducing a database at MVP stage would add schema and migration work without improving governance semantics.</w:t>
      </w:r>
    </w:p>
    <w:p w14:paraId="5020E58C">
      <w:r>
        <w:rPr>
          <w:rFonts w:ascii="Times New Roman" w:hAnsi="Times New Roman" w:eastAsia="Times New Roman"/>
          <w:b/>
          <w:sz w:val="27"/>
        </w:rPr>
        <w:t>12.4 Exceptions as user interface</w:t>
      </w:r>
    </w:p>
    <w:p w14:paraId="12FE7CDF">
      <w:r>
        <w:rPr>
          <w:rFonts w:ascii="Times New Roman" w:hAnsi="Times New Roman" w:eastAsia="Times New Roman"/>
          <w:b w:val="0"/>
          <w:sz w:val="22"/>
        </w:rPr>
        <w:t>Every rule violation throws a descriptive exception; ApiExceptionHandler converts it to HTTP 400 JSON and the frontend shows the message as a toast. Rule definition, enforcement, and user-facing message all live in one place in the Java code, with no separate validation layer to drift.</w:t>
      </w:r>
    </w:p>
    <w:p w14:paraId="07DBABD7">
      <w:r>
        <w:rPr>
          <w:rFonts w:ascii="Times New Roman" w:hAnsi="Times New Roman" w:eastAsia="Times New Roman"/>
          <w:b/>
          <w:sz w:val="27"/>
        </w:rPr>
        <w:t>12.5 Vanilla-JS frontend, no MetaMask</w:t>
      </w:r>
    </w:p>
    <w:p w14:paraId="0E7BF889">
      <w:r>
        <w:rPr>
          <w:rFonts w:ascii="Times New Roman" w:hAnsi="Times New Roman" w:eastAsia="Times New Roman"/>
          <w:b w:val="0"/>
          <w:sz w:val="22"/>
        </w:rPr>
        <w:t>A single index.html with fetch() beats a React build for a three-panel demo: zero build step, readable source, direct mapping from REST to UI. We skip MetaMask because identity is whitelist-based, not wallet-based; clicking a member row is a more faithful demonstration of the business model than real wallet signing.</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decorative"/>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ED80BE"/>
    <w:multiLevelType w:val="singleLevel"/>
    <w:tmpl w:val="FDED80BE"/>
    <w:lvl w:ilvl="0" w:tentative="0">
      <w:start w:val="10"/>
      <w:numFmt w:val="decimal"/>
      <w:suff w:val="space"/>
      <w:lvlText w:val="%1."/>
      <w:lvlJc w:val="left"/>
    </w:lvl>
  </w:abstractNum>
  <w:abstractNum w:abstractNumId="1">
    <w:nsid w:val="07B855DB"/>
    <w:multiLevelType w:val="multilevel"/>
    <w:tmpl w:val="07B855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D0B7F1C"/>
    <w:multiLevelType w:val="multilevel"/>
    <w:tmpl w:val="3D0B7F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ED07808"/>
    <w:multiLevelType w:val="multilevel"/>
    <w:tmpl w:val="3ED078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82B615A"/>
    <w:multiLevelType w:val="multilevel"/>
    <w:tmpl w:val="482B61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6C75180"/>
    <w:multiLevelType w:val="multilevel"/>
    <w:tmpl w:val="56C751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56A4E88"/>
    <w:multiLevelType w:val="multilevel"/>
    <w:tmpl w:val="656A4E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A3B2E8C"/>
    <w:multiLevelType w:val="multilevel"/>
    <w:tmpl w:val="6A3B2E8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B5116AB"/>
    <w:multiLevelType w:val="multilevel"/>
    <w:tmpl w:val="7B5116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CCA2DE0"/>
    <w:multiLevelType w:val="multilevel"/>
    <w:tmpl w:val="7CCA2DE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6"/>
  </w:num>
  <w:num w:numId="3">
    <w:abstractNumId w:val="9"/>
  </w:num>
  <w:num w:numId="4">
    <w:abstractNumId w:val="8"/>
  </w:num>
  <w:num w:numId="5">
    <w:abstractNumId w:val="5"/>
  </w:num>
  <w:num w:numId="6">
    <w:abstractNumId w:val="7"/>
  </w:num>
  <w:num w:numId="7">
    <w:abstractNumId w:val="4"/>
  </w:num>
  <w:num w:numId="8">
    <w:abstractNumId w:val="1"/>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613"/>
    <w:rsid w:val="00017E9B"/>
    <w:rsid w:val="000A3613"/>
    <w:rsid w:val="003B47F3"/>
    <w:rsid w:val="003C4D76"/>
    <w:rsid w:val="00493D3B"/>
    <w:rsid w:val="005D3D77"/>
    <w:rsid w:val="00897B81"/>
    <w:rsid w:val="00907C3C"/>
    <w:rsid w:val="00CB59A3"/>
    <w:rsid w:val="00EE36A3"/>
    <w:rsid w:val="00F97575"/>
    <w:rsid w:val="5FEA161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SG" w:eastAsia="zh-C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1682</Words>
  <Characters>9594</Characters>
  <Lines>79</Lines>
  <Paragraphs>22</Paragraphs>
  <TotalTime>120</TotalTime>
  <ScaleCrop>false</ScaleCrop>
  <LinksUpToDate>false</LinksUpToDate>
  <CharactersWithSpaces>11254</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2026-04-07T17:31:00Z</dcterms:created>
  <dc:creator>Su Ye</dc:creator>
  <cp:lastModifiedBy>Siya</cp:lastModifiedBy>
  <dcterms:modified xsi:type="dcterms:W3CDTF">2026-04-16T17:39:46Z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1033-7.4.1.8983</vt:lpwstr>
  </property>
  <property fmtid="{D5CDD505-2E9C-101B-9397-08002B2CF9AE}" pid="3" name="ICV">
    <vt:lpwstr>DB197EB8078BFFB062AEE069F2C6D99F_42</vt:lpwstr>
  </property>
</Properties>
</file>