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9D299" w14:textId="77777777" w:rsidR="00EB2382" w:rsidRPr="009F52FB" w:rsidRDefault="009F52FB">
      <w:pPr>
        <w:rPr>
          <w:rFonts w:ascii="Calibri" w:hAnsi="Calibri" w:cs="Calibri"/>
        </w:rPr>
      </w:pPr>
      <w:r w:rsidRPr="009F52FB">
        <w:rPr>
          <w:rFonts w:ascii="Calibri" w:hAnsi="Calibri" w:cs="Calibri"/>
          <w:b/>
          <w:bCs/>
        </w:rPr>
        <w:t xml:space="preserve">Research </w:t>
      </w:r>
      <w:r w:rsidRPr="009F52FB">
        <w:rPr>
          <w:rFonts w:ascii="Calibri" w:hAnsi="Calibri" w:cs="Calibri" w:hint="eastAsia"/>
          <w:b/>
          <w:bCs/>
        </w:rPr>
        <w:t>Question:</w:t>
      </w:r>
      <w:r w:rsidRPr="009F52FB">
        <w:rPr>
          <w:rFonts w:ascii="Calibri" w:hAnsi="Calibri" w:cs="Calibri"/>
          <w:b/>
          <w:bCs/>
        </w:rPr>
        <w:t xml:space="preserve"> </w:t>
      </w:r>
      <w:r w:rsidR="00240467" w:rsidRPr="009F52FB">
        <w:rPr>
          <w:rFonts w:ascii="Calibri" w:hAnsi="Calibri" w:cs="Calibri"/>
        </w:rPr>
        <w:t>Are students with higher moral disengagement more likely to engage in social loafing behavior?</w:t>
      </w:r>
    </w:p>
    <w:p w14:paraId="13A0F793" w14:textId="77777777" w:rsidR="00240467" w:rsidRDefault="00240467">
      <w:pPr>
        <w:rPr>
          <w:rFonts w:ascii="Calibri" w:hAnsi="Calibri" w:cs="Calibri"/>
        </w:rPr>
      </w:pPr>
    </w:p>
    <w:p w14:paraId="21467A87" w14:textId="77777777" w:rsidR="009F52FB" w:rsidRPr="009F52FB" w:rsidRDefault="009F52FB" w:rsidP="009F52FB">
      <w:pPr>
        <w:rPr>
          <w:rFonts w:ascii="Calibri" w:hAnsi="Calibri" w:cs="Calibri"/>
          <w:b/>
        </w:rPr>
      </w:pPr>
      <w:r w:rsidRPr="009F52FB">
        <w:rPr>
          <w:rFonts w:ascii="Calibri" w:hAnsi="Calibri" w:cs="Calibri"/>
          <w:b/>
        </w:rPr>
        <w:t xml:space="preserve">Background Research </w:t>
      </w:r>
    </w:p>
    <w:p w14:paraId="27D75966" w14:textId="77777777" w:rsidR="009F52FB" w:rsidRPr="009F52FB" w:rsidRDefault="009F52FB" w:rsidP="009F52FB">
      <w:pPr>
        <w:rPr>
          <w:rFonts w:ascii="Calibri" w:hAnsi="Calibri" w:cs="Calibri"/>
        </w:rPr>
      </w:pPr>
      <w:r w:rsidRPr="009F52FB">
        <w:rPr>
          <w:rFonts w:ascii="Calibri" w:hAnsi="Calibri" w:cs="Calibri"/>
        </w:rPr>
        <w:tab/>
        <w:t>Moral disengagement is a form of self-deception in which the individual detaches themselves from the ethical standards in the particular context.</w:t>
      </w:r>
      <w:r w:rsidRPr="009F52FB">
        <w:rPr>
          <w:rFonts w:ascii="Calibri" w:hAnsi="Calibri" w:cs="Calibri"/>
        </w:rPr>
        <w:tab/>
        <w:t>Bandura (1986) first proposed the concept of moral disengagement in his seminal book on social cognitive theory to explain why individuals engage in immoral behaviors without experiencing guilt and psychological pain. Moral disengagement produces specific cognitive tendencies, like redefining one's behavior to make it seem less harmful, minimizing one's responsibility in the consequences of the behavior, and reducing the recognition of the victim's suffering. (Bandura, 1986).</w:t>
      </w:r>
    </w:p>
    <w:p w14:paraId="0B8D550E" w14:textId="77777777" w:rsidR="009F52FB" w:rsidRPr="009F52FB" w:rsidRDefault="009F52FB" w:rsidP="009F52FB">
      <w:pPr>
        <w:rPr>
          <w:rFonts w:ascii="Calibri" w:hAnsi="Calibri" w:cs="Calibri"/>
        </w:rPr>
      </w:pPr>
      <w:r w:rsidRPr="009F52FB">
        <w:rPr>
          <w:rFonts w:ascii="Calibri" w:hAnsi="Calibri" w:cs="Calibri"/>
        </w:rPr>
        <w:tab/>
        <w:t>Many scholars have researched this phenomenon and drawn corresponding conclusions. Ju Di's (2020) research pointed out that moral disengagement helps employees rationalize their social loafing behaviors in the workplace. This conclusion implies that moral disengagement may affect the occurrence of social loafing.</w:t>
      </w:r>
    </w:p>
    <w:p w14:paraId="4804BA00" w14:textId="2218CCAE" w:rsidR="009F52FB" w:rsidRPr="009F52FB" w:rsidRDefault="009F52FB" w:rsidP="009F52FB">
      <w:pPr>
        <w:rPr>
          <w:rFonts w:ascii="Calibri" w:hAnsi="Calibri" w:cs="Calibri"/>
        </w:rPr>
      </w:pPr>
      <w:r w:rsidRPr="009F52FB">
        <w:rPr>
          <w:rFonts w:ascii="Calibri" w:hAnsi="Calibri" w:cs="Calibri"/>
        </w:rPr>
        <w:tab/>
        <w:t>Correspondingly, Zhong Xi, Wang Tian, and their research group (20</w:t>
      </w:r>
      <w:r w:rsidR="00C04C59">
        <w:rPr>
          <w:rFonts w:ascii="Calibri" w:hAnsi="Calibri" w:cs="Calibri"/>
        </w:rPr>
        <w:t>19</w:t>
      </w:r>
      <w:r w:rsidRPr="009F52FB">
        <w:rPr>
          <w:rFonts w:ascii="Calibri" w:hAnsi="Calibri" w:cs="Calibri"/>
        </w:rPr>
        <w:t>) have pointed out that as the Machiavellianism level (i.e., the tendency of individuals utilizing others to achieve personal goals) increases, the positive impact of the broken of psychological contracts on moral disengagement and the positive impact of moral disengagement on unethical behaviors of employees also increases.</w:t>
      </w:r>
    </w:p>
    <w:p w14:paraId="78606983" w14:textId="77777777" w:rsidR="009F52FB" w:rsidRPr="009F52FB" w:rsidRDefault="009F52FB" w:rsidP="009F52FB">
      <w:pPr>
        <w:rPr>
          <w:rFonts w:ascii="Calibri" w:hAnsi="Calibri" w:cs="Calibri"/>
        </w:rPr>
      </w:pPr>
      <w:r w:rsidRPr="009F52FB">
        <w:rPr>
          <w:rFonts w:ascii="Calibri" w:hAnsi="Calibri" w:cs="Calibri"/>
        </w:rPr>
        <w:tab/>
        <w:t>Moral disengagement may increase the level of social loafing. In short, individuals with high moral disengagement levels disable the mechanism of self-condemnation (</w:t>
      </w:r>
      <w:proofErr w:type="spellStart"/>
      <w:r w:rsidRPr="009F52FB">
        <w:rPr>
          <w:rFonts w:ascii="Calibri" w:hAnsi="Calibri" w:cs="Calibri"/>
        </w:rPr>
        <w:t>Detert</w:t>
      </w:r>
      <w:proofErr w:type="spellEnd"/>
      <w:r w:rsidRPr="009F52FB">
        <w:rPr>
          <w:rFonts w:ascii="Calibri" w:hAnsi="Calibri" w:cs="Calibri"/>
        </w:rPr>
        <w:t xml:space="preserve"> et al., 2008) and engage in unethical behaviors like social loafing behavior.</w:t>
      </w:r>
    </w:p>
    <w:p w14:paraId="57092125" w14:textId="685E01FD" w:rsidR="009F52FB" w:rsidRPr="009F52FB" w:rsidRDefault="009F52FB" w:rsidP="009F52FB">
      <w:pPr>
        <w:rPr>
          <w:rFonts w:ascii="Calibri" w:hAnsi="Calibri" w:cs="Calibri"/>
        </w:rPr>
      </w:pPr>
      <w:r w:rsidRPr="009F52FB">
        <w:rPr>
          <w:rFonts w:ascii="Calibri" w:hAnsi="Calibri" w:cs="Calibri"/>
        </w:rPr>
        <w:tab/>
        <w:t xml:space="preserve">Based on the above analysis, </w:t>
      </w:r>
      <w:r w:rsidR="00813CA8">
        <w:rPr>
          <w:rFonts w:ascii="Calibri" w:hAnsi="Calibri" w:cs="Calibri"/>
        </w:rPr>
        <w:t xml:space="preserve">our </w:t>
      </w:r>
      <w:r w:rsidRPr="009F52FB">
        <w:rPr>
          <w:rFonts w:ascii="Calibri" w:hAnsi="Calibri" w:cs="Calibri"/>
        </w:rPr>
        <w:t>hypothesis is proposed as follows:</w:t>
      </w:r>
      <w:r w:rsidR="00C04C59">
        <w:rPr>
          <w:rFonts w:ascii="Calibri" w:hAnsi="Calibri" w:cs="Calibri"/>
        </w:rPr>
        <w:t xml:space="preserve"> </w:t>
      </w:r>
      <w:r w:rsidRPr="009F52FB">
        <w:rPr>
          <w:rFonts w:ascii="Calibri" w:hAnsi="Calibri" w:cs="Calibri"/>
        </w:rPr>
        <w:t xml:space="preserve">Moral disengagement </w:t>
      </w:r>
      <w:r w:rsidR="003B52F7">
        <w:rPr>
          <w:rFonts w:ascii="Calibri" w:hAnsi="Calibri" w:cs="Calibri" w:hint="eastAsia"/>
        </w:rPr>
        <w:t>is</w:t>
      </w:r>
      <w:r w:rsidR="003B52F7">
        <w:rPr>
          <w:rFonts w:ascii="Calibri" w:hAnsi="Calibri" w:cs="Calibri"/>
        </w:rPr>
        <w:t xml:space="preserve"> </w:t>
      </w:r>
      <w:r w:rsidR="005D78DB">
        <w:rPr>
          <w:rFonts w:ascii="Calibri" w:hAnsi="Calibri" w:cs="Calibri"/>
        </w:rPr>
        <w:t xml:space="preserve">positively </w:t>
      </w:r>
      <w:r w:rsidR="003B52F7">
        <w:rPr>
          <w:rFonts w:ascii="Calibri" w:hAnsi="Calibri" w:cs="Calibri"/>
        </w:rPr>
        <w:t xml:space="preserve">correlated with </w:t>
      </w:r>
      <w:r w:rsidRPr="009F52FB">
        <w:rPr>
          <w:rFonts w:ascii="Calibri" w:hAnsi="Calibri" w:cs="Calibri"/>
        </w:rPr>
        <w:t>the level of social loafing.</w:t>
      </w:r>
    </w:p>
    <w:p w14:paraId="14497863" w14:textId="77777777" w:rsidR="009F52FB" w:rsidRDefault="009F52FB">
      <w:pPr>
        <w:rPr>
          <w:rFonts w:ascii="Calibri" w:hAnsi="Calibri" w:cs="Calibri"/>
        </w:rPr>
      </w:pPr>
    </w:p>
    <w:p w14:paraId="619C2FAD" w14:textId="77777777" w:rsidR="009F52FB" w:rsidRPr="009F52FB" w:rsidRDefault="009F52FB">
      <w:pPr>
        <w:rPr>
          <w:rFonts w:ascii="Calibri" w:hAnsi="Calibri" w:cs="Calibri"/>
        </w:rPr>
      </w:pPr>
      <w:r>
        <w:rPr>
          <w:rFonts w:ascii="Calibri" w:hAnsi="Calibri" w:cs="Calibri" w:hint="eastAsia"/>
        </w:rPr>
        <w:t>S</w:t>
      </w:r>
      <w:r>
        <w:rPr>
          <w:rFonts w:ascii="Calibri" w:hAnsi="Calibri" w:cs="Calibri"/>
        </w:rPr>
        <w:t>ources</w:t>
      </w:r>
    </w:p>
    <w:p w14:paraId="3FDDE527" w14:textId="77777777" w:rsidR="009F52FB" w:rsidRDefault="009F52FB" w:rsidP="009F52FB">
      <w:pPr>
        <w:rPr>
          <w:rFonts w:ascii="Calibri" w:hAnsi="Calibri" w:cs="Calibri"/>
        </w:rPr>
      </w:pPr>
      <w:r w:rsidRPr="009F52FB">
        <w:rPr>
          <w:rFonts w:ascii="Calibri" w:hAnsi="Calibri" w:cs="Calibri"/>
        </w:rPr>
        <w:t xml:space="preserve">Bandura, A. (1986). Social Foundations of Thought and Action: A social Cognitive </w:t>
      </w:r>
      <w:bookmarkStart w:id="0" w:name="OLE_LINK8"/>
      <w:r w:rsidRPr="009F52FB">
        <w:rPr>
          <w:rFonts w:ascii="Calibri" w:hAnsi="Calibri" w:cs="Calibri"/>
        </w:rPr>
        <w:t>Theory.</w:t>
      </w:r>
      <w:r w:rsidRPr="009F52FB">
        <w:rPr>
          <w:rFonts w:ascii="Calibri" w:hAnsi="Calibri" w:cs="Calibri"/>
          <w:i/>
        </w:rPr>
        <w:t xml:space="preserve"> Journal of Applied Psychology, 12</w:t>
      </w:r>
      <w:r w:rsidRPr="009F52FB">
        <w:rPr>
          <w:rFonts w:ascii="Calibri" w:hAnsi="Calibri" w:cs="Calibri"/>
        </w:rPr>
        <w:t>(1), 169.</w:t>
      </w:r>
      <w:bookmarkEnd w:id="0"/>
    </w:p>
    <w:p w14:paraId="3EACD2D3" w14:textId="77777777" w:rsidR="009F52FB" w:rsidRPr="009F52FB" w:rsidRDefault="009F52FB" w:rsidP="009F52FB">
      <w:pPr>
        <w:rPr>
          <w:rFonts w:ascii="Calibri" w:hAnsi="Calibri" w:cs="Calibri"/>
        </w:rPr>
      </w:pPr>
      <w:proofErr w:type="spellStart"/>
      <w:r w:rsidRPr="009F52FB">
        <w:rPr>
          <w:rFonts w:ascii="Calibri" w:hAnsi="Calibri" w:cs="Calibri"/>
        </w:rPr>
        <w:t>Detert</w:t>
      </w:r>
      <w:proofErr w:type="spellEnd"/>
      <w:r w:rsidRPr="009F52FB">
        <w:rPr>
          <w:rFonts w:ascii="Calibri" w:hAnsi="Calibri" w:cs="Calibri"/>
        </w:rPr>
        <w:t xml:space="preserve">, J. R., </w:t>
      </w:r>
      <w:proofErr w:type="spellStart"/>
      <w:r w:rsidRPr="009F52FB">
        <w:rPr>
          <w:rFonts w:ascii="Calibri" w:hAnsi="Calibri" w:cs="Calibri"/>
        </w:rPr>
        <w:t>Treviño</w:t>
      </w:r>
      <w:proofErr w:type="spellEnd"/>
      <w:r w:rsidRPr="009F52FB">
        <w:rPr>
          <w:rFonts w:ascii="Calibri" w:hAnsi="Calibri" w:cs="Calibri"/>
        </w:rPr>
        <w:t xml:space="preserve">, L. K., &amp; Sweitzer, V. L. (2008). Moral disengagement in ethical decision making: A study of antecedents and outcomes. </w:t>
      </w:r>
      <w:r w:rsidRPr="009F52FB">
        <w:rPr>
          <w:rFonts w:ascii="Calibri" w:hAnsi="Calibri" w:cs="Calibri"/>
          <w:i/>
        </w:rPr>
        <w:t>Journal of Applied</w:t>
      </w:r>
      <w:r>
        <w:rPr>
          <w:rFonts w:ascii="Calibri" w:hAnsi="Calibri" w:cs="Calibri"/>
          <w:i/>
        </w:rPr>
        <w:t xml:space="preserve"> </w:t>
      </w:r>
      <w:r w:rsidRPr="009F52FB">
        <w:rPr>
          <w:rFonts w:ascii="Calibri" w:hAnsi="Calibri" w:cs="Calibri"/>
          <w:i/>
        </w:rPr>
        <w:t>Psychology, 93</w:t>
      </w:r>
      <w:r w:rsidRPr="009F52FB">
        <w:rPr>
          <w:rFonts w:ascii="Calibri" w:hAnsi="Calibri" w:cs="Calibri"/>
        </w:rPr>
        <w:t xml:space="preserve">(2), 374–391. </w:t>
      </w:r>
    </w:p>
    <w:p w14:paraId="0720B156" w14:textId="6CDD077E" w:rsidR="009F52FB" w:rsidRPr="009F52FB" w:rsidRDefault="009F52FB" w:rsidP="009F52FB">
      <w:pPr>
        <w:rPr>
          <w:rFonts w:ascii="Calibri" w:hAnsi="Calibri" w:cs="Calibri"/>
          <w:i/>
        </w:rPr>
      </w:pPr>
      <w:r w:rsidRPr="009F52FB">
        <w:rPr>
          <w:rFonts w:ascii="Calibri" w:hAnsi="Calibri" w:cs="Calibri"/>
        </w:rPr>
        <w:t xml:space="preserve">Zhong, X., &amp; Fu, Y., &amp; Wang, T. (2019). </w:t>
      </w:r>
      <w:r w:rsidRPr="009F52FB">
        <w:rPr>
          <w:rFonts w:ascii="Calibri" w:hAnsi="Calibri" w:cs="Calibri"/>
        </w:rPr>
        <w:t>《包容性领导、内部人身份认知与员工知识共享</w:t>
      </w:r>
      <w:r w:rsidRPr="009F52FB">
        <w:rPr>
          <w:rFonts w:ascii="Calibri" w:hAnsi="Calibri" w:cs="Calibri"/>
        </w:rPr>
        <w:t>——</w:t>
      </w:r>
      <w:r w:rsidRPr="009F52FB">
        <w:rPr>
          <w:rFonts w:ascii="Calibri" w:hAnsi="Calibri" w:cs="Calibri"/>
        </w:rPr>
        <w:t>组织创新氛围的调节作用》</w:t>
      </w:r>
      <w:r w:rsidRPr="009F52FB">
        <w:rPr>
          <w:rFonts w:ascii="Calibri" w:hAnsi="Calibri" w:cs="Calibri"/>
        </w:rPr>
        <w:t>[Inclusive Leadership, Insider Identity Awareness</w:t>
      </w:r>
      <w:r>
        <w:rPr>
          <w:rFonts w:ascii="Calibri" w:hAnsi="Calibri" w:cs="Calibri"/>
        </w:rPr>
        <w:t xml:space="preserve"> </w:t>
      </w:r>
      <w:r w:rsidRPr="009F52FB">
        <w:rPr>
          <w:rFonts w:ascii="Calibri" w:hAnsi="Calibri" w:cs="Calibri"/>
        </w:rPr>
        <w:t>and Employee Knowledge Sharing: Regulating the Organizational Innovation</w:t>
      </w:r>
      <w:r>
        <w:rPr>
          <w:rFonts w:ascii="Calibri" w:hAnsi="Calibri" w:cs="Calibri"/>
        </w:rPr>
        <w:t xml:space="preserve"> </w:t>
      </w:r>
      <w:r w:rsidRPr="009F52FB">
        <w:rPr>
          <w:rFonts w:ascii="Calibri" w:hAnsi="Calibri" w:cs="Calibri"/>
        </w:rPr>
        <w:t xml:space="preserve">Atmosphere]. </w:t>
      </w:r>
      <w:r w:rsidRPr="009F52FB">
        <w:rPr>
          <w:rFonts w:ascii="Calibri" w:hAnsi="Calibri" w:cs="Calibri"/>
          <w:i/>
        </w:rPr>
        <w:t>Research and development management,</w:t>
      </w:r>
      <w:r w:rsidRPr="009F52FB">
        <w:rPr>
          <w:rFonts w:ascii="Calibri" w:hAnsi="Calibri" w:cs="Calibri"/>
        </w:rPr>
        <w:t xml:space="preserve"> 109-120.</w:t>
      </w:r>
    </w:p>
    <w:p w14:paraId="0C3FEB10" w14:textId="77777777" w:rsidR="00240467" w:rsidRDefault="00240467">
      <w:pPr>
        <w:rPr>
          <w:rFonts w:ascii="Calibri" w:hAnsi="Calibri" w:cs="Calibri"/>
        </w:rPr>
      </w:pPr>
    </w:p>
    <w:p w14:paraId="0B298ED8" w14:textId="77777777" w:rsidR="009F52FB" w:rsidRPr="009F52FB" w:rsidRDefault="009F52FB">
      <w:pPr>
        <w:rPr>
          <w:rFonts w:ascii="Calibri" w:hAnsi="Calibri" w:cs="Calibri"/>
          <w:b/>
          <w:bCs/>
        </w:rPr>
      </w:pPr>
      <w:r w:rsidRPr="009F52FB">
        <w:rPr>
          <w:rFonts w:ascii="Calibri" w:hAnsi="Calibri" w:cs="Calibri"/>
          <w:b/>
          <w:bCs/>
        </w:rPr>
        <w:t>Sampling and Experimental Design</w:t>
      </w:r>
    </w:p>
    <w:p w14:paraId="57C33C19" w14:textId="45ECF35E" w:rsidR="005D78DB" w:rsidRDefault="005D78DB" w:rsidP="009F52FB">
      <w:pPr>
        <w:pStyle w:val="a3"/>
        <w:numPr>
          <w:ilvl w:val="0"/>
          <w:numId w:val="1"/>
        </w:numPr>
        <w:ind w:firstLineChars="0"/>
        <w:rPr>
          <w:rFonts w:ascii="Calibri" w:hAnsi="Calibri" w:cs="Calibri"/>
        </w:rPr>
      </w:pPr>
      <w:r>
        <w:rPr>
          <w:rFonts w:ascii="Calibri" w:hAnsi="Calibri" w:cs="Calibri"/>
        </w:rPr>
        <w:t xml:space="preserve">Type of </w:t>
      </w:r>
      <w:r w:rsidR="00B7119D">
        <w:rPr>
          <w:rFonts w:ascii="Calibri" w:hAnsi="Calibri" w:cs="Calibri"/>
        </w:rPr>
        <w:t>study:</w:t>
      </w:r>
      <w:r>
        <w:rPr>
          <w:rFonts w:ascii="Calibri" w:hAnsi="Calibri" w:cs="Calibri"/>
        </w:rPr>
        <w:t xml:space="preserve"> </w:t>
      </w:r>
      <w:r w:rsidR="0039324F">
        <w:rPr>
          <w:rFonts w:ascii="Calibri" w:hAnsi="Calibri" w:cs="Calibri"/>
        </w:rPr>
        <w:t>Observational study</w:t>
      </w:r>
    </w:p>
    <w:p w14:paraId="11332211" w14:textId="34C283E2" w:rsidR="00240467" w:rsidRPr="0039324F" w:rsidRDefault="0039324F" w:rsidP="0039324F">
      <w:pPr>
        <w:pStyle w:val="a3"/>
        <w:numPr>
          <w:ilvl w:val="0"/>
          <w:numId w:val="1"/>
        </w:numPr>
        <w:ind w:firstLineChars="0"/>
        <w:rPr>
          <w:rFonts w:ascii="Calibri" w:hAnsi="Calibri" w:cs="Calibri"/>
        </w:rPr>
      </w:pPr>
      <w:r>
        <w:rPr>
          <w:rFonts w:ascii="Calibri" w:hAnsi="Calibri" w:cs="Calibri"/>
        </w:rPr>
        <w:t xml:space="preserve">Two </w:t>
      </w:r>
      <w:r w:rsidR="00240467" w:rsidRPr="009F52FB">
        <w:rPr>
          <w:rFonts w:ascii="Calibri" w:hAnsi="Calibri" w:cs="Calibri"/>
        </w:rPr>
        <w:t>variable</w:t>
      </w:r>
      <w:r>
        <w:rPr>
          <w:rFonts w:ascii="Calibri" w:hAnsi="Calibri" w:cs="Calibri"/>
        </w:rPr>
        <w:t>s</w:t>
      </w:r>
      <w:r w:rsidR="00240467" w:rsidRPr="009F52FB">
        <w:rPr>
          <w:rFonts w:ascii="Calibri" w:hAnsi="Calibri" w:cs="Calibri"/>
        </w:rPr>
        <w:t>: moral disengagement</w:t>
      </w:r>
      <w:r>
        <w:rPr>
          <w:rFonts w:ascii="Calibri" w:hAnsi="Calibri" w:cs="Calibri"/>
        </w:rPr>
        <w:t xml:space="preserve"> and </w:t>
      </w:r>
      <w:r w:rsidR="00240467" w:rsidRPr="0039324F">
        <w:rPr>
          <w:rFonts w:ascii="Calibri" w:hAnsi="Calibri" w:cs="Calibri"/>
        </w:rPr>
        <w:t>social loafing behavior</w:t>
      </w:r>
    </w:p>
    <w:p w14:paraId="71AEB213" w14:textId="39B9F54C" w:rsidR="00240467" w:rsidRPr="00B7119D" w:rsidRDefault="00B7119D" w:rsidP="00B7119D">
      <w:pPr>
        <w:pStyle w:val="a3"/>
        <w:numPr>
          <w:ilvl w:val="0"/>
          <w:numId w:val="1"/>
        </w:numPr>
        <w:ind w:firstLineChars="0"/>
        <w:rPr>
          <w:rFonts w:ascii="Calibri" w:hAnsi="Calibri" w:cs="Calibri"/>
        </w:rPr>
      </w:pPr>
      <w:r>
        <w:rPr>
          <w:rFonts w:ascii="Calibri" w:hAnsi="Calibri" w:cs="Calibri"/>
        </w:rPr>
        <w:t>Data analysis:  regression analysis</w:t>
      </w:r>
    </w:p>
    <w:p w14:paraId="55F2832E" w14:textId="77777777" w:rsidR="00240467" w:rsidRDefault="00240467" w:rsidP="009F52FB">
      <w:pPr>
        <w:pStyle w:val="a3"/>
        <w:numPr>
          <w:ilvl w:val="0"/>
          <w:numId w:val="1"/>
        </w:numPr>
        <w:ind w:firstLineChars="0"/>
        <w:rPr>
          <w:rFonts w:ascii="Calibri" w:hAnsi="Calibri" w:cs="Calibri"/>
        </w:rPr>
      </w:pPr>
      <w:r w:rsidRPr="009F52FB">
        <w:rPr>
          <w:rFonts w:ascii="Calibri" w:hAnsi="Calibri" w:cs="Calibri"/>
        </w:rPr>
        <w:t>Scope of inference: correlational links can be applied to student work groups in China</w:t>
      </w:r>
    </w:p>
    <w:p w14:paraId="539F545A" w14:textId="3265839E" w:rsidR="0047092A" w:rsidRDefault="0047092A" w:rsidP="0047092A">
      <w:pPr>
        <w:rPr>
          <w:rFonts w:ascii="Calibri" w:hAnsi="Calibri" w:cs="Calibri"/>
        </w:rPr>
      </w:pPr>
    </w:p>
    <w:p w14:paraId="2273D5F7" w14:textId="77777777" w:rsidR="0047092A" w:rsidRDefault="0047092A" w:rsidP="0047092A">
      <w:pPr>
        <w:rPr>
          <w:rFonts w:ascii="Calibri" w:hAnsi="Calibri" w:cs="Calibri"/>
        </w:rPr>
      </w:pPr>
    </w:p>
    <w:p w14:paraId="37A89B32" w14:textId="77777777" w:rsidR="00CC57E8" w:rsidRPr="0047092A" w:rsidRDefault="00CC57E8" w:rsidP="0047092A">
      <w:pPr>
        <w:rPr>
          <w:rFonts w:ascii="Calibri" w:hAnsi="Calibri" w:cs="Calibri"/>
        </w:rPr>
      </w:pPr>
    </w:p>
    <w:p w14:paraId="40A52D56" w14:textId="48CF43B6" w:rsidR="009F52FB" w:rsidRDefault="009F52FB">
      <w:pPr>
        <w:rPr>
          <w:rFonts w:ascii="Calibri" w:hAnsi="Calibri" w:cs="Calibri"/>
          <w:b/>
          <w:bCs/>
          <w:color w:val="000000" w:themeColor="text1"/>
        </w:rPr>
      </w:pPr>
      <w:r w:rsidRPr="00CC57E8">
        <w:rPr>
          <w:rFonts w:ascii="Calibri" w:hAnsi="Calibri" w:cs="Calibri" w:hint="eastAsia"/>
          <w:b/>
          <w:bCs/>
          <w:color w:val="000000" w:themeColor="text1"/>
        </w:rPr>
        <w:lastRenderedPageBreak/>
        <w:t>G</w:t>
      </w:r>
      <w:r w:rsidRPr="00CC57E8">
        <w:rPr>
          <w:rFonts w:ascii="Calibri" w:hAnsi="Calibri" w:cs="Calibri"/>
          <w:b/>
          <w:bCs/>
          <w:color w:val="000000" w:themeColor="text1"/>
        </w:rPr>
        <w:t>rou</w:t>
      </w:r>
      <w:r w:rsidR="00CC57E8" w:rsidRPr="00CC57E8">
        <w:rPr>
          <w:rFonts w:ascii="Calibri" w:hAnsi="Calibri" w:cs="Calibri"/>
          <w:b/>
          <w:bCs/>
          <w:color w:val="000000" w:themeColor="text1"/>
        </w:rPr>
        <w:t>p t</w:t>
      </w:r>
      <w:r w:rsidRPr="00CC57E8">
        <w:rPr>
          <w:rFonts w:ascii="Calibri" w:hAnsi="Calibri" w:cs="Calibri" w:hint="eastAsia"/>
          <w:b/>
          <w:bCs/>
          <w:color w:val="000000" w:themeColor="text1"/>
        </w:rPr>
        <w:t>ask</w:t>
      </w:r>
      <w:r w:rsidRPr="00CC57E8">
        <w:rPr>
          <w:rFonts w:ascii="Calibri" w:hAnsi="Calibri" w:cs="Calibri"/>
          <w:b/>
          <w:bCs/>
          <w:color w:val="000000" w:themeColor="text1"/>
        </w:rPr>
        <w:t xml:space="preserve"> Assignments &amp; Timeline</w:t>
      </w:r>
    </w:p>
    <w:tbl>
      <w:tblPr>
        <w:tblStyle w:val="ad"/>
        <w:tblW w:w="0" w:type="auto"/>
        <w:tblLook w:val="04A0" w:firstRow="1" w:lastRow="0" w:firstColumn="1" w:lastColumn="0" w:noHBand="0" w:noVBand="1"/>
      </w:tblPr>
      <w:tblGrid>
        <w:gridCol w:w="2317"/>
        <w:gridCol w:w="1494"/>
        <w:gridCol w:w="1495"/>
        <w:gridCol w:w="1495"/>
        <w:gridCol w:w="1495"/>
      </w:tblGrid>
      <w:tr w:rsidR="00495339" w:rsidRPr="00495339" w14:paraId="61274189" w14:textId="77777777" w:rsidTr="00F66194">
        <w:tc>
          <w:tcPr>
            <w:tcW w:w="2317" w:type="dxa"/>
          </w:tcPr>
          <w:p w14:paraId="5A56A01C" w14:textId="77777777" w:rsidR="00CC57E8" w:rsidRPr="00495339" w:rsidRDefault="00CC57E8" w:rsidP="00F66194">
            <w:pPr>
              <w:rPr>
                <w:rFonts w:ascii="Calibri" w:hAnsi="Calibri" w:cs="Calibri"/>
                <w:b/>
                <w:bCs/>
                <w:color w:val="000000" w:themeColor="text1"/>
              </w:rPr>
            </w:pPr>
            <w:r w:rsidRPr="00495339">
              <w:rPr>
                <w:rFonts w:ascii="Calibri" w:hAnsi="Calibri" w:cs="Calibri"/>
                <w:b/>
                <w:bCs/>
                <w:color w:val="000000" w:themeColor="text1"/>
              </w:rPr>
              <w:t>Tasks</w:t>
            </w:r>
            <w:r w:rsidRPr="00495339">
              <w:rPr>
                <w:rFonts w:ascii="Calibri" w:hAnsi="Calibri" w:cs="Calibri" w:hint="eastAsia"/>
                <w:b/>
                <w:bCs/>
                <w:color w:val="000000" w:themeColor="text1"/>
              </w:rPr>
              <w:t>\</w:t>
            </w:r>
            <w:r w:rsidRPr="00495339">
              <w:rPr>
                <w:rFonts w:ascii="Calibri" w:hAnsi="Calibri" w:cs="Calibri"/>
                <w:b/>
                <w:bCs/>
                <w:color w:val="000000" w:themeColor="text1"/>
              </w:rPr>
              <w:t>Timeline</w:t>
            </w:r>
          </w:p>
        </w:tc>
        <w:tc>
          <w:tcPr>
            <w:tcW w:w="1494" w:type="dxa"/>
          </w:tcPr>
          <w:p w14:paraId="48492EEF"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5</w:t>
            </w:r>
            <w:r w:rsidRPr="00495339">
              <w:rPr>
                <w:rFonts w:ascii="Calibri" w:hAnsi="Calibri" w:cs="Calibri"/>
                <w:b/>
                <w:bCs/>
                <w:color w:val="000000" w:themeColor="text1"/>
              </w:rPr>
              <w:t>.15-5.17</w:t>
            </w:r>
          </w:p>
        </w:tc>
        <w:tc>
          <w:tcPr>
            <w:tcW w:w="1495" w:type="dxa"/>
          </w:tcPr>
          <w:p w14:paraId="3A9A5BB8"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5</w:t>
            </w:r>
            <w:r w:rsidRPr="00495339">
              <w:rPr>
                <w:rFonts w:ascii="Calibri" w:hAnsi="Calibri" w:cs="Calibri"/>
                <w:b/>
                <w:bCs/>
                <w:color w:val="000000" w:themeColor="text1"/>
              </w:rPr>
              <w:t>.18-5.25</w:t>
            </w:r>
          </w:p>
        </w:tc>
        <w:tc>
          <w:tcPr>
            <w:tcW w:w="1495" w:type="dxa"/>
          </w:tcPr>
          <w:p w14:paraId="4EBD73F7"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5</w:t>
            </w:r>
            <w:r w:rsidRPr="00495339">
              <w:rPr>
                <w:rFonts w:ascii="Calibri" w:hAnsi="Calibri" w:cs="Calibri"/>
                <w:b/>
                <w:bCs/>
                <w:color w:val="000000" w:themeColor="text1"/>
              </w:rPr>
              <w:t>.26-5.27</w:t>
            </w:r>
          </w:p>
        </w:tc>
        <w:tc>
          <w:tcPr>
            <w:tcW w:w="1495" w:type="dxa"/>
          </w:tcPr>
          <w:p w14:paraId="5516A791"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5</w:t>
            </w:r>
            <w:r w:rsidRPr="00495339">
              <w:rPr>
                <w:rFonts w:ascii="Calibri" w:hAnsi="Calibri" w:cs="Calibri"/>
                <w:b/>
                <w:bCs/>
                <w:color w:val="000000" w:themeColor="text1"/>
              </w:rPr>
              <w:t>.28</w:t>
            </w:r>
          </w:p>
        </w:tc>
      </w:tr>
      <w:tr w:rsidR="00495339" w:rsidRPr="00495339" w14:paraId="3707C04F" w14:textId="77777777" w:rsidTr="00F66194">
        <w:tc>
          <w:tcPr>
            <w:tcW w:w="2317" w:type="dxa"/>
          </w:tcPr>
          <w:p w14:paraId="3A0A1922"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I</w:t>
            </w:r>
            <w:r w:rsidRPr="00495339">
              <w:rPr>
                <w:rFonts w:ascii="Calibri" w:hAnsi="Calibri" w:cs="Calibri"/>
                <w:b/>
                <w:bCs/>
                <w:color w:val="000000" w:themeColor="text1"/>
              </w:rPr>
              <w:t xml:space="preserve">nformation </w:t>
            </w:r>
            <w:proofErr w:type="spellStart"/>
            <w:r w:rsidRPr="00495339">
              <w:rPr>
                <w:rFonts w:ascii="Calibri" w:hAnsi="Calibri" w:cs="Calibri"/>
                <w:b/>
                <w:bCs/>
                <w:color w:val="000000" w:themeColor="text1"/>
              </w:rPr>
              <w:t>Research+proposal</w:t>
            </w:r>
            <w:proofErr w:type="spellEnd"/>
          </w:p>
        </w:tc>
        <w:tc>
          <w:tcPr>
            <w:tcW w:w="1494" w:type="dxa"/>
          </w:tcPr>
          <w:p w14:paraId="30730A90"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Jamie,</w:t>
            </w:r>
            <w:r w:rsidRPr="00495339">
              <w:rPr>
                <w:rFonts w:ascii="Calibri" w:hAnsi="Calibri" w:cs="Calibri"/>
                <w:b/>
                <w:bCs/>
                <w:color w:val="000000" w:themeColor="text1"/>
              </w:rPr>
              <w:t xml:space="preserve"> </w:t>
            </w:r>
            <w:r w:rsidRPr="00495339">
              <w:rPr>
                <w:rFonts w:ascii="Calibri" w:hAnsi="Calibri" w:cs="Calibri" w:hint="eastAsia"/>
                <w:b/>
                <w:bCs/>
                <w:color w:val="000000" w:themeColor="text1"/>
              </w:rPr>
              <w:t>Selena,</w:t>
            </w:r>
            <w:r w:rsidRPr="00495339">
              <w:rPr>
                <w:rFonts w:ascii="Calibri" w:hAnsi="Calibri" w:cs="Calibri"/>
                <w:b/>
                <w:bCs/>
                <w:color w:val="000000" w:themeColor="text1"/>
              </w:rPr>
              <w:t xml:space="preserve"> </w:t>
            </w:r>
          </w:p>
        </w:tc>
        <w:tc>
          <w:tcPr>
            <w:tcW w:w="1495" w:type="dxa"/>
          </w:tcPr>
          <w:p w14:paraId="48690EA7" w14:textId="77777777" w:rsidR="00CC57E8" w:rsidRPr="00495339" w:rsidRDefault="00CC57E8" w:rsidP="00F66194">
            <w:pPr>
              <w:rPr>
                <w:rFonts w:ascii="Calibri" w:hAnsi="Calibri" w:cs="Calibri"/>
                <w:b/>
                <w:bCs/>
                <w:color w:val="000000" w:themeColor="text1"/>
              </w:rPr>
            </w:pPr>
          </w:p>
        </w:tc>
        <w:tc>
          <w:tcPr>
            <w:tcW w:w="1495" w:type="dxa"/>
          </w:tcPr>
          <w:p w14:paraId="0163FC6E" w14:textId="77777777" w:rsidR="00CC57E8" w:rsidRPr="00495339" w:rsidRDefault="00CC57E8" w:rsidP="00F66194">
            <w:pPr>
              <w:rPr>
                <w:rFonts w:ascii="Calibri" w:hAnsi="Calibri" w:cs="Calibri"/>
                <w:b/>
                <w:bCs/>
                <w:color w:val="000000" w:themeColor="text1"/>
              </w:rPr>
            </w:pPr>
          </w:p>
        </w:tc>
        <w:tc>
          <w:tcPr>
            <w:tcW w:w="1495" w:type="dxa"/>
          </w:tcPr>
          <w:p w14:paraId="73D7C0AE" w14:textId="77777777" w:rsidR="00CC57E8" w:rsidRPr="00495339" w:rsidRDefault="00CC57E8" w:rsidP="00F66194">
            <w:pPr>
              <w:rPr>
                <w:rFonts w:ascii="Calibri" w:hAnsi="Calibri" w:cs="Calibri"/>
                <w:b/>
                <w:bCs/>
                <w:color w:val="000000" w:themeColor="text1"/>
              </w:rPr>
            </w:pPr>
          </w:p>
        </w:tc>
      </w:tr>
      <w:tr w:rsidR="00495339" w:rsidRPr="00495339" w14:paraId="2947A5CE" w14:textId="77777777" w:rsidTr="00F66194">
        <w:tc>
          <w:tcPr>
            <w:tcW w:w="2317" w:type="dxa"/>
          </w:tcPr>
          <w:p w14:paraId="3F6967B2"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D</w:t>
            </w:r>
            <w:r w:rsidRPr="00495339">
              <w:rPr>
                <w:rFonts w:ascii="Calibri" w:hAnsi="Calibri" w:cs="Calibri"/>
                <w:b/>
                <w:bCs/>
                <w:color w:val="000000" w:themeColor="text1"/>
              </w:rPr>
              <w:t>ata collection</w:t>
            </w:r>
          </w:p>
        </w:tc>
        <w:tc>
          <w:tcPr>
            <w:tcW w:w="1494" w:type="dxa"/>
          </w:tcPr>
          <w:p w14:paraId="49BBFF11" w14:textId="77777777" w:rsidR="00CC57E8" w:rsidRPr="00495339" w:rsidRDefault="00CC57E8" w:rsidP="00F66194">
            <w:pPr>
              <w:rPr>
                <w:rFonts w:ascii="Calibri" w:hAnsi="Calibri" w:cs="Calibri"/>
                <w:b/>
                <w:bCs/>
                <w:color w:val="000000" w:themeColor="text1"/>
              </w:rPr>
            </w:pPr>
          </w:p>
        </w:tc>
        <w:tc>
          <w:tcPr>
            <w:tcW w:w="1495" w:type="dxa"/>
          </w:tcPr>
          <w:p w14:paraId="4C34FC20"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Jamie,</w:t>
            </w:r>
            <w:r w:rsidRPr="00495339">
              <w:rPr>
                <w:rFonts w:ascii="Calibri" w:hAnsi="Calibri" w:cs="Calibri"/>
                <w:b/>
                <w:bCs/>
                <w:color w:val="000000" w:themeColor="text1"/>
              </w:rPr>
              <w:t xml:space="preserve"> </w:t>
            </w:r>
            <w:r w:rsidRPr="00495339">
              <w:rPr>
                <w:rFonts w:ascii="Calibri" w:hAnsi="Calibri" w:cs="Calibri" w:hint="eastAsia"/>
                <w:b/>
                <w:bCs/>
                <w:color w:val="000000" w:themeColor="text1"/>
              </w:rPr>
              <w:t>Selena,</w:t>
            </w:r>
            <w:r w:rsidRPr="00495339">
              <w:rPr>
                <w:rFonts w:ascii="Calibri" w:hAnsi="Calibri" w:cs="Calibri"/>
                <w:b/>
                <w:bCs/>
                <w:color w:val="000000" w:themeColor="text1"/>
              </w:rPr>
              <w:t xml:space="preserve"> </w:t>
            </w:r>
            <w:r w:rsidRPr="00495339">
              <w:rPr>
                <w:rFonts w:ascii="Calibri" w:hAnsi="Calibri" w:cs="Calibri" w:hint="eastAsia"/>
                <w:b/>
                <w:bCs/>
                <w:color w:val="000000" w:themeColor="text1"/>
              </w:rPr>
              <w:t>Kiana</w:t>
            </w:r>
          </w:p>
        </w:tc>
        <w:tc>
          <w:tcPr>
            <w:tcW w:w="1495" w:type="dxa"/>
          </w:tcPr>
          <w:p w14:paraId="27B9465F" w14:textId="77777777" w:rsidR="00CC57E8" w:rsidRPr="00495339" w:rsidRDefault="00CC57E8" w:rsidP="00F66194">
            <w:pPr>
              <w:rPr>
                <w:rFonts w:ascii="Calibri" w:hAnsi="Calibri" w:cs="Calibri"/>
                <w:b/>
                <w:bCs/>
                <w:color w:val="000000" w:themeColor="text1"/>
              </w:rPr>
            </w:pPr>
          </w:p>
        </w:tc>
        <w:tc>
          <w:tcPr>
            <w:tcW w:w="1495" w:type="dxa"/>
          </w:tcPr>
          <w:p w14:paraId="09CD6FD3" w14:textId="77777777" w:rsidR="00CC57E8" w:rsidRPr="00495339" w:rsidRDefault="00CC57E8" w:rsidP="00F66194">
            <w:pPr>
              <w:rPr>
                <w:rFonts w:ascii="Calibri" w:hAnsi="Calibri" w:cs="Calibri"/>
                <w:b/>
                <w:bCs/>
                <w:color w:val="000000" w:themeColor="text1"/>
              </w:rPr>
            </w:pPr>
          </w:p>
        </w:tc>
      </w:tr>
      <w:tr w:rsidR="00495339" w:rsidRPr="00495339" w14:paraId="53DCB9DC" w14:textId="77777777" w:rsidTr="00F66194">
        <w:tc>
          <w:tcPr>
            <w:tcW w:w="2317" w:type="dxa"/>
          </w:tcPr>
          <w:p w14:paraId="3CB0937F"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D</w:t>
            </w:r>
            <w:r w:rsidRPr="00495339">
              <w:rPr>
                <w:rFonts w:ascii="Calibri" w:hAnsi="Calibri" w:cs="Calibri"/>
                <w:b/>
                <w:bCs/>
                <w:color w:val="000000" w:themeColor="text1"/>
              </w:rPr>
              <w:t xml:space="preserve">ata Analysis </w:t>
            </w:r>
          </w:p>
        </w:tc>
        <w:tc>
          <w:tcPr>
            <w:tcW w:w="1494" w:type="dxa"/>
          </w:tcPr>
          <w:p w14:paraId="5D1749CC" w14:textId="77777777" w:rsidR="00CC57E8" w:rsidRPr="00495339" w:rsidRDefault="00CC57E8" w:rsidP="00F66194">
            <w:pPr>
              <w:rPr>
                <w:rFonts w:ascii="Calibri" w:hAnsi="Calibri" w:cs="Calibri"/>
                <w:b/>
                <w:bCs/>
                <w:color w:val="000000" w:themeColor="text1"/>
              </w:rPr>
            </w:pPr>
          </w:p>
        </w:tc>
        <w:tc>
          <w:tcPr>
            <w:tcW w:w="1495" w:type="dxa"/>
          </w:tcPr>
          <w:p w14:paraId="61770F11" w14:textId="77777777" w:rsidR="00CC57E8" w:rsidRPr="00495339" w:rsidRDefault="00CC57E8" w:rsidP="00F66194">
            <w:pPr>
              <w:rPr>
                <w:rFonts w:ascii="Calibri" w:hAnsi="Calibri" w:cs="Calibri"/>
                <w:b/>
                <w:bCs/>
                <w:color w:val="000000" w:themeColor="text1"/>
              </w:rPr>
            </w:pPr>
          </w:p>
        </w:tc>
        <w:tc>
          <w:tcPr>
            <w:tcW w:w="1495" w:type="dxa"/>
          </w:tcPr>
          <w:p w14:paraId="2F89F7F6"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Jamie,</w:t>
            </w:r>
            <w:r w:rsidRPr="00495339">
              <w:rPr>
                <w:rFonts w:ascii="Calibri" w:hAnsi="Calibri" w:cs="Calibri"/>
                <w:b/>
                <w:bCs/>
                <w:color w:val="000000" w:themeColor="text1"/>
              </w:rPr>
              <w:t xml:space="preserve"> </w:t>
            </w:r>
            <w:r w:rsidRPr="00495339">
              <w:rPr>
                <w:rFonts w:ascii="Calibri" w:hAnsi="Calibri" w:cs="Calibri" w:hint="eastAsia"/>
                <w:b/>
                <w:bCs/>
                <w:color w:val="000000" w:themeColor="text1"/>
              </w:rPr>
              <w:t>Kiana</w:t>
            </w:r>
          </w:p>
        </w:tc>
        <w:tc>
          <w:tcPr>
            <w:tcW w:w="1495" w:type="dxa"/>
          </w:tcPr>
          <w:p w14:paraId="5AFA6AB6" w14:textId="77777777" w:rsidR="00CC57E8" w:rsidRPr="00495339" w:rsidRDefault="00CC57E8" w:rsidP="00F66194">
            <w:pPr>
              <w:rPr>
                <w:rFonts w:ascii="Calibri" w:hAnsi="Calibri" w:cs="Calibri"/>
                <w:b/>
                <w:bCs/>
                <w:color w:val="000000" w:themeColor="text1"/>
              </w:rPr>
            </w:pPr>
          </w:p>
        </w:tc>
      </w:tr>
      <w:tr w:rsidR="00495339" w:rsidRPr="00495339" w14:paraId="5F201A2F" w14:textId="77777777" w:rsidTr="00F66194">
        <w:tc>
          <w:tcPr>
            <w:tcW w:w="2317" w:type="dxa"/>
          </w:tcPr>
          <w:p w14:paraId="55D2FC6B"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C</w:t>
            </w:r>
            <w:r w:rsidRPr="00495339">
              <w:rPr>
                <w:rFonts w:ascii="Calibri" w:hAnsi="Calibri" w:cs="Calibri"/>
                <w:b/>
                <w:bCs/>
                <w:color w:val="000000" w:themeColor="text1"/>
              </w:rPr>
              <w:t>onclusions</w:t>
            </w:r>
          </w:p>
        </w:tc>
        <w:tc>
          <w:tcPr>
            <w:tcW w:w="1494" w:type="dxa"/>
          </w:tcPr>
          <w:p w14:paraId="1A2A8A5C" w14:textId="77777777" w:rsidR="00CC57E8" w:rsidRPr="00495339" w:rsidRDefault="00CC57E8" w:rsidP="00F66194">
            <w:pPr>
              <w:rPr>
                <w:rFonts w:ascii="Calibri" w:hAnsi="Calibri" w:cs="Calibri"/>
                <w:b/>
                <w:bCs/>
                <w:color w:val="000000" w:themeColor="text1"/>
              </w:rPr>
            </w:pPr>
          </w:p>
        </w:tc>
        <w:tc>
          <w:tcPr>
            <w:tcW w:w="1495" w:type="dxa"/>
          </w:tcPr>
          <w:p w14:paraId="6D0ABE11" w14:textId="77777777" w:rsidR="00CC57E8" w:rsidRPr="00495339" w:rsidRDefault="00CC57E8" w:rsidP="00F66194">
            <w:pPr>
              <w:rPr>
                <w:rFonts w:ascii="Calibri" w:hAnsi="Calibri" w:cs="Calibri"/>
                <w:b/>
                <w:bCs/>
                <w:color w:val="000000" w:themeColor="text1"/>
              </w:rPr>
            </w:pPr>
          </w:p>
        </w:tc>
        <w:tc>
          <w:tcPr>
            <w:tcW w:w="1495" w:type="dxa"/>
          </w:tcPr>
          <w:p w14:paraId="502A796D"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Selena</w:t>
            </w:r>
          </w:p>
        </w:tc>
        <w:tc>
          <w:tcPr>
            <w:tcW w:w="1495" w:type="dxa"/>
          </w:tcPr>
          <w:p w14:paraId="08813021" w14:textId="77777777" w:rsidR="00CC57E8" w:rsidRPr="00495339" w:rsidRDefault="00CC57E8" w:rsidP="00F66194">
            <w:pPr>
              <w:rPr>
                <w:rFonts w:ascii="Calibri" w:hAnsi="Calibri" w:cs="Calibri"/>
                <w:b/>
                <w:bCs/>
                <w:color w:val="000000" w:themeColor="text1"/>
              </w:rPr>
            </w:pPr>
          </w:p>
        </w:tc>
      </w:tr>
      <w:tr w:rsidR="00495339" w:rsidRPr="00495339" w14:paraId="4C541A99" w14:textId="77777777" w:rsidTr="00F66194">
        <w:tc>
          <w:tcPr>
            <w:tcW w:w="2317" w:type="dxa"/>
          </w:tcPr>
          <w:p w14:paraId="6D995FC1"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F</w:t>
            </w:r>
            <w:r w:rsidRPr="00495339">
              <w:rPr>
                <w:rFonts w:ascii="Calibri" w:hAnsi="Calibri" w:cs="Calibri"/>
                <w:b/>
                <w:bCs/>
                <w:color w:val="000000" w:themeColor="text1"/>
              </w:rPr>
              <w:t>inal check</w:t>
            </w:r>
          </w:p>
        </w:tc>
        <w:tc>
          <w:tcPr>
            <w:tcW w:w="1494" w:type="dxa"/>
          </w:tcPr>
          <w:p w14:paraId="2FFB516C" w14:textId="77777777" w:rsidR="00CC57E8" w:rsidRPr="00495339" w:rsidRDefault="00CC57E8" w:rsidP="00F66194">
            <w:pPr>
              <w:rPr>
                <w:rFonts w:ascii="Calibri" w:hAnsi="Calibri" w:cs="Calibri"/>
                <w:b/>
                <w:bCs/>
                <w:color w:val="000000" w:themeColor="text1"/>
              </w:rPr>
            </w:pPr>
          </w:p>
        </w:tc>
        <w:tc>
          <w:tcPr>
            <w:tcW w:w="1495" w:type="dxa"/>
          </w:tcPr>
          <w:p w14:paraId="576F5BB3" w14:textId="77777777" w:rsidR="00CC57E8" w:rsidRPr="00495339" w:rsidRDefault="00CC57E8" w:rsidP="00F66194">
            <w:pPr>
              <w:rPr>
                <w:rFonts w:ascii="Calibri" w:hAnsi="Calibri" w:cs="Calibri"/>
                <w:b/>
                <w:bCs/>
                <w:color w:val="000000" w:themeColor="text1"/>
              </w:rPr>
            </w:pPr>
          </w:p>
        </w:tc>
        <w:tc>
          <w:tcPr>
            <w:tcW w:w="1495" w:type="dxa"/>
          </w:tcPr>
          <w:p w14:paraId="661DB618" w14:textId="77777777" w:rsidR="00CC57E8" w:rsidRPr="00495339" w:rsidRDefault="00CC57E8" w:rsidP="00F66194">
            <w:pPr>
              <w:rPr>
                <w:rFonts w:ascii="Calibri" w:hAnsi="Calibri" w:cs="Calibri"/>
                <w:b/>
                <w:bCs/>
                <w:color w:val="000000" w:themeColor="text1"/>
              </w:rPr>
            </w:pPr>
          </w:p>
        </w:tc>
        <w:tc>
          <w:tcPr>
            <w:tcW w:w="1495" w:type="dxa"/>
          </w:tcPr>
          <w:p w14:paraId="1CDFAF48" w14:textId="77777777" w:rsidR="00CC57E8" w:rsidRPr="00495339" w:rsidRDefault="00CC57E8" w:rsidP="00F66194">
            <w:pPr>
              <w:rPr>
                <w:rFonts w:ascii="Calibri" w:hAnsi="Calibri" w:cs="Calibri"/>
                <w:b/>
                <w:bCs/>
                <w:color w:val="000000" w:themeColor="text1"/>
              </w:rPr>
            </w:pPr>
            <w:r w:rsidRPr="00495339">
              <w:rPr>
                <w:rFonts w:ascii="Calibri" w:hAnsi="Calibri" w:cs="Calibri" w:hint="eastAsia"/>
                <w:b/>
                <w:bCs/>
                <w:color w:val="000000" w:themeColor="text1"/>
              </w:rPr>
              <w:t>K</w:t>
            </w:r>
            <w:r w:rsidRPr="00495339">
              <w:rPr>
                <w:rFonts w:ascii="Calibri" w:hAnsi="Calibri" w:cs="Calibri"/>
                <w:b/>
                <w:bCs/>
                <w:color w:val="000000" w:themeColor="text1"/>
              </w:rPr>
              <w:t>iana</w:t>
            </w:r>
          </w:p>
        </w:tc>
      </w:tr>
    </w:tbl>
    <w:p w14:paraId="17A01D0D" w14:textId="77777777" w:rsidR="00CC57E8" w:rsidRDefault="00CC57E8">
      <w:pPr>
        <w:rPr>
          <w:rFonts w:ascii="Calibri" w:hAnsi="Calibri" w:cs="Calibri"/>
          <w:b/>
          <w:bCs/>
          <w:color w:val="FF0000"/>
        </w:rPr>
      </w:pPr>
    </w:p>
    <w:p w14:paraId="7EA0B363" w14:textId="77777777" w:rsidR="00C04C59" w:rsidRPr="00C04C59" w:rsidRDefault="00C04C59">
      <w:pPr>
        <w:rPr>
          <w:rFonts w:ascii="Calibri" w:hAnsi="Calibri" w:cs="Calibri"/>
          <w:b/>
          <w:bCs/>
          <w:color w:val="FF0000"/>
        </w:rPr>
      </w:pPr>
    </w:p>
    <w:p w14:paraId="1BC90AEB" w14:textId="77777777" w:rsidR="00240467" w:rsidRPr="00240467" w:rsidRDefault="00240467" w:rsidP="00240467">
      <w:pPr>
        <w:rPr>
          <w:rFonts w:ascii="Calibri" w:hAnsi="Calibri" w:cs="Calibri"/>
          <w:b/>
        </w:rPr>
      </w:pPr>
      <w:r w:rsidRPr="00240467">
        <w:rPr>
          <w:rFonts w:ascii="Calibri" w:hAnsi="Calibri" w:cs="Calibri"/>
          <w:b/>
        </w:rPr>
        <w:t>Research Sample</w:t>
      </w:r>
    </w:p>
    <w:p w14:paraId="0AB4A893" w14:textId="4D436DEC" w:rsidR="00240467" w:rsidRPr="00240467" w:rsidRDefault="00240467" w:rsidP="00240467">
      <w:pPr>
        <w:rPr>
          <w:rFonts w:ascii="Calibri" w:hAnsi="Calibri" w:cs="Calibri"/>
        </w:rPr>
      </w:pPr>
      <w:r w:rsidRPr="00240467">
        <w:rPr>
          <w:rFonts w:ascii="Calibri" w:hAnsi="Calibri" w:cs="Calibri"/>
        </w:rPr>
        <w:tab/>
        <w:t xml:space="preserve">In this study, a questionnaire survey </w:t>
      </w:r>
      <w:r w:rsidR="0064374F">
        <w:rPr>
          <w:rFonts w:ascii="Calibri" w:hAnsi="Calibri" w:cs="Calibri" w:hint="eastAsia"/>
        </w:rPr>
        <w:t>will</w:t>
      </w:r>
      <w:r w:rsidR="0064374F">
        <w:rPr>
          <w:rFonts w:ascii="Calibri" w:hAnsi="Calibri" w:cs="Calibri"/>
        </w:rPr>
        <w:t xml:space="preserve"> be </w:t>
      </w:r>
      <w:r w:rsidRPr="00240467">
        <w:rPr>
          <w:rFonts w:ascii="Calibri" w:hAnsi="Calibri" w:cs="Calibri"/>
        </w:rPr>
        <w:t xml:space="preserve">conducted to recruit subjects through the WeChat platform, and students from several middle schools and universities in Beijing </w:t>
      </w:r>
      <w:r w:rsidR="0064374F">
        <w:rPr>
          <w:rFonts w:ascii="Calibri" w:hAnsi="Calibri" w:cs="Calibri"/>
        </w:rPr>
        <w:t>will be</w:t>
      </w:r>
      <w:r w:rsidRPr="00240467">
        <w:rPr>
          <w:rFonts w:ascii="Calibri" w:hAnsi="Calibri" w:cs="Calibri"/>
        </w:rPr>
        <w:t xml:space="preserve"> investigated. This study </w:t>
      </w:r>
      <w:r w:rsidR="0064374F">
        <w:rPr>
          <w:rFonts w:ascii="Calibri" w:hAnsi="Calibri" w:cs="Calibri"/>
        </w:rPr>
        <w:t>will promise</w:t>
      </w:r>
      <w:r w:rsidRPr="00240467">
        <w:rPr>
          <w:rFonts w:ascii="Calibri" w:hAnsi="Calibri" w:cs="Calibri"/>
        </w:rPr>
        <w:t xml:space="preserve"> the </w:t>
      </w:r>
      <w:r w:rsidR="0064374F">
        <w:rPr>
          <w:rFonts w:ascii="Calibri" w:hAnsi="Calibri" w:cs="Calibri"/>
        </w:rPr>
        <w:t xml:space="preserve">participants’ </w:t>
      </w:r>
      <w:r w:rsidRPr="00240467">
        <w:rPr>
          <w:rFonts w:ascii="Calibri" w:hAnsi="Calibri" w:cs="Calibri"/>
        </w:rPr>
        <w:t xml:space="preserve">confidentiality and </w:t>
      </w:r>
      <w:r w:rsidR="0064374F">
        <w:rPr>
          <w:rFonts w:ascii="Calibri" w:hAnsi="Calibri" w:cs="Calibri"/>
        </w:rPr>
        <w:t>require</w:t>
      </w:r>
      <w:r w:rsidRPr="00240467">
        <w:rPr>
          <w:rFonts w:ascii="Calibri" w:hAnsi="Calibri" w:cs="Calibri"/>
        </w:rPr>
        <w:t xml:space="preserve"> them to review their performance in a specific group </w:t>
      </w:r>
      <w:r w:rsidR="0064374F">
        <w:rPr>
          <w:rFonts w:ascii="Calibri" w:hAnsi="Calibri" w:cs="Calibri"/>
        </w:rPr>
        <w:t>at a past</w:t>
      </w:r>
      <w:r w:rsidRPr="00240467">
        <w:rPr>
          <w:rFonts w:ascii="Calibri" w:hAnsi="Calibri" w:cs="Calibri"/>
        </w:rPr>
        <w:t xml:space="preserve"> time </w:t>
      </w:r>
      <w:r w:rsidR="0064374F">
        <w:rPr>
          <w:rFonts w:ascii="Calibri" w:hAnsi="Calibri" w:cs="Calibri"/>
        </w:rPr>
        <w:t xml:space="preserve">period, then </w:t>
      </w:r>
      <w:r w:rsidRPr="00240467">
        <w:rPr>
          <w:rFonts w:ascii="Calibri" w:hAnsi="Calibri" w:cs="Calibri"/>
        </w:rPr>
        <w:t>answer according to the</w:t>
      </w:r>
      <w:r w:rsidR="0064374F">
        <w:rPr>
          <w:rFonts w:ascii="Calibri" w:hAnsi="Calibri" w:cs="Calibri"/>
        </w:rPr>
        <w:t xml:space="preserve">ir </w:t>
      </w:r>
      <w:r w:rsidRPr="00240467">
        <w:rPr>
          <w:rFonts w:ascii="Calibri" w:hAnsi="Calibri" w:cs="Calibri"/>
        </w:rPr>
        <w:t xml:space="preserve">situation. This study </w:t>
      </w:r>
      <w:r w:rsidR="0064374F">
        <w:rPr>
          <w:rFonts w:ascii="Calibri" w:hAnsi="Calibri" w:cs="Calibri"/>
        </w:rPr>
        <w:t>will provide</w:t>
      </w:r>
      <w:r w:rsidRPr="00240467">
        <w:rPr>
          <w:rFonts w:ascii="Calibri" w:hAnsi="Calibri" w:cs="Calibri"/>
        </w:rPr>
        <w:t xml:space="preserve"> each participant with a reward of 4 yuan. In order to meet the research purpose and improve the quality of the questionnaire, the subjects </w:t>
      </w:r>
      <w:r w:rsidR="0064374F">
        <w:rPr>
          <w:rFonts w:ascii="Calibri" w:hAnsi="Calibri" w:cs="Calibri"/>
        </w:rPr>
        <w:t>will be</w:t>
      </w:r>
      <w:r w:rsidRPr="00240467">
        <w:rPr>
          <w:rFonts w:ascii="Calibri" w:hAnsi="Calibri" w:cs="Calibri"/>
        </w:rPr>
        <w:t xml:space="preserve"> asked to choose a group that met the following six requirements in the questionnaire instruction: </w:t>
      </w:r>
    </w:p>
    <w:p w14:paraId="4FB3C2A7" w14:textId="77777777" w:rsidR="00240467" w:rsidRPr="00240467" w:rsidRDefault="00240467" w:rsidP="00240467">
      <w:pPr>
        <w:rPr>
          <w:rFonts w:ascii="Calibri" w:hAnsi="Calibri" w:cs="Calibri"/>
        </w:rPr>
      </w:pPr>
      <w:r w:rsidRPr="00240467">
        <w:rPr>
          <w:rFonts w:ascii="Calibri" w:hAnsi="Calibri" w:cs="Calibri"/>
        </w:rPr>
        <w:t xml:space="preserve">(1) The group is formed to complete a specific task. </w:t>
      </w:r>
    </w:p>
    <w:p w14:paraId="3E3F63CC" w14:textId="77777777" w:rsidR="00240467" w:rsidRPr="00240467" w:rsidRDefault="00240467" w:rsidP="00240467">
      <w:pPr>
        <w:rPr>
          <w:rFonts w:ascii="Calibri" w:hAnsi="Calibri" w:cs="Calibri"/>
        </w:rPr>
      </w:pPr>
      <w:r w:rsidRPr="00240467">
        <w:rPr>
          <w:rFonts w:ascii="Calibri" w:hAnsi="Calibri" w:cs="Calibri"/>
        </w:rPr>
        <w:t>(2) The group's performance will be evaluated as a whole.</w:t>
      </w:r>
    </w:p>
    <w:p w14:paraId="20E46EDD" w14:textId="77777777" w:rsidR="00240467" w:rsidRPr="00240467" w:rsidRDefault="00240467" w:rsidP="00240467">
      <w:pPr>
        <w:rPr>
          <w:rFonts w:ascii="Calibri" w:hAnsi="Calibri" w:cs="Calibri"/>
        </w:rPr>
      </w:pPr>
      <w:r w:rsidRPr="00240467">
        <w:rPr>
          <w:rFonts w:ascii="Calibri" w:hAnsi="Calibri" w:cs="Calibri"/>
        </w:rPr>
        <w:t>(3) The respondents participated in the group's activities in the past three months.</w:t>
      </w:r>
    </w:p>
    <w:p w14:paraId="767DE162" w14:textId="77777777" w:rsidR="00240467" w:rsidRPr="00240467" w:rsidRDefault="00240467" w:rsidP="00240467">
      <w:pPr>
        <w:rPr>
          <w:rFonts w:ascii="Calibri" w:hAnsi="Calibri" w:cs="Calibri"/>
        </w:rPr>
      </w:pPr>
      <w:r w:rsidRPr="00240467">
        <w:rPr>
          <w:rFonts w:ascii="Calibri" w:hAnsi="Calibri" w:cs="Calibri"/>
        </w:rPr>
        <w:t>(4) The group consists of at least three members.</w:t>
      </w:r>
    </w:p>
    <w:p w14:paraId="563C6948" w14:textId="77777777" w:rsidR="00240467" w:rsidRPr="00240467" w:rsidRDefault="00240467" w:rsidP="00240467">
      <w:pPr>
        <w:rPr>
          <w:rFonts w:ascii="Calibri" w:hAnsi="Calibri" w:cs="Calibri"/>
        </w:rPr>
      </w:pPr>
      <w:r w:rsidRPr="00240467">
        <w:rPr>
          <w:rFonts w:ascii="Calibri" w:hAnsi="Calibri" w:cs="Calibri"/>
        </w:rPr>
        <w:t>(5) The respondent has been involved in the group’s activities for at least three days.</w:t>
      </w:r>
    </w:p>
    <w:p w14:paraId="669FD296" w14:textId="77777777" w:rsidR="00240467" w:rsidRPr="00240467" w:rsidRDefault="00240467" w:rsidP="00240467">
      <w:pPr>
        <w:rPr>
          <w:rFonts w:ascii="Calibri" w:hAnsi="Calibri" w:cs="Calibri"/>
        </w:rPr>
      </w:pPr>
      <w:r w:rsidRPr="00240467">
        <w:rPr>
          <w:rFonts w:ascii="Calibri" w:hAnsi="Calibri" w:cs="Calibri"/>
        </w:rPr>
        <w:t>(6) The respondents have participated in the group's activities at least once a week (online and offline).</w:t>
      </w:r>
    </w:p>
    <w:p w14:paraId="1C5E9FC2" w14:textId="7FA9CE3F" w:rsidR="00240467" w:rsidRPr="000F6989" w:rsidRDefault="00240467" w:rsidP="00240467">
      <w:pPr>
        <w:rPr>
          <w:rFonts w:ascii="Calibri" w:hAnsi="Calibri" w:cs="Calibri"/>
          <w:strike/>
        </w:rPr>
      </w:pPr>
    </w:p>
    <w:p w14:paraId="75239217" w14:textId="77777777" w:rsidR="00240467" w:rsidRPr="00240467" w:rsidRDefault="00240467" w:rsidP="00240467">
      <w:pPr>
        <w:rPr>
          <w:rFonts w:ascii="Calibri" w:hAnsi="Calibri" w:cs="Calibri"/>
          <w:b/>
        </w:rPr>
      </w:pPr>
      <w:r w:rsidRPr="00240467">
        <w:rPr>
          <w:rFonts w:ascii="Calibri" w:hAnsi="Calibri" w:cs="Calibri"/>
          <w:b/>
        </w:rPr>
        <w:t>Measurement of variables</w:t>
      </w:r>
    </w:p>
    <w:p w14:paraId="6D41E1CD" w14:textId="77777777" w:rsidR="000F6989" w:rsidRDefault="00240467" w:rsidP="00240467">
      <w:pPr>
        <w:rPr>
          <w:rFonts w:ascii="Calibri" w:hAnsi="Calibri" w:cs="Calibri"/>
        </w:rPr>
      </w:pPr>
      <w:r w:rsidRPr="00240467">
        <w:rPr>
          <w:rFonts w:ascii="Calibri" w:hAnsi="Calibri" w:cs="Calibri"/>
        </w:rPr>
        <w:tab/>
      </w:r>
      <w:r w:rsidR="000F6989" w:rsidRPr="000F6989">
        <w:rPr>
          <w:rFonts w:ascii="Calibri" w:hAnsi="Calibri" w:cs="Calibri"/>
        </w:rPr>
        <w:t>We plan to conduct a hierarchical regression analysis to investigate the relationship between moral disengagement and social loafing.</w:t>
      </w:r>
    </w:p>
    <w:p w14:paraId="70A87A88" w14:textId="0DE03445" w:rsidR="00240467" w:rsidRPr="00240467" w:rsidRDefault="00240467" w:rsidP="000F6989">
      <w:pPr>
        <w:ind w:firstLine="420"/>
        <w:rPr>
          <w:rFonts w:ascii="Calibri" w:hAnsi="Calibri" w:cs="Calibri"/>
        </w:rPr>
      </w:pPr>
      <w:r w:rsidRPr="00240467">
        <w:rPr>
          <w:rFonts w:ascii="Calibri" w:hAnsi="Calibri" w:cs="Calibri"/>
        </w:rPr>
        <w:t xml:space="preserve">The measurement tools used in this study were all published, scholarly reviewed scales. </w:t>
      </w:r>
      <w:r w:rsidR="000F6989">
        <w:rPr>
          <w:rFonts w:ascii="Calibri" w:hAnsi="Calibri" w:cs="Calibri"/>
        </w:rPr>
        <w:t>A</w:t>
      </w:r>
      <w:r w:rsidRPr="00240467">
        <w:rPr>
          <w:rFonts w:ascii="Calibri" w:hAnsi="Calibri" w:cs="Calibri"/>
        </w:rPr>
        <w:t>ll variables in th</w:t>
      </w:r>
      <w:r w:rsidR="000F6989">
        <w:rPr>
          <w:rFonts w:ascii="Calibri" w:hAnsi="Calibri" w:cs="Calibri"/>
        </w:rPr>
        <w:t>e</w:t>
      </w:r>
      <w:r w:rsidRPr="00240467">
        <w:rPr>
          <w:rFonts w:ascii="Calibri" w:hAnsi="Calibri" w:cs="Calibri"/>
        </w:rPr>
        <w:t xml:space="preserve"> study were measured by Likert seven-point scale, with one representing "completely inconsistent" or "strongly disagree" and seven representing "completely consistent" or "strongly agree." In order to adapt to the specific situation of this study, necessary adjustments were made to some items in the scales. The measurement methods of each variable are as follows:</w:t>
      </w:r>
    </w:p>
    <w:p w14:paraId="0A71AF1E" w14:textId="77777777" w:rsidR="00240467" w:rsidRPr="00240467" w:rsidRDefault="00240467" w:rsidP="00240467">
      <w:pPr>
        <w:rPr>
          <w:rFonts w:ascii="Calibri" w:hAnsi="Calibri" w:cs="Calibri"/>
        </w:rPr>
      </w:pPr>
      <w:r w:rsidRPr="00240467">
        <w:rPr>
          <w:rFonts w:ascii="Calibri" w:hAnsi="Calibri" w:cs="Calibri"/>
        </w:rPr>
        <w:t>(1) Moral Disengagement:</w:t>
      </w:r>
    </w:p>
    <w:p w14:paraId="4657C12E" w14:textId="77777777" w:rsidR="00240467" w:rsidRPr="00240467" w:rsidRDefault="00240467" w:rsidP="00240467">
      <w:pPr>
        <w:rPr>
          <w:rFonts w:ascii="Calibri" w:hAnsi="Calibri" w:cs="Calibri"/>
        </w:rPr>
      </w:pPr>
      <w:r w:rsidRPr="00240467">
        <w:rPr>
          <w:rFonts w:ascii="Calibri" w:hAnsi="Calibri" w:cs="Calibri"/>
        </w:rPr>
        <w:tab/>
        <w:t>Seven measurement items were selected from the scale developed by Bandura (1986). A representative item includes, "it is tolerable to take something without the owner's permission if it is just borrowing." The Cronbach's alpha coefficient of the scale in this study is 0.880.</w:t>
      </w:r>
    </w:p>
    <w:p w14:paraId="70D05190" w14:textId="25D6B894" w:rsidR="00C04C59" w:rsidRPr="00C04C59" w:rsidRDefault="00C04C59" w:rsidP="00C04C59">
      <w:pPr>
        <w:rPr>
          <w:rFonts w:ascii="Calibri" w:hAnsi="Calibri" w:cs="Calibri"/>
        </w:rPr>
      </w:pPr>
      <w:r w:rsidRPr="00C04C59">
        <w:rPr>
          <w:rFonts w:ascii="Calibri" w:hAnsi="Calibri" w:cs="Calibri"/>
        </w:rPr>
        <w:t>(</w:t>
      </w:r>
      <w:r>
        <w:rPr>
          <w:rFonts w:ascii="Calibri" w:hAnsi="Calibri" w:cs="Calibri"/>
        </w:rPr>
        <w:t>2</w:t>
      </w:r>
      <w:r w:rsidRPr="00C04C59">
        <w:rPr>
          <w:rFonts w:ascii="Calibri" w:hAnsi="Calibri" w:cs="Calibri"/>
        </w:rPr>
        <w:t>) Social Loafing:</w:t>
      </w:r>
    </w:p>
    <w:p w14:paraId="71FAC086" w14:textId="5C24F330" w:rsidR="00C04C59" w:rsidRPr="00C04C59" w:rsidRDefault="00C04C59" w:rsidP="00C04C59">
      <w:pPr>
        <w:rPr>
          <w:rFonts w:ascii="Calibri" w:hAnsi="Calibri" w:cs="Calibri"/>
        </w:rPr>
      </w:pPr>
      <w:r w:rsidRPr="00C04C59">
        <w:rPr>
          <w:rFonts w:ascii="Calibri" w:hAnsi="Calibri" w:cs="Calibri" w:hint="eastAsia"/>
        </w:rPr>
        <w:tab/>
        <w:t xml:space="preserve">Eight measurement items were selected from the scale developed by George and J.M. (1992), one of which was a reverse scoring question. Representative items include </w:t>
      </w:r>
      <w:r>
        <w:rPr>
          <w:rFonts w:ascii="Calibri" w:hAnsi="Calibri" w:cs="Calibri"/>
        </w:rPr>
        <w:t>“</w:t>
      </w:r>
      <w:r w:rsidRPr="00C04C59">
        <w:rPr>
          <w:rFonts w:ascii="Calibri" w:hAnsi="Calibri" w:cs="Calibri" w:hint="eastAsia"/>
        </w:rPr>
        <w:t>While others are working hard, I feel that me doing less will not affect the final result of the project.</w:t>
      </w:r>
      <w:r>
        <w:rPr>
          <w:rFonts w:ascii="Calibri" w:hAnsi="Calibri" w:cs="Calibri"/>
        </w:rPr>
        <w:t>”</w:t>
      </w:r>
      <w:r w:rsidRPr="00C04C59">
        <w:rPr>
          <w:rFonts w:ascii="Calibri" w:hAnsi="Calibri" w:cs="Calibri" w:hint="eastAsia"/>
        </w:rPr>
        <w:t xml:space="preserve"> The Cronbach's </w:t>
      </w:r>
      <w:r w:rsidRPr="00C04C59">
        <w:rPr>
          <w:rFonts w:ascii="Calibri" w:hAnsi="Calibri" w:cs="Calibri"/>
        </w:rPr>
        <w:t>alpha</w:t>
      </w:r>
      <w:r w:rsidRPr="00C04C59">
        <w:rPr>
          <w:rFonts w:ascii="Calibri" w:hAnsi="Calibri" w:cs="Calibri" w:hint="eastAsia"/>
        </w:rPr>
        <w:t xml:space="preserve"> coefficient of the</w:t>
      </w:r>
      <w:r w:rsidRPr="00C04C59">
        <w:rPr>
          <w:rFonts w:ascii="Calibri" w:hAnsi="Calibri" w:cs="Calibri"/>
        </w:rPr>
        <w:t xml:space="preserve"> scale in this study</w:t>
      </w:r>
      <w:r w:rsidRPr="00C04C59">
        <w:rPr>
          <w:rFonts w:ascii="Calibri" w:hAnsi="Calibri" w:cs="Calibri" w:hint="eastAsia"/>
        </w:rPr>
        <w:t xml:space="preserve"> is 0.785.</w:t>
      </w:r>
    </w:p>
    <w:p w14:paraId="7AE31523" w14:textId="77777777" w:rsidR="00C04C59" w:rsidRPr="009F52FB" w:rsidRDefault="00C04C59">
      <w:pPr>
        <w:rPr>
          <w:rFonts w:ascii="Calibri" w:hAnsi="Calibri" w:cs="Calibri"/>
        </w:rPr>
      </w:pPr>
    </w:p>
    <w:p w14:paraId="3D858B1F" w14:textId="77777777" w:rsidR="00240467" w:rsidRPr="009F52FB" w:rsidRDefault="00240467">
      <w:pPr>
        <w:rPr>
          <w:rFonts w:ascii="Calibri" w:hAnsi="Calibri" w:cs="Calibri"/>
        </w:rPr>
      </w:pPr>
    </w:p>
    <w:p w14:paraId="3355EBA6" w14:textId="1C157EAF" w:rsidR="00C04C59" w:rsidRPr="00C04C59" w:rsidRDefault="00C04C59" w:rsidP="00C04C59">
      <w:pPr>
        <w:rPr>
          <w:rFonts w:ascii="Calibri" w:hAnsi="Calibri" w:cs="Calibri"/>
          <w:strike/>
        </w:rPr>
      </w:pPr>
      <w:r w:rsidRPr="00C04C59">
        <w:rPr>
          <w:rFonts w:ascii="Calibri" w:hAnsi="Calibri" w:cs="Calibri"/>
          <w:strike/>
        </w:rPr>
        <w:lastRenderedPageBreak/>
        <w:t xml:space="preserve"> </w:t>
      </w:r>
    </w:p>
    <w:p w14:paraId="023E042B" w14:textId="2E0434DC" w:rsidR="00C04C59" w:rsidRPr="00C04C59" w:rsidRDefault="00C04C59" w:rsidP="00C04C59">
      <w:pPr>
        <w:rPr>
          <w:rFonts w:ascii="Calibri" w:hAnsi="Calibri" w:cs="Calibri"/>
          <w:strike/>
        </w:rPr>
      </w:pPr>
    </w:p>
    <w:p w14:paraId="4736F569" w14:textId="77777777" w:rsidR="00240467" w:rsidRPr="009F52FB" w:rsidRDefault="00240467">
      <w:pPr>
        <w:rPr>
          <w:rFonts w:ascii="Calibri" w:hAnsi="Calibri" w:cs="Calibri"/>
        </w:rPr>
      </w:pPr>
    </w:p>
    <w:p w14:paraId="22718C1F" w14:textId="77777777" w:rsidR="00240467" w:rsidRPr="009F52FB" w:rsidRDefault="00240467">
      <w:pPr>
        <w:rPr>
          <w:rFonts w:ascii="Calibri" w:hAnsi="Calibri" w:cs="Calibri"/>
        </w:rPr>
      </w:pPr>
    </w:p>
    <w:p w14:paraId="791945F8" w14:textId="77777777" w:rsidR="00240467" w:rsidRPr="009F52FB" w:rsidRDefault="00240467">
      <w:pPr>
        <w:rPr>
          <w:rFonts w:ascii="Calibri" w:hAnsi="Calibri" w:cs="Calibri"/>
        </w:rPr>
      </w:pPr>
    </w:p>
    <w:sectPr w:rsidR="00240467" w:rsidRPr="009F52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6057" w14:textId="77777777" w:rsidR="00A95F28" w:rsidRDefault="00A95F28" w:rsidP="00C04C59">
      <w:r>
        <w:separator/>
      </w:r>
    </w:p>
  </w:endnote>
  <w:endnote w:type="continuationSeparator" w:id="0">
    <w:p w14:paraId="08352AC8" w14:textId="77777777" w:rsidR="00A95F28" w:rsidRDefault="00A95F28" w:rsidP="00C04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49FB1" w14:textId="77777777" w:rsidR="00A95F28" w:rsidRDefault="00A95F28" w:rsidP="00C04C59">
      <w:r>
        <w:separator/>
      </w:r>
    </w:p>
  </w:footnote>
  <w:footnote w:type="continuationSeparator" w:id="0">
    <w:p w14:paraId="34F59EF4" w14:textId="77777777" w:rsidR="00A95F28" w:rsidRDefault="00A95F28" w:rsidP="00C04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E04"/>
    <w:multiLevelType w:val="hybridMultilevel"/>
    <w:tmpl w:val="C9C641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0528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67"/>
    <w:rsid w:val="00022462"/>
    <w:rsid w:val="000F6989"/>
    <w:rsid w:val="0014080F"/>
    <w:rsid w:val="00240467"/>
    <w:rsid w:val="0039324F"/>
    <w:rsid w:val="003B52F7"/>
    <w:rsid w:val="0047092A"/>
    <w:rsid w:val="00495339"/>
    <w:rsid w:val="005D78DB"/>
    <w:rsid w:val="0064374F"/>
    <w:rsid w:val="007941B5"/>
    <w:rsid w:val="00813CA8"/>
    <w:rsid w:val="00917ACD"/>
    <w:rsid w:val="009F52FB"/>
    <w:rsid w:val="00A95F28"/>
    <w:rsid w:val="00B7119D"/>
    <w:rsid w:val="00BA0923"/>
    <w:rsid w:val="00C04C59"/>
    <w:rsid w:val="00CC57E8"/>
    <w:rsid w:val="00D23235"/>
    <w:rsid w:val="00E208F7"/>
    <w:rsid w:val="00EB2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81C2C"/>
  <w15:chartTrackingRefBased/>
  <w15:docId w15:val="{4B30A684-37FC-41BC-8495-31FF11A2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2FB"/>
    <w:pPr>
      <w:ind w:firstLineChars="200" w:firstLine="420"/>
    </w:pPr>
  </w:style>
  <w:style w:type="character" w:styleId="a4">
    <w:name w:val="annotation reference"/>
    <w:basedOn w:val="a0"/>
    <w:uiPriority w:val="99"/>
    <w:semiHidden/>
    <w:unhideWhenUsed/>
    <w:rsid w:val="0047092A"/>
    <w:rPr>
      <w:sz w:val="21"/>
      <w:szCs w:val="21"/>
    </w:rPr>
  </w:style>
  <w:style w:type="paragraph" w:styleId="a5">
    <w:name w:val="annotation text"/>
    <w:basedOn w:val="a"/>
    <w:link w:val="a6"/>
    <w:uiPriority w:val="99"/>
    <w:semiHidden/>
    <w:unhideWhenUsed/>
    <w:rsid w:val="0047092A"/>
    <w:pPr>
      <w:jc w:val="left"/>
    </w:pPr>
  </w:style>
  <w:style w:type="character" w:customStyle="1" w:styleId="a6">
    <w:name w:val="批注文字 字符"/>
    <w:basedOn w:val="a0"/>
    <w:link w:val="a5"/>
    <w:uiPriority w:val="99"/>
    <w:semiHidden/>
    <w:rsid w:val="0047092A"/>
  </w:style>
  <w:style w:type="paragraph" w:styleId="a7">
    <w:name w:val="annotation subject"/>
    <w:basedOn w:val="a5"/>
    <w:next w:val="a5"/>
    <w:link w:val="a8"/>
    <w:uiPriority w:val="99"/>
    <w:semiHidden/>
    <w:unhideWhenUsed/>
    <w:rsid w:val="0047092A"/>
    <w:rPr>
      <w:b/>
      <w:bCs/>
    </w:rPr>
  </w:style>
  <w:style w:type="character" w:customStyle="1" w:styleId="a8">
    <w:name w:val="批注主题 字符"/>
    <w:basedOn w:val="a6"/>
    <w:link w:val="a7"/>
    <w:uiPriority w:val="99"/>
    <w:semiHidden/>
    <w:rsid w:val="0047092A"/>
    <w:rPr>
      <w:b/>
      <w:bCs/>
    </w:rPr>
  </w:style>
  <w:style w:type="paragraph" w:styleId="a9">
    <w:name w:val="header"/>
    <w:basedOn w:val="a"/>
    <w:link w:val="aa"/>
    <w:uiPriority w:val="99"/>
    <w:unhideWhenUsed/>
    <w:rsid w:val="00C04C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04C59"/>
    <w:rPr>
      <w:sz w:val="18"/>
      <w:szCs w:val="18"/>
    </w:rPr>
  </w:style>
  <w:style w:type="paragraph" w:styleId="ab">
    <w:name w:val="footer"/>
    <w:basedOn w:val="a"/>
    <w:link w:val="ac"/>
    <w:uiPriority w:val="99"/>
    <w:unhideWhenUsed/>
    <w:rsid w:val="00C04C59"/>
    <w:pPr>
      <w:tabs>
        <w:tab w:val="center" w:pos="4153"/>
        <w:tab w:val="right" w:pos="8306"/>
      </w:tabs>
      <w:snapToGrid w:val="0"/>
      <w:jc w:val="left"/>
    </w:pPr>
    <w:rPr>
      <w:sz w:val="18"/>
      <w:szCs w:val="18"/>
    </w:rPr>
  </w:style>
  <w:style w:type="character" w:customStyle="1" w:styleId="ac">
    <w:name w:val="页脚 字符"/>
    <w:basedOn w:val="a0"/>
    <w:link w:val="ab"/>
    <w:uiPriority w:val="99"/>
    <w:rsid w:val="00C04C59"/>
    <w:rPr>
      <w:sz w:val="18"/>
      <w:szCs w:val="18"/>
    </w:rPr>
  </w:style>
  <w:style w:type="table" w:styleId="ad">
    <w:name w:val="Table Grid"/>
    <w:basedOn w:val="a1"/>
    <w:uiPriority w:val="39"/>
    <w:rsid w:val="00CC5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Zhuoyu Zhang</dc:creator>
  <cp:keywords/>
  <dc:description/>
  <cp:lastModifiedBy>Zhuoyu Zhang</cp:lastModifiedBy>
  <cp:revision>2</cp:revision>
  <dcterms:created xsi:type="dcterms:W3CDTF">2023-05-17T00:14:00Z</dcterms:created>
  <dcterms:modified xsi:type="dcterms:W3CDTF">2023-05-17T00:14:00Z</dcterms:modified>
</cp:coreProperties>
</file>