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E10C" w14:textId="13A842FE" w:rsidR="0033157F" w:rsidRPr="00DF7B60" w:rsidRDefault="00DF7B60" w:rsidP="00DF7B60">
      <w:pPr>
        <w:pStyle w:val="Title"/>
        <w:rPr>
          <w:sz w:val="48"/>
          <w:szCs w:val="48"/>
        </w:rPr>
      </w:pPr>
      <w:r w:rsidRPr="00DF7B60">
        <w:rPr>
          <w:sz w:val="48"/>
          <w:szCs w:val="48"/>
        </w:rPr>
        <w:t xml:space="preserve">Project Status Report, Acme Manufacturing IRM </w:t>
      </w:r>
    </w:p>
    <w:p w14:paraId="4E62B079" w14:textId="4C2649A6" w:rsidR="00DF7B60" w:rsidRDefault="00DF7B60" w:rsidP="00DF7B60"/>
    <w:p w14:paraId="73E44EF3" w14:textId="74926BCA" w:rsidR="00DF7B60" w:rsidRDefault="00DF7B60" w:rsidP="00DF7B60">
      <w:pPr>
        <w:pStyle w:val="Heading1"/>
      </w:pPr>
      <w:r>
        <w:t>Introduction:</w:t>
      </w:r>
    </w:p>
    <w:p w14:paraId="303E19CC" w14:textId="3A646583" w:rsidR="00DF7B60" w:rsidRDefault="00DF7B60" w:rsidP="00DF7B60">
      <w:r>
        <w:t>Acme Manufacturing</w:t>
      </w:r>
      <w:r w:rsidR="001677E6">
        <w:t xml:space="preserve"> </w:t>
      </w:r>
      <w:r w:rsidR="003901CE">
        <w:t xml:space="preserve">requires more </w:t>
      </w:r>
      <w:r w:rsidR="00264FD6">
        <w:t xml:space="preserve">supply chain management </w:t>
      </w:r>
      <w:r w:rsidR="003901CE">
        <w:t>flexibility</w:t>
      </w:r>
      <w:r w:rsidR="00264FD6">
        <w:t xml:space="preserve">, </w:t>
      </w:r>
      <w:r w:rsidR="003901CE">
        <w:t>scaling production to match demand</w:t>
      </w:r>
      <w:r w:rsidR="00F704F6">
        <w:t xml:space="preserve">. </w:t>
      </w:r>
      <w:r w:rsidR="00AD463B">
        <w:t>Consequently</w:t>
      </w:r>
      <w:r w:rsidR="00677998">
        <w:t>,</w:t>
      </w:r>
      <w:r w:rsidR="007B4959">
        <w:t xml:space="preserve"> IT risk consultants</w:t>
      </w:r>
      <w:r w:rsidR="005F68D8">
        <w:t xml:space="preserve"> (team four)</w:t>
      </w:r>
      <w:r w:rsidR="007B4959">
        <w:t xml:space="preserve"> have</w:t>
      </w:r>
      <w:r w:rsidR="000D2E86">
        <w:t xml:space="preserve"> been retained </w:t>
      </w:r>
      <w:r w:rsidR="001677E6">
        <w:t xml:space="preserve">to </w:t>
      </w:r>
      <w:r w:rsidR="00CF7D31">
        <w:t xml:space="preserve">assess </w:t>
      </w:r>
      <w:r w:rsidR="001944B9">
        <w:t xml:space="preserve">three </w:t>
      </w:r>
      <w:r w:rsidR="0084401C">
        <w:t>Enterp</w:t>
      </w:r>
      <w:r w:rsidR="00BE0D14">
        <w:t>rise Resource Planning (</w:t>
      </w:r>
      <w:r w:rsidR="001677E6">
        <w:t>ERP</w:t>
      </w:r>
      <w:r w:rsidR="00BE0D14">
        <w:t xml:space="preserve">) </w:t>
      </w:r>
      <w:r w:rsidR="00CD1E12">
        <w:t>solutions</w:t>
      </w:r>
      <w:r w:rsidR="0048317F">
        <w:t xml:space="preserve"> </w:t>
      </w:r>
      <w:r w:rsidR="00CD1E12">
        <w:t>then</w:t>
      </w:r>
      <w:r w:rsidR="00F8071D">
        <w:t xml:space="preserve"> </w:t>
      </w:r>
      <w:r w:rsidR="00FD11A5">
        <w:t xml:space="preserve">assess </w:t>
      </w:r>
      <w:r w:rsidR="00741A82">
        <w:t>the recommended solution</w:t>
      </w:r>
      <w:r w:rsidR="00BC171D">
        <w:t xml:space="preserve">’s </w:t>
      </w:r>
      <w:r w:rsidR="00247522">
        <w:t xml:space="preserve">information </w:t>
      </w:r>
      <w:r w:rsidR="003669F1">
        <w:t>risk</w:t>
      </w:r>
      <w:r w:rsidR="00BC171D">
        <w:t>.</w:t>
      </w:r>
      <w:r w:rsidR="00247522">
        <w:t xml:space="preserve"> </w:t>
      </w:r>
      <w:r w:rsidR="001677E6">
        <w:t xml:space="preserve">This status report </w:t>
      </w:r>
      <w:r w:rsidR="008B37FB">
        <w:t xml:space="preserve">provides the </w:t>
      </w:r>
      <w:r w:rsidR="007053ED">
        <w:t>assessment recommendation</w:t>
      </w:r>
      <w:r w:rsidR="008579CD">
        <w:t xml:space="preserve">, </w:t>
      </w:r>
      <w:r w:rsidR="001677E6">
        <w:t xml:space="preserve">proposed risk management approach and </w:t>
      </w:r>
      <w:r w:rsidR="00710481">
        <w:t xml:space="preserve">disaster recovery </w:t>
      </w:r>
      <w:r w:rsidR="00A46F86">
        <w:t xml:space="preserve">solution </w:t>
      </w:r>
      <w:r w:rsidR="00CE42B4">
        <w:t xml:space="preserve">overview </w:t>
      </w:r>
      <w:r w:rsidR="00EA75BE">
        <w:t xml:space="preserve">to ensure </w:t>
      </w:r>
      <w:r w:rsidR="00CD643A">
        <w:t xml:space="preserve">ERP </w:t>
      </w:r>
      <w:r w:rsidR="00864D50">
        <w:t>availability</w:t>
      </w:r>
      <w:r w:rsidR="00CD643A">
        <w:t xml:space="preserve">. </w:t>
      </w:r>
    </w:p>
    <w:p w14:paraId="3ED059E6" w14:textId="48E1A67A" w:rsidR="001677E6" w:rsidRDefault="001677E6" w:rsidP="001677E6">
      <w:pPr>
        <w:pStyle w:val="Heading1"/>
      </w:pPr>
      <w:r>
        <w:t>Approach</w:t>
      </w:r>
    </w:p>
    <w:p w14:paraId="60DAF3E8" w14:textId="1BD1A10C" w:rsidR="00864D50" w:rsidRDefault="00D262C2" w:rsidP="001677E6">
      <w:r>
        <w:t xml:space="preserve">An </w:t>
      </w:r>
      <w:r w:rsidR="00B406BA">
        <w:t xml:space="preserve">ERP solution </w:t>
      </w:r>
      <w:r w:rsidR="000336B8">
        <w:t>failure will cascad</w:t>
      </w:r>
      <w:r w:rsidR="00862F13">
        <w:t>e</w:t>
      </w:r>
      <w:r w:rsidR="000336B8">
        <w:t xml:space="preserve"> impacts throughout </w:t>
      </w:r>
      <w:r w:rsidR="00120FA0">
        <w:t>ACME</w:t>
      </w:r>
      <w:r w:rsidR="006D35A3">
        <w:t xml:space="preserve">’s operations </w:t>
      </w:r>
      <w:r w:rsidR="00120FA0">
        <w:t xml:space="preserve">necessitating </w:t>
      </w:r>
      <w:r w:rsidR="00111D8F">
        <w:t>an</w:t>
      </w:r>
      <w:r w:rsidR="00A67BE9">
        <w:t xml:space="preserve"> information risk focused </w:t>
      </w:r>
      <w:r w:rsidR="005B16CD">
        <w:t xml:space="preserve">Enterprise Risk Management (ERM) </w:t>
      </w:r>
      <w:r w:rsidR="003B3C23">
        <w:t>assessment</w:t>
      </w:r>
      <w:r w:rsidR="00D56F8E">
        <w:t>.</w:t>
      </w:r>
      <w:r w:rsidR="00514705">
        <w:t xml:space="preserve"> </w:t>
      </w:r>
      <w:r w:rsidR="007242DC">
        <w:t xml:space="preserve">The Open FAIR risk management framework will be used </w:t>
      </w:r>
      <w:r w:rsidR="008F6E42">
        <w:t>to extend the NIST Cyber Security Framework (CSF)</w:t>
      </w:r>
      <w:r w:rsidR="009904D5">
        <w:t xml:space="preserve"> </w:t>
      </w:r>
      <w:r w:rsidR="00333A02" w:rsidRPr="00333A02">
        <w:t>(</w:t>
      </w:r>
      <w:r w:rsidR="001B31A2" w:rsidRPr="00333A02">
        <w:t>Fig</w:t>
      </w:r>
      <w:r w:rsidR="00333A02" w:rsidRPr="00333A02">
        <w:t>.</w:t>
      </w:r>
      <w:r w:rsidR="001B31A2" w:rsidRPr="00333A02">
        <w:t xml:space="preserve"> 2</w:t>
      </w:r>
      <w:r w:rsidR="00333A02" w:rsidRPr="00333A02">
        <w:t>)</w:t>
      </w:r>
      <w:r w:rsidR="001B31A2">
        <w:t xml:space="preserve"> </w:t>
      </w:r>
      <w:r w:rsidR="004C07AB">
        <w:t xml:space="preserve">beyond </w:t>
      </w:r>
      <w:r w:rsidR="002406B8">
        <w:t>cyber security</w:t>
      </w:r>
      <w:r w:rsidR="005479AF">
        <w:t>,</w:t>
      </w:r>
      <w:r w:rsidR="0049253B">
        <w:t xml:space="preserve"> </w:t>
      </w:r>
      <w:r w:rsidR="002E1D14">
        <w:t xml:space="preserve">allowing analysis of </w:t>
      </w:r>
      <w:r w:rsidR="00D401F8">
        <w:t xml:space="preserve">information risk receptors </w:t>
      </w:r>
      <w:r w:rsidR="00BF7357">
        <w:t xml:space="preserve">required </w:t>
      </w:r>
      <w:r w:rsidR="000B3F4D">
        <w:t xml:space="preserve">for </w:t>
      </w:r>
      <w:r w:rsidR="00BF7357">
        <w:t>strategic business decisions</w:t>
      </w:r>
      <w:sdt>
        <w:sdtPr>
          <w:id w:val="569547397"/>
          <w:citation/>
        </w:sdtPr>
        <w:sdtContent>
          <w:r w:rsidR="00E346AF">
            <w:fldChar w:fldCharType="begin"/>
          </w:r>
          <w:r w:rsidR="00E346AF">
            <w:instrText xml:space="preserve"> CITATION Car16 \l 1033 </w:instrText>
          </w:r>
          <w:r w:rsidR="00E346AF">
            <w:fldChar w:fldCharType="separate"/>
          </w:r>
          <w:r w:rsidR="00E346AF">
            <w:rPr>
              <w:noProof/>
            </w:rPr>
            <w:t xml:space="preserve"> </w:t>
          </w:r>
          <w:r w:rsidR="00E346AF" w:rsidRPr="00E346AF">
            <w:rPr>
              <w:noProof/>
            </w:rPr>
            <w:t>(Carlson, 2016)</w:t>
          </w:r>
          <w:r w:rsidR="00E346AF">
            <w:fldChar w:fldCharType="end"/>
          </w:r>
        </w:sdtContent>
      </w:sdt>
      <w:r w:rsidR="009C095D">
        <w:t xml:space="preserve"> like </w:t>
      </w:r>
      <w:r w:rsidR="006C00EF">
        <w:t xml:space="preserve">accurate </w:t>
      </w:r>
      <w:r w:rsidR="009C095D">
        <w:t>data-based decisions or technical debt</w:t>
      </w:r>
      <w:r w:rsidR="00155DF3">
        <w:t>.</w:t>
      </w:r>
      <w:r w:rsidR="007352B4">
        <w:t xml:space="preserve"> </w:t>
      </w:r>
      <w:r w:rsidR="00221DA3">
        <w:t>Organizations are comprised of many su</w:t>
      </w:r>
      <w:r w:rsidR="00623DDD">
        <w:t>bsystems in which i</w:t>
      </w:r>
      <w:r w:rsidR="00402175">
        <w:t xml:space="preserve">nformation security </w:t>
      </w:r>
      <w:r w:rsidR="00344B2A">
        <w:t>ri</w:t>
      </w:r>
      <w:r w:rsidR="00253E9B">
        <w:t xml:space="preserve">sk can be </w:t>
      </w:r>
      <w:r w:rsidR="00F71C3A">
        <w:t>created or realized</w:t>
      </w:r>
      <w:r w:rsidR="00944370">
        <w:t xml:space="preserve"> </w:t>
      </w:r>
      <w:r w:rsidR="00333A02" w:rsidRPr="00333A02">
        <w:t>(</w:t>
      </w:r>
      <w:r w:rsidR="004B06E1" w:rsidRPr="00333A02">
        <w:t>Fig. 1</w:t>
      </w:r>
      <w:r w:rsidR="00333A02" w:rsidRPr="00333A02">
        <w:t>)</w:t>
      </w:r>
      <w:r w:rsidR="004B06E1">
        <w:t xml:space="preserve"> </w:t>
      </w:r>
      <w:r w:rsidR="00944370">
        <w:t xml:space="preserve">(Hoffman </w:t>
      </w:r>
      <w:r w:rsidR="0032182E">
        <w:t>et al 2016</w:t>
      </w:r>
      <w:r w:rsidR="00675B5D">
        <w:t>),</w:t>
      </w:r>
      <w:r w:rsidR="0032182E">
        <w:t xml:space="preserve"> Open FAIR enables the </w:t>
      </w:r>
      <w:r w:rsidR="00566A63">
        <w:t>defensible measurement of that risk</w:t>
      </w:r>
      <w:sdt>
        <w:sdtPr>
          <w:id w:val="1289242777"/>
          <w:citation/>
        </w:sdtPr>
        <w:sdtContent>
          <w:r w:rsidR="00566A63">
            <w:fldChar w:fldCharType="begin"/>
          </w:r>
          <w:r w:rsidR="00566A63">
            <w:instrText xml:space="preserve"> CITATION Dav201 \l 1033 </w:instrText>
          </w:r>
          <w:r w:rsidR="00566A63">
            <w:fldChar w:fldCharType="separate"/>
          </w:r>
          <w:r w:rsidR="00566A63">
            <w:rPr>
              <w:noProof/>
            </w:rPr>
            <w:t xml:space="preserve"> </w:t>
          </w:r>
          <w:r w:rsidR="00566A63" w:rsidRPr="00566A63">
            <w:rPr>
              <w:noProof/>
            </w:rPr>
            <w:t>(Schmoller, 2020)</w:t>
          </w:r>
          <w:r w:rsidR="00566A63">
            <w:fldChar w:fldCharType="end"/>
          </w:r>
        </w:sdtContent>
      </w:sdt>
      <w:r w:rsidR="00566A63">
        <w:t>.</w:t>
      </w:r>
    </w:p>
    <w:p w14:paraId="57363420" w14:textId="77777777" w:rsidR="000119FE" w:rsidRDefault="000119FE" w:rsidP="001677E6"/>
    <w:p w14:paraId="70821146" w14:textId="77777777" w:rsidR="00A62228" w:rsidRDefault="00A62228" w:rsidP="00A62228">
      <w:pPr>
        <w:keepNext/>
      </w:pPr>
      <w:r>
        <w:rPr>
          <w:noProof/>
        </w:rPr>
        <w:drawing>
          <wp:inline distT="0" distB="0" distL="0" distR="0" wp14:anchorId="0C8298CB" wp14:editId="092C4EE9">
            <wp:extent cx="51244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054E" w14:textId="2DF29F84" w:rsidR="000119FE" w:rsidRPr="00A27B3B" w:rsidRDefault="00A62228" w:rsidP="00A62228">
      <w:pPr>
        <w:pStyle w:val="Caption"/>
        <w:rPr>
          <w:i w:val="0"/>
          <w:iCs w:val="0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B6F25">
        <w:rPr>
          <w:noProof/>
        </w:rPr>
        <w:t>1</w:t>
      </w:r>
      <w:r>
        <w:fldChar w:fldCharType="end"/>
      </w:r>
      <w:r>
        <w:t xml:space="preserve"> Organizational subsystems</w:t>
      </w:r>
      <w:r w:rsidR="003F1048">
        <w:t xml:space="preserve"> </w:t>
      </w:r>
      <w:r w:rsidR="008B1DA2" w:rsidRPr="00996618">
        <w:rPr>
          <w:i w:val="0"/>
          <w:iCs w:val="0"/>
        </w:rPr>
        <w:t>(Hoffman et al, 2016)</w:t>
      </w:r>
    </w:p>
    <w:p w14:paraId="26B39225" w14:textId="77777777" w:rsidR="000B6F25" w:rsidRDefault="000B6F25" w:rsidP="000B6F25">
      <w:pPr>
        <w:keepNext/>
      </w:pPr>
      <w:r>
        <w:rPr>
          <w:noProof/>
        </w:rPr>
        <w:drawing>
          <wp:inline distT="0" distB="0" distL="0" distR="0" wp14:anchorId="58AE7E28" wp14:editId="4F3334C4">
            <wp:extent cx="5943600" cy="349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2B7" w14:textId="0CAA0A44" w:rsidR="002D2A91" w:rsidRDefault="000B6F25" w:rsidP="000B6F25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Open FAIR extension of NIST CSF</w:t>
      </w:r>
      <w:r w:rsidR="003E2E70">
        <w:t xml:space="preserve"> </w:t>
      </w:r>
      <w:r w:rsidR="00401855" w:rsidRPr="00401855">
        <w:rPr>
          <w:i w:val="0"/>
          <w:iCs w:val="0"/>
        </w:rPr>
        <w:t>(Carlson, 2016)</w:t>
      </w:r>
    </w:p>
    <w:p w14:paraId="142B27BF" w14:textId="750291BF" w:rsidR="00E10669" w:rsidRDefault="00E10669" w:rsidP="00E10669">
      <w:pPr>
        <w:pStyle w:val="Heading1"/>
      </w:pPr>
      <w:r>
        <w:t xml:space="preserve">ERP </w:t>
      </w:r>
      <w:r w:rsidR="00EC67EC">
        <w:t>Recommendation</w:t>
      </w:r>
    </w:p>
    <w:p w14:paraId="0B1F18F8" w14:textId="50484641" w:rsidR="003D1752" w:rsidRDefault="00FE3642" w:rsidP="001677E6">
      <w:r>
        <w:t>T</w:t>
      </w:r>
      <w:r w:rsidR="006872A1">
        <w:t xml:space="preserve">eam four </w:t>
      </w:r>
      <w:r w:rsidR="00675C01">
        <w:t xml:space="preserve">recommends ACME pursue the implementation of </w:t>
      </w:r>
      <w:r w:rsidR="00DA6877">
        <w:t xml:space="preserve">the commercial off the shelf (COTS) ERP solution </w:t>
      </w:r>
      <w:r w:rsidR="00264484">
        <w:t xml:space="preserve">as it provides the best </w:t>
      </w:r>
      <w:r w:rsidR="003726A5">
        <w:t xml:space="preserve">balance of </w:t>
      </w:r>
      <w:r w:rsidR="007B234A">
        <w:t xml:space="preserve">capabilities, </w:t>
      </w:r>
      <w:r w:rsidR="0094121C">
        <w:t>supportability,</w:t>
      </w:r>
      <w:r w:rsidR="003726A5">
        <w:t xml:space="preserve"> and </w:t>
      </w:r>
      <w:r w:rsidR="007B234A">
        <w:t>impl</w:t>
      </w:r>
      <w:r w:rsidR="009F6A3D">
        <w:t xml:space="preserve">ementation effort </w:t>
      </w:r>
      <w:r w:rsidR="003726A5">
        <w:t xml:space="preserve">for the lowest total cost of ownership </w:t>
      </w:r>
      <w:r w:rsidR="00B21643">
        <w:t xml:space="preserve">over five to seven years. </w:t>
      </w:r>
    </w:p>
    <w:p w14:paraId="23AC4CD4" w14:textId="1B0675D3" w:rsidR="004367D1" w:rsidRDefault="003A485C" w:rsidP="001677E6">
      <w:r>
        <w:t>A</w:t>
      </w:r>
      <w:r w:rsidR="00B8368B">
        <w:t xml:space="preserve">CME staff input </w:t>
      </w:r>
      <w:r w:rsidR="00737451">
        <w:t xml:space="preserve">was </w:t>
      </w:r>
      <w:r w:rsidR="00563EDC">
        <w:t>unavailable;</w:t>
      </w:r>
      <w:r w:rsidR="00BA618B">
        <w:t xml:space="preserve"> </w:t>
      </w:r>
      <w:r w:rsidR="00EC5E06">
        <w:t>therefore</w:t>
      </w:r>
      <w:r w:rsidR="008C22E5">
        <w:t>,</w:t>
      </w:r>
      <w:r w:rsidR="00E755CD">
        <w:t xml:space="preserve"> to understand ACME’s needs</w:t>
      </w:r>
      <w:r w:rsidR="00BA618B">
        <w:t xml:space="preserve"> </w:t>
      </w:r>
      <w:r w:rsidR="0021784F">
        <w:t xml:space="preserve">ERP </w:t>
      </w:r>
      <w:r w:rsidR="004676B1">
        <w:t>solution requirements</w:t>
      </w:r>
      <w:r w:rsidR="00BA618B">
        <w:t xml:space="preserve"> were identified </w:t>
      </w:r>
      <w:r w:rsidR="0021784F">
        <w:t>t</w:t>
      </w:r>
      <w:r w:rsidR="009D6B08">
        <w:t xml:space="preserve">hrough </w:t>
      </w:r>
      <w:r w:rsidR="00D57527">
        <w:t>literature</w:t>
      </w:r>
      <w:r w:rsidR="008050D2">
        <w:t xml:space="preserve"> </w:t>
      </w:r>
      <w:r w:rsidR="006307F3">
        <w:t>review (</w:t>
      </w:r>
      <w:proofErr w:type="spellStart"/>
      <w:r w:rsidR="006307F3">
        <w:t>Iskan</w:t>
      </w:r>
      <w:r w:rsidR="00EC5712">
        <w:t>uis</w:t>
      </w:r>
      <w:proofErr w:type="spellEnd"/>
      <w:r w:rsidR="005B4856">
        <w:t>, 2010</w:t>
      </w:r>
      <w:r w:rsidR="0083592C">
        <w:t>;</w:t>
      </w:r>
      <w:r w:rsidR="00F4614C">
        <w:t xml:space="preserve"> </w:t>
      </w:r>
      <w:proofErr w:type="spellStart"/>
      <w:r w:rsidR="00F4614C">
        <w:t>Seo</w:t>
      </w:r>
      <w:proofErr w:type="spellEnd"/>
      <w:r w:rsidR="00046E4C">
        <w:t>, 2013</w:t>
      </w:r>
      <w:r w:rsidR="006A4E84">
        <w:t xml:space="preserve">; </w:t>
      </w:r>
      <w:proofErr w:type="spellStart"/>
      <w:r w:rsidR="001373CB">
        <w:t>F</w:t>
      </w:r>
      <w:r w:rsidR="00336A27">
        <w:t>ruhlinger</w:t>
      </w:r>
      <w:proofErr w:type="spellEnd"/>
      <w:r w:rsidR="00DF35E1">
        <w:t xml:space="preserve"> </w:t>
      </w:r>
      <w:r w:rsidR="00CE3F4A">
        <w:t>et al</w:t>
      </w:r>
      <w:r w:rsidR="00461CDA">
        <w:t xml:space="preserve">, </w:t>
      </w:r>
      <w:r w:rsidR="002A1897">
        <w:t xml:space="preserve">2020) </w:t>
      </w:r>
      <w:r w:rsidR="00E06F36">
        <w:t xml:space="preserve">and </w:t>
      </w:r>
      <w:r w:rsidR="00995B57">
        <w:t>industry experience</w:t>
      </w:r>
      <w:r w:rsidR="00D35BD5">
        <w:t xml:space="preserve">. </w:t>
      </w:r>
      <w:r w:rsidR="00995B57">
        <w:t xml:space="preserve"> </w:t>
      </w:r>
      <w:r w:rsidR="004A0982">
        <w:t xml:space="preserve">Key requirements </w:t>
      </w:r>
      <w:r w:rsidR="0016455C">
        <w:t xml:space="preserve">were </w:t>
      </w:r>
      <w:r w:rsidR="006A650E">
        <w:t xml:space="preserve">assigned </w:t>
      </w:r>
      <w:r w:rsidR="00D517D5">
        <w:t xml:space="preserve">weighted </w:t>
      </w:r>
      <w:r w:rsidR="00EC5E06">
        <w:t>values (</w:t>
      </w:r>
      <w:r w:rsidR="00C16028">
        <w:t>Appen</w:t>
      </w:r>
      <w:r w:rsidR="00533F2E">
        <w:t>dix 1</w:t>
      </w:r>
      <w:r w:rsidR="00E44015">
        <w:t>)</w:t>
      </w:r>
      <w:r w:rsidR="0016455C">
        <w:t xml:space="preserve">, </w:t>
      </w:r>
      <w:r w:rsidR="002B42F1">
        <w:t xml:space="preserve">analysts </w:t>
      </w:r>
      <w:r w:rsidR="000B66DC">
        <w:t>independently</w:t>
      </w:r>
      <w:r w:rsidR="002B42F1">
        <w:t xml:space="preserve"> scored </w:t>
      </w:r>
      <w:r w:rsidR="005D2D7E">
        <w:t xml:space="preserve">how </w:t>
      </w:r>
      <w:r w:rsidR="00DF56A8">
        <w:t>solution option</w:t>
      </w:r>
      <w:r w:rsidR="000D4413">
        <w:t xml:space="preserve">s </w:t>
      </w:r>
      <w:r w:rsidR="005D2D7E">
        <w:t xml:space="preserve">met </w:t>
      </w:r>
      <w:r w:rsidR="000D4413">
        <w:t>each re</w:t>
      </w:r>
      <w:r w:rsidR="006F7DDE">
        <w:t>quirement</w:t>
      </w:r>
      <w:r w:rsidR="0078475A">
        <w:t>,</w:t>
      </w:r>
      <w:r w:rsidR="0001222C">
        <w:t xml:space="preserve"> </w:t>
      </w:r>
      <w:r w:rsidR="00A825CB">
        <w:t xml:space="preserve">then </w:t>
      </w:r>
      <w:r w:rsidR="00A1710D">
        <w:t xml:space="preserve">program </w:t>
      </w:r>
      <w:r w:rsidR="009F5C27">
        <w:t>evaluation and review technique (</w:t>
      </w:r>
      <w:r w:rsidR="00535F5F">
        <w:t>PERT</w:t>
      </w:r>
      <w:r w:rsidR="009F5C27">
        <w:t xml:space="preserve">) </w:t>
      </w:r>
      <w:r w:rsidR="00B631B6">
        <w:t xml:space="preserve">applied to the scores addressing </w:t>
      </w:r>
      <w:r w:rsidR="008F07AA">
        <w:t>potential estimate bias</w:t>
      </w:r>
      <w:sdt>
        <w:sdtPr>
          <w:id w:val="-939370340"/>
          <w:citation/>
        </w:sdtPr>
        <w:sdtContent>
          <w:r w:rsidR="008F07AA">
            <w:fldChar w:fldCharType="begin"/>
          </w:r>
          <w:r w:rsidR="008F07AA">
            <w:instrText xml:space="preserve"> CITATION Fre14 \l 1033 </w:instrText>
          </w:r>
          <w:r w:rsidR="008F07AA">
            <w:fldChar w:fldCharType="separate"/>
          </w:r>
          <w:r w:rsidR="008F07AA">
            <w:rPr>
              <w:noProof/>
            </w:rPr>
            <w:t xml:space="preserve"> </w:t>
          </w:r>
          <w:r w:rsidR="008F07AA" w:rsidRPr="008F07AA">
            <w:rPr>
              <w:noProof/>
            </w:rPr>
            <w:t>(Freund &amp; Jones, 2014)</w:t>
          </w:r>
          <w:r w:rsidR="008F07AA">
            <w:fldChar w:fldCharType="end"/>
          </w:r>
        </w:sdtContent>
      </w:sdt>
      <w:r w:rsidR="008F07AA">
        <w:t>.</w:t>
      </w:r>
      <w:r w:rsidR="002F511C">
        <w:t xml:space="preserve"> </w:t>
      </w:r>
      <w:r w:rsidR="007F50B3">
        <w:t xml:space="preserve"> </w:t>
      </w:r>
    </w:p>
    <w:p w14:paraId="6D9F591E" w14:textId="2C9EA010" w:rsidR="003D2846" w:rsidRDefault="003D2846" w:rsidP="00104346">
      <w:pPr>
        <w:pStyle w:val="Heading1"/>
      </w:pPr>
      <w:r>
        <w:t>Project Deliverables</w:t>
      </w:r>
      <w:r w:rsidR="0001533D">
        <w:t xml:space="preserve"> </w:t>
      </w:r>
    </w:p>
    <w:p w14:paraId="4995BD2A" w14:textId="0EDCDC5E" w:rsidR="003D2846" w:rsidRDefault="00DB2612" w:rsidP="004B6FAF">
      <w:r>
        <w:t>A</w:t>
      </w:r>
      <w:r w:rsidR="00447D20">
        <w:t xml:space="preserve"> cost benefit analysis of </w:t>
      </w:r>
      <w:r>
        <w:t xml:space="preserve">ERP solution </w:t>
      </w:r>
      <w:r w:rsidR="00600941">
        <w:t xml:space="preserve">options </w:t>
      </w:r>
      <w:r w:rsidR="046EFC75">
        <w:t xml:space="preserve">(see Appendix 1) </w:t>
      </w:r>
      <w:r w:rsidR="002077F3">
        <w:t xml:space="preserve">and </w:t>
      </w:r>
      <w:r w:rsidR="00F862C2">
        <w:t>information risk assessment</w:t>
      </w:r>
      <w:r w:rsidR="00D43256">
        <w:t xml:space="preserve"> </w:t>
      </w:r>
      <w:r w:rsidR="046EFC75">
        <w:t xml:space="preserve">(see Appendix 2) </w:t>
      </w:r>
      <w:r w:rsidR="00536859">
        <w:t xml:space="preserve">of </w:t>
      </w:r>
      <w:r w:rsidR="00D43256">
        <w:t>the recommended selection</w:t>
      </w:r>
      <w:r w:rsidR="00302615">
        <w:t xml:space="preserve"> based on</w:t>
      </w:r>
      <w:r w:rsidR="003538CA">
        <w:t xml:space="preserve"> the following inputs</w:t>
      </w:r>
      <w:r w:rsidR="00ED08E9">
        <w:t>:</w:t>
      </w:r>
      <w:r w:rsidR="00D43256">
        <w:t xml:space="preserve"> </w:t>
      </w:r>
      <w:r w:rsidR="00F862C2">
        <w:t xml:space="preserve"> </w:t>
      </w:r>
    </w:p>
    <w:p w14:paraId="0E23C501" w14:textId="24C86ED8" w:rsidR="001B0FB5" w:rsidRDefault="00E617F0" w:rsidP="004B6FAF">
      <w:pPr>
        <w:pStyle w:val="ListParagraph"/>
        <w:numPr>
          <w:ilvl w:val="0"/>
          <w:numId w:val="1"/>
        </w:numPr>
      </w:pPr>
      <w:r>
        <w:t>ERP</w:t>
      </w:r>
      <w:r w:rsidR="00161E89">
        <w:t xml:space="preserve"> </w:t>
      </w:r>
      <w:r w:rsidR="00350CAA">
        <w:t>critical</w:t>
      </w:r>
      <w:r w:rsidR="00046371">
        <w:t xml:space="preserve"> success factor</w:t>
      </w:r>
      <w:r w:rsidR="003C3EFD">
        <w:t>s:</w:t>
      </w:r>
    </w:p>
    <w:p w14:paraId="5904A478" w14:textId="598FA55A" w:rsidR="003D2846" w:rsidRDefault="00CA4BCD" w:rsidP="004B6FAF">
      <w:pPr>
        <w:pStyle w:val="ListParagraph"/>
        <w:numPr>
          <w:ilvl w:val="1"/>
          <w:numId w:val="1"/>
        </w:numPr>
      </w:pPr>
      <w:r>
        <w:t xml:space="preserve">Feature capabilities align with </w:t>
      </w:r>
      <w:r w:rsidR="009944B4">
        <w:t>ACME business priorities</w:t>
      </w:r>
      <w:r w:rsidR="00204C4F">
        <w:t xml:space="preserve"> and processes</w:t>
      </w:r>
    </w:p>
    <w:p w14:paraId="4ED5212E" w14:textId="0E5C31BD" w:rsidR="00EE7C7C" w:rsidRDefault="00204C4F" w:rsidP="004B6FAF">
      <w:pPr>
        <w:pStyle w:val="ListParagraph"/>
        <w:numPr>
          <w:ilvl w:val="1"/>
          <w:numId w:val="1"/>
        </w:numPr>
      </w:pPr>
      <w:r>
        <w:t>D</w:t>
      </w:r>
      <w:r w:rsidR="00702D28">
        <w:t>ata</w:t>
      </w:r>
      <w:r w:rsidR="002E5C30">
        <w:t xml:space="preserve"> integration</w:t>
      </w:r>
      <w:r w:rsidR="00C86F30">
        <w:t xml:space="preserve"> with external partners</w:t>
      </w:r>
      <w:r w:rsidR="00E65279">
        <w:t>,</w:t>
      </w:r>
      <w:r>
        <w:t xml:space="preserve"> </w:t>
      </w:r>
      <w:r w:rsidR="00CD213C">
        <w:t>internal</w:t>
      </w:r>
      <w:r>
        <w:t xml:space="preserve"> </w:t>
      </w:r>
      <w:r w:rsidR="00CD213C">
        <w:t>manufacturing,</w:t>
      </w:r>
      <w:r>
        <w:t xml:space="preserve"> and inventory systems</w:t>
      </w:r>
    </w:p>
    <w:p w14:paraId="4FE12514" w14:textId="4387B07D" w:rsidR="00D96789" w:rsidRDefault="0025503A" w:rsidP="004B6FAF">
      <w:pPr>
        <w:pStyle w:val="ListParagraph"/>
        <w:numPr>
          <w:ilvl w:val="1"/>
          <w:numId w:val="1"/>
        </w:numPr>
      </w:pPr>
      <w:r>
        <w:t>G</w:t>
      </w:r>
      <w:r w:rsidR="0023505B">
        <w:t>ranular access control</w:t>
      </w:r>
      <w:r w:rsidR="001819A8">
        <w:t>s</w:t>
      </w:r>
      <w:r w:rsidR="00F3232C">
        <w:t xml:space="preserve"> needed for</w:t>
      </w:r>
      <w:r w:rsidR="00BF742E">
        <w:t xml:space="preserve"> </w:t>
      </w:r>
      <w:r w:rsidR="004B7BE3">
        <w:t>accurate fina</w:t>
      </w:r>
      <w:r w:rsidR="00F3232C">
        <w:t>ncial</w:t>
      </w:r>
      <w:r w:rsidR="00BF742E">
        <w:t xml:space="preserve">s, </w:t>
      </w:r>
      <w:r w:rsidR="00F3232C">
        <w:t xml:space="preserve">production </w:t>
      </w:r>
      <w:r w:rsidR="00BF742E">
        <w:t xml:space="preserve">management, </w:t>
      </w:r>
      <w:r w:rsidR="002B0B32">
        <w:t>and fraud</w:t>
      </w:r>
      <w:r w:rsidR="001938FF">
        <w:t xml:space="preserve"> protection</w:t>
      </w:r>
    </w:p>
    <w:p w14:paraId="4D1255D7" w14:textId="10477127" w:rsidR="003D2846" w:rsidRDefault="00A82120" w:rsidP="004B6FAF">
      <w:pPr>
        <w:pStyle w:val="ListParagraph"/>
        <w:numPr>
          <w:ilvl w:val="1"/>
          <w:numId w:val="1"/>
        </w:numPr>
      </w:pPr>
      <w:r>
        <w:t>Quick complete transition from identified legacy systems</w:t>
      </w:r>
    </w:p>
    <w:p w14:paraId="5373EF1F" w14:textId="7E5D4E3A" w:rsidR="003D2846" w:rsidRDefault="00A77615" w:rsidP="004B6FAF">
      <w:pPr>
        <w:pStyle w:val="ListParagraph"/>
        <w:numPr>
          <w:ilvl w:val="1"/>
          <w:numId w:val="1"/>
        </w:numPr>
      </w:pPr>
      <w:r>
        <w:t xml:space="preserve">Low total cost of ownership </w:t>
      </w:r>
      <w:r w:rsidR="006C6A20">
        <w:t xml:space="preserve">over </w:t>
      </w:r>
      <w:r w:rsidR="0053654A">
        <w:t>five-to-seven-year</w:t>
      </w:r>
      <w:r w:rsidR="006C6A20">
        <w:t xml:space="preserve"> period</w:t>
      </w:r>
    </w:p>
    <w:p w14:paraId="15A35EF8" w14:textId="35780178" w:rsidR="000C5443" w:rsidRDefault="00E02C22" w:rsidP="004B6FAF">
      <w:pPr>
        <w:pStyle w:val="ListParagraph"/>
        <w:numPr>
          <w:ilvl w:val="1"/>
          <w:numId w:val="1"/>
        </w:numPr>
      </w:pPr>
      <w:r>
        <w:t>C</w:t>
      </w:r>
      <w:r w:rsidR="006D4202">
        <w:t>yber security attack</w:t>
      </w:r>
      <w:r>
        <w:t xml:space="preserve"> </w:t>
      </w:r>
      <w:r w:rsidR="00E44015">
        <w:t>resistance</w:t>
      </w:r>
    </w:p>
    <w:p w14:paraId="21A9662F" w14:textId="3ADB7221" w:rsidR="003D2846" w:rsidRDefault="002077F3" w:rsidP="004B6FAF">
      <w:pPr>
        <w:pStyle w:val="ListParagraph"/>
        <w:numPr>
          <w:ilvl w:val="0"/>
          <w:numId w:val="1"/>
        </w:numPr>
      </w:pPr>
      <w:r>
        <w:t xml:space="preserve">Risk </w:t>
      </w:r>
      <w:r w:rsidR="00C72D11">
        <w:t xml:space="preserve">Assessment Methodology </w:t>
      </w:r>
    </w:p>
    <w:p w14:paraId="437615DD" w14:textId="762E272D" w:rsidR="00244D13" w:rsidRDefault="00244D13" w:rsidP="004B6FAF">
      <w:pPr>
        <w:pStyle w:val="ListParagraph"/>
        <w:numPr>
          <w:ilvl w:val="1"/>
          <w:numId w:val="1"/>
        </w:numPr>
      </w:pPr>
      <w:r>
        <w:t xml:space="preserve">Research ERP implementation risks </w:t>
      </w:r>
    </w:p>
    <w:p w14:paraId="5C8306BD" w14:textId="4089C27B" w:rsidR="004C0188" w:rsidRDefault="004C0188" w:rsidP="004B6FAF">
      <w:pPr>
        <w:pStyle w:val="ListParagraph"/>
        <w:numPr>
          <w:ilvl w:val="1"/>
          <w:numId w:val="1"/>
        </w:numPr>
      </w:pPr>
      <w:r>
        <w:t>Identify credible threats to ACME information</w:t>
      </w:r>
      <w:r w:rsidR="004B3EB4">
        <w:t xml:space="preserve"> systems</w:t>
      </w:r>
    </w:p>
    <w:p w14:paraId="42E71716" w14:textId="347746D2" w:rsidR="00755C19" w:rsidRDefault="00663A2B" w:rsidP="004B6FAF">
      <w:pPr>
        <w:pStyle w:val="ListParagraph"/>
        <w:numPr>
          <w:ilvl w:val="1"/>
          <w:numId w:val="1"/>
        </w:numPr>
      </w:pPr>
      <w:r>
        <w:t xml:space="preserve">Define </w:t>
      </w:r>
      <w:r w:rsidR="00BB6319">
        <w:t>scope of assessment</w:t>
      </w:r>
    </w:p>
    <w:p w14:paraId="247BDFAE" w14:textId="4ED0728A" w:rsidR="004D6E92" w:rsidRDefault="00490123" w:rsidP="004B6FAF">
      <w:pPr>
        <w:pStyle w:val="ListParagraph"/>
        <w:numPr>
          <w:ilvl w:val="1"/>
          <w:numId w:val="1"/>
        </w:numPr>
      </w:pPr>
      <w:r>
        <w:t xml:space="preserve">Estimate </w:t>
      </w:r>
      <w:r w:rsidR="00362FBC">
        <w:t xml:space="preserve">each risk’s </w:t>
      </w:r>
      <w:r>
        <w:t>i</w:t>
      </w:r>
      <w:r w:rsidR="00512B71">
        <w:t>mpact and frequenc</w:t>
      </w:r>
      <w:r w:rsidR="00362FBC">
        <w:t>y</w:t>
      </w:r>
    </w:p>
    <w:p w14:paraId="3571C550" w14:textId="766B55A7" w:rsidR="00BD4C43" w:rsidRDefault="004D6E92" w:rsidP="004B6FAF">
      <w:pPr>
        <w:pStyle w:val="ListParagraph"/>
        <w:numPr>
          <w:ilvl w:val="1"/>
          <w:numId w:val="1"/>
        </w:numPr>
      </w:pPr>
      <w:r>
        <w:t xml:space="preserve">Quantify </w:t>
      </w:r>
      <w:r w:rsidR="001716AD">
        <w:t>expert assessments</w:t>
      </w:r>
      <w:r w:rsidR="00354C58">
        <w:t xml:space="preserve">, </w:t>
      </w:r>
      <w:r w:rsidR="0024208E">
        <w:t>reduce bias</w:t>
      </w:r>
      <w:r w:rsidR="00354C58">
        <w:t xml:space="preserve"> </w:t>
      </w:r>
      <w:r w:rsidR="008B0D91">
        <w:t>via PERT</w:t>
      </w:r>
      <w:r w:rsidR="00AE7260">
        <w:t xml:space="preserve"> </w:t>
      </w:r>
    </w:p>
    <w:p w14:paraId="006B63C4" w14:textId="6AEC4D2A" w:rsidR="003D2846" w:rsidRDefault="00BD4C43" w:rsidP="004B6FAF">
      <w:pPr>
        <w:pStyle w:val="ListParagraph"/>
        <w:numPr>
          <w:ilvl w:val="1"/>
          <w:numId w:val="1"/>
        </w:numPr>
      </w:pPr>
      <w:r>
        <w:t xml:space="preserve">Develop </w:t>
      </w:r>
      <w:r w:rsidR="007E0310">
        <w:t>prioritized risk register</w:t>
      </w:r>
      <w:r w:rsidR="0002643D">
        <w:t xml:space="preserve">, </w:t>
      </w:r>
      <w:r w:rsidR="00E530CC">
        <w:t>provide</w:t>
      </w:r>
      <w:r w:rsidR="0002643D">
        <w:t xml:space="preserve"> risk treatment </w:t>
      </w:r>
      <w:r w:rsidR="000A7B9F">
        <w:t>recommendations</w:t>
      </w:r>
    </w:p>
    <w:p w14:paraId="6C3D22C2" w14:textId="4AF88CF8" w:rsidR="003D2846" w:rsidRDefault="00173B4F" w:rsidP="004B6FAF">
      <w:pPr>
        <w:pStyle w:val="ListParagraph"/>
        <w:numPr>
          <w:ilvl w:val="0"/>
          <w:numId w:val="1"/>
        </w:numPr>
      </w:pPr>
      <w:r>
        <w:t xml:space="preserve">Reporting </w:t>
      </w:r>
      <w:r w:rsidR="000D470A">
        <w:t>Format</w:t>
      </w:r>
    </w:p>
    <w:p w14:paraId="0DFCD95B" w14:textId="3CAF6FC1" w:rsidR="0001533D" w:rsidRDefault="00114031" w:rsidP="004B6FAF">
      <w:pPr>
        <w:pStyle w:val="ListParagraph"/>
        <w:numPr>
          <w:ilvl w:val="1"/>
          <w:numId w:val="1"/>
        </w:numPr>
      </w:pPr>
      <w:r>
        <w:t>Decision factor summary</w:t>
      </w:r>
    </w:p>
    <w:p w14:paraId="0780244A" w14:textId="03108BC2" w:rsidR="0001533D" w:rsidRDefault="0001533D" w:rsidP="004B6FAF">
      <w:pPr>
        <w:pStyle w:val="ListParagraph"/>
        <w:numPr>
          <w:ilvl w:val="1"/>
          <w:numId w:val="1"/>
        </w:numPr>
      </w:pPr>
      <w:r>
        <w:t xml:space="preserve">Selection </w:t>
      </w:r>
      <w:r w:rsidR="00D752BD">
        <w:t xml:space="preserve">criteria rationale </w:t>
      </w:r>
    </w:p>
    <w:p w14:paraId="1A08FB95" w14:textId="77777777" w:rsidR="00D3190A" w:rsidRDefault="005F252D" w:rsidP="004B6FAF">
      <w:pPr>
        <w:pStyle w:val="ListParagraph"/>
        <w:numPr>
          <w:ilvl w:val="1"/>
          <w:numId w:val="1"/>
        </w:numPr>
      </w:pPr>
      <w:r>
        <w:t>Selection scoring table</w:t>
      </w:r>
    </w:p>
    <w:p w14:paraId="60725DB8" w14:textId="2AA66E88" w:rsidR="0001533D" w:rsidRDefault="003023F7" w:rsidP="004B6FAF">
      <w:pPr>
        <w:pStyle w:val="ListParagraph"/>
        <w:numPr>
          <w:ilvl w:val="1"/>
          <w:numId w:val="1"/>
        </w:numPr>
      </w:pPr>
      <w:r>
        <w:t>Information r</w:t>
      </w:r>
      <w:r w:rsidR="00D3190A">
        <w:t xml:space="preserve">isk analysis </w:t>
      </w:r>
      <w:r w:rsidR="00C81343">
        <w:t>of recommended solution</w:t>
      </w:r>
    </w:p>
    <w:p w14:paraId="17795002" w14:textId="02B4C008" w:rsidR="003D2846" w:rsidRDefault="004B6FAF" w:rsidP="004B6FAF">
      <w:r>
        <w:t>A d</w:t>
      </w:r>
      <w:r w:rsidR="00A879F2">
        <w:t>isaster</w:t>
      </w:r>
      <w:r w:rsidR="00821C32">
        <w:t xml:space="preserve"> recovery s</w:t>
      </w:r>
      <w:r w:rsidR="00A879F2">
        <w:t>olution</w:t>
      </w:r>
      <w:r w:rsidR="00821C32">
        <w:t xml:space="preserve"> </w:t>
      </w:r>
      <w:r w:rsidR="006374D4">
        <w:t xml:space="preserve">design </w:t>
      </w:r>
      <w:r w:rsidR="00F407E5">
        <w:t xml:space="preserve">for </w:t>
      </w:r>
      <w:r w:rsidR="00B37F96">
        <w:t xml:space="preserve">restoring </w:t>
      </w:r>
      <w:r w:rsidR="00DC1EF6">
        <w:t xml:space="preserve">ERP </w:t>
      </w:r>
      <w:r w:rsidR="00B37F96">
        <w:t xml:space="preserve">capability within </w:t>
      </w:r>
      <w:r w:rsidR="00EE07D7">
        <w:t xml:space="preserve">the </w:t>
      </w:r>
      <w:r w:rsidR="00E530CC">
        <w:t>four-hour</w:t>
      </w:r>
      <w:r w:rsidR="00EE07D7">
        <w:t xml:space="preserve"> recovery time objective (RTO) </w:t>
      </w:r>
      <w:r w:rsidR="002769E9">
        <w:t>including:</w:t>
      </w:r>
    </w:p>
    <w:p w14:paraId="68E8B343" w14:textId="372DECDE" w:rsidR="000B3304" w:rsidRDefault="000B3304" w:rsidP="006374D4">
      <w:pPr>
        <w:pStyle w:val="ListParagraph"/>
        <w:numPr>
          <w:ilvl w:val="0"/>
          <w:numId w:val="1"/>
        </w:numPr>
      </w:pPr>
      <w:r>
        <w:t xml:space="preserve">Conceptual </w:t>
      </w:r>
      <w:r w:rsidR="00853C19">
        <w:t>architecture</w:t>
      </w:r>
    </w:p>
    <w:p w14:paraId="1ED73AF5" w14:textId="59695C34" w:rsidR="00853C19" w:rsidRDefault="005B2DE1" w:rsidP="006374D4">
      <w:pPr>
        <w:pStyle w:val="ListParagraph"/>
        <w:numPr>
          <w:ilvl w:val="1"/>
          <w:numId w:val="1"/>
        </w:numPr>
      </w:pPr>
      <w:r>
        <w:t>Essential s</w:t>
      </w:r>
      <w:r w:rsidR="00B6164E">
        <w:t>ystem components</w:t>
      </w:r>
      <w:r w:rsidR="00773EFE">
        <w:t>, primary and failover</w:t>
      </w:r>
    </w:p>
    <w:p w14:paraId="7A25ADDE" w14:textId="52F5B33E" w:rsidR="00773EFE" w:rsidRDefault="005B2DE1" w:rsidP="006374D4">
      <w:pPr>
        <w:pStyle w:val="ListParagraph"/>
        <w:numPr>
          <w:ilvl w:val="1"/>
          <w:numId w:val="1"/>
        </w:numPr>
      </w:pPr>
      <w:r>
        <w:t xml:space="preserve">Data </w:t>
      </w:r>
      <w:r w:rsidR="00493946">
        <w:t>replication strategy</w:t>
      </w:r>
    </w:p>
    <w:p w14:paraId="07F1FCC5" w14:textId="4D8B026B" w:rsidR="00A879F2" w:rsidRDefault="00A879F2" w:rsidP="006374D4">
      <w:pPr>
        <w:pStyle w:val="ListParagraph"/>
        <w:numPr>
          <w:ilvl w:val="0"/>
          <w:numId w:val="1"/>
        </w:numPr>
      </w:pPr>
      <w:r>
        <w:t>Recommended response plan</w:t>
      </w:r>
    </w:p>
    <w:p w14:paraId="341B5012" w14:textId="4AEE5A99" w:rsidR="009176BA" w:rsidRDefault="008C014D" w:rsidP="006374D4">
      <w:pPr>
        <w:pStyle w:val="ListParagraph"/>
        <w:numPr>
          <w:ilvl w:val="1"/>
          <w:numId w:val="1"/>
        </w:numPr>
      </w:pPr>
      <w:r>
        <w:t>Response team r</w:t>
      </w:r>
      <w:r w:rsidR="00800A23">
        <w:t xml:space="preserve">oles and responsibilities </w:t>
      </w:r>
      <w:r>
        <w:t>defined</w:t>
      </w:r>
    </w:p>
    <w:p w14:paraId="3169F2EF" w14:textId="5994D888" w:rsidR="00D80CEC" w:rsidRDefault="00E770EB" w:rsidP="006374D4">
      <w:pPr>
        <w:pStyle w:val="ListParagraph"/>
        <w:numPr>
          <w:ilvl w:val="1"/>
          <w:numId w:val="1"/>
        </w:numPr>
      </w:pPr>
      <w:r>
        <w:t>B</w:t>
      </w:r>
      <w:r w:rsidR="00D85728">
        <w:t>reach reporting requirements</w:t>
      </w:r>
      <w:r>
        <w:t xml:space="preserve"> identified</w:t>
      </w:r>
    </w:p>
    <w:p w14:paraId="196FFC3F" w14:textId="28B2BE25" w:rsidR="00DA471E" w:rsidRDefault="00DA471E" w:rsidP="006374D4">
      <w:pPr>
        <w:pStyle w:val="ListParagraph"/>
        <w:numPr>
          <w:ilvl w:val="1"/>
          <w:numId w:val="1"/>
        </w:numPr>
      </w:pPr>
      <w:r>
        <w:t>Potential ERP service disruption scenarios and</w:t>
      </w:r>
      <w:r w:rsidR="00A467BC">
        <w:t xml:space="preserve"> respons</w:t>
      </w:r>
      <w:r w:rsidR="003A3AE9">
        <w:t>e</w:t>
      </w:r>
      <w:r w:rsidR="00442C19">
        <w:t>s</w:t>
      </w:r>
    </w:p>
    <w:p w14:paraId="4E1A8CF1" w14:textId="2DC65B41" w:rsidR="00A879F2" w:rsidRDefault="009176BA" w:rsidP="006374D4">
      <w:pPr>
        <w:pStyle w:val="ListParagraph"/>
        <w:numPr>
          <w:ilvl w:val="0"/>
          <w:numId w:val="1"/>
        </w:numPr>
      </w:pPr>
      <w:r>
        <w:t>Recommended Recovery Plan</w:t>
      </w:r>
    </w:p>
    <w:p w14:paraId="49D281DE" w14:textId="489DED11" w:rsidR="009176BA" w:rsidRDefault="004F7C09" w:rsidP="006374D4">
      <w:pPr>
        <w:pStyle w:val="ListParagraph"/>
        <w:numPr>
          <w:ilvl w:val="1"/>
          <w:numId w:val="1"/>
        </w:numPr>
      </w:pPr>
      <w:r>
        <w:t>A</w:t>
      </w:r>
      <w:r w:rsidR="00463CD8">
        <w:t>pplication recovery roles</w:t>
      </w:r>
      <w:r w:rsidR="0081172A">
        <w:t xml:space="preserve"> and responsibilities defined</w:t>
      </w:r>
    </w:p>
    <w:p w14:paraId="2C0001F4" w14:textId="43E840F1" w:rsidR="009176BA" w:rsidRDefault="00395E92" w:rsidP="006374D4">
      <w:pPr>
        <w:pStyle w:val="ListParagraph"/>
        <w:numPr>
          <w:ilvl w:val="1"/>
          <w:numId w:val="1"/>
        </w:numPr>
      </w:pPr>
      <w:r>
        <w:t>P</w:t>
      </w:r>
      <w:r w:rsidR="00C7222D">
        <w:t xml:space="preserve">otential ERP </w:t>
      </w:r>
      <w:r w:rsidR="003062C6">
        <w:t>service disruption</w:t>
      </w:r>
      <w:r w:rsidR="00FD229D">
        <w:t xml:space="preserve"> scenarios</w:t>
      </w:r>
      <w:r w:rsidR="00A05916">
        <w:t xml:space="preserve"> </w:t>
      </w:r>
      <w:r w:rsidR="008040F1">
        <w:t xml:space="preserve">and recovery </w:t>
      </w:r>
      <w:r w:rsidR="00710730">
        <w:t>measures</w:t>
      </w:r>
    </w:p>
    <w:p w14:paraId="1526A092" w14:textId="681F838E" w:rsidR="00C63024" w:rsidRDefault="007322AB" w:rsidP="006374D4">
      <w:pPr>
        <w:pStyle w:val="ListParagraph"/>
        <w:numPr>
          <w:ilvl w:val="0"/>
          <w:numId w:val="1"/>
        </w:numPr>
      </w:pPr>
      <w:r>
        <w:t xml:space="preserve">Recommended </w:t>
      </w:r>
      <w:r w:rsidR="009D3592">
        <w:t>Governance</w:t>
      </w:r>
    </w:p>
    <w:p w14:paraId="6917D672" w14:textId="27A085AC" w:rsidR="007322AB" w:rsidRDefault="00703518" w:rsidP="006374D4">
      <w:pPr>
        <w:pStyle w:val="ListParagraph"/>
        <w:numPr>
          <w:ilvl w:val="1"/>
          <w:numId w:val="1"/>
        </w:numPr>
      </w:pPr>
      <w:r>
        <w:t xml:space="preserve">Response and Recovery plan </w:t>
      </w:r>
      <w:r w:rsidR="00416ECF">
        <w:t>testing</w:t>
      </w:r>
    </w:p>
    <w:p w14:paraId="1757BD5E" w14:textId="2992F93A" w:rsidR="009176BA" w:rsidRDefault="003B7888" w:rsidP="006374D4">
      <w:pPr>
        <w:pStyle w:val="ListParagraph"/>
        <w:numPr>
          <w:ilvl w:val="1"/>
          <w:numId w:val="1"/>
        </w:numPr>
      </w:pPr>
      <w:r>
        <w:t>Post</w:t>
      </w:r>
      <w:r w:rsidR="00AF542D">
        <w:t>-incident review</w:t>
      </w:r>
      <w:r w:rsidR="001B3D7E">
        <w:t xml:space="preserve"> for </w:t>
      </w:r>
      <w:r w:rsidR="00216C74">
        <w:t xml:space="preserve">testing and </w:t>
      </w:r>
      <w:r w:rsidR="000A2E30">
        <w:t xml:space="preserve">actual </w:t>
      </w:r>
      <w:r w:rsidR="00216C74">
        <w:t>incidents</w:t>
      </w:r>
    </w:p>
    <w:p w14:paraId="1E49C062" w14:textId="77777777" w:rsidR="00DE2713" w:rsidRDefault="00DE2713" w:rsidP="006374D4">
      <w:pPr>
        <w:pStyle w:val="ListParagraph"/>
        <w:numPr>
          <w:ilvl w:val="1"/>
          <w:numId w:val="1"/>
        </w:numPr>
      </w:pPr>
      <w:r>
        <w:t>Defined owners for r</w:t>
      </w:r>
      <w:r w:rsidR="00415C32">
        <w:t>esponse and recovery decision</w:t>
      </w:r>
      <w:r>
        <w:t>s</w:t>
      </w:r>
    </w:p>
    <w:p w14:paraId="7F99C975" w14:textId="7A5029E7" w:rsidR="009176BA" w:rsidRDefault="003B2334" w:rsidP="006374D4">
      <w:pPr>
        <w:pStyle w:val="ListParagraph"/>
        <w:numPr>
          <w:ilvl w:val="1"/>
          <w:numId w:val="1"/>
        </w:numPr>
      </w:pPr>
      <w:r>
        <w:t>Service level a</w:t>
      </w:r>
      <w:r w:rsidR="008B14D8">
        <w:t xml:space="preserve">greements (SLA) and </w:t>
      </w:r>
      <w:r w:rsidR="006B0CD0">
        <w:t xml:space="preserve">recovery </w:t>
      </w:r>
      <w:r w:rsidR="00D80A5D">
        <w:t>timetables</w:t>
      </w:r>
    </w:p>
    <w:p w14:paraId="0CA92436" w14:textId="3616F3BA" w:rsidR="009176BA" w:rsidRDefault="00152C69" w:rsidP="009176BA">
      <w:pPr>
        <w:pStyle w:val="Heading1"/>
      </w:pPr>
      <w:r>
        <w:t>Next Steps</w:t>
      </w:r>
    </w:p>
    <w:p w14:paraId="689E1B46" w14:textId="7495C484" w:rsidR="008C7201" w:rsidRDefault="007F0300" w:rsidP="007F0300">
      <w:r>
        <w:t xml:space="preserve">Upon ACME’s </w:t>
      </w:r>
      <w:r w:rsidR="007318BE">
        <w:t xml:space="preserve">acceptance of the ERP solution recommendation team four will </w:t>
      </w:r>
      <w:r w:rsidR="00C829F3">
        <w:t xml:space="preserve">perform a </w:t>
      </w:r>
      <w:r w:rsidR="004B2928">
        <w:t xml:space="preserve">comprehensive risk assessment using the </w:t>
      </w:r>
      <w:r w:rsidR="00B35797">
        <w:t xml:space="preserve">earlier defined approach. </w:t>
      </w:r>
      <w:r w:rsidR="002849BA">
        <w:t xml:space="preserve">A preliminary </w:t>
      </w:r>
      <w:r w:rsidR="00C42E19">
        <w:t xml:space="preserve">list of information risks </w:t>
      </w:r>
      <w:r w:rsidR="00066D76">
        <w:t xml:space="preserve">based on team </w:t>
      </w:r>
      <w:r w:rsidR="03B3B51B">
        <w:t>four’s</w:t>
      </w:r>
      <w:r w:rsidR="00066D76">
        <w:t xml:space="preserve"> current </w:t>
      </w:r>
      <w:r w:rsidR="006503EE">
        <w:t>under</w:t>
      </w:r>
      <w:r w:rsidR="0026507F">
        <w:t xml:space="preserve">standing of </w:t>
      </w:r>
      <w:r w:rsidR="00D74364">
        <w:t xml:space="preserve">ACME </w:t>
      </w:r>
      <w:r w:rsidR="00C42E19" w:rsidRPr="64DD9336">
        <w:t>(</w:t>
      </w:r>
      <w:r w:rsidR="00A1031A" w:rsidRPr="64DD9336">
        <w:t xml:space="preserve">Appendix </w:t>
      </w:r>
      <w:r w:rsidR="00C42E19" w:rsidRPr="64DD9336">
        <w:t>2)</w:t>
      </w:r>
      <w:r w:rsidR="00A1031A">
        <w:t xml:space="preserve"> has been included for stakeholder review</w:t>
      </w:r>
      <w:r w:rsidR="00056B22">
        <w:t xml:space="preserve"> and amendment suggestions</w:t>
      </w:r>
      <w:r w:rsidR="00A1031A">
        <w:t xml:space="preserve">. </w:t>
      </w:r>
      <w:r w:rsidR="00B50C7F">
        <w:t>In tandem with risk assessment</w:t>
      </w:r>
      <w:r w:rsidR="00C86F77">
        <w:t xml:space="preserve"> activit</w:t>
      </w:r>
      <w:r w:rsidR="00643740">
        <w:t>i</w:t>
      </w:r>
      <w:r w:rsidR="00C86F77">
        <w:t>es</w:t>
      </w:r>
      <w:r w:rsidR="00B50C7F">
        <w:t xml:space="preserve">, </w:t>
      </w:r>
      <w:r w:rsidR="00F443EC">
        <w:t>remediation controls</w:t>
      </w:r>
      <w:r w:rsidR="00A0070F">
        <w:t xml:space="preserve"> based on </w:t>
      </w:r>
      <w:r w:rsidR="006F57B8">
        <w:t>NIST 800-</w:t>
      </w:r>
      <w:r w:rsidR="006F57B8" w:rsidRPr="64DD9336">
        <w:t>53r5</w:t>
      </w:r>
      <w:r w:rsidR="00385D3D">
        <w:t xml:space="preserve"> (NIST, 2020) </w:t>
      </w:r>
      <w:r w:rsidR="00F443EC">
        <w:t xml:space="preserve">will be </w:t>
      </w:r>
      <w:r w:rsidR="007A6844">
        <w:t>identi</w:t>
      </w:r>
      <w:r w:rsidR="009E5EAC">
        <w:t>fied</w:t>
      </w:r>
      <w:r w:rsidR="00CC2F5A">
        <w:t xml:space="preserve"> and </w:t>
      </w:r>
      <w:r w:rsidR="00F15299">
        <w:t xml:space="preserve">ERP application recovery design </w:t>
      </w:r>
      <w:r w:rsidR="00171D11">
        <w:t>will be completed.</w:t>
      </w:r>
    </w:p>
    <w:p w14:paraId="59044E8A" w14:textId="77777777" w:rsidR="004B7DA4" w:rsidRDefault="00F9671A" w:rsidP="64DD9336">
      <w:pPr>
        <w:spacing w:line="257" w:lineRule="auto"/>
        <w:rPr>
          <w:rFonts w:ascii="Calibri" w:eastAsia="Calibri" w:hAnsi="Calibri" w:cs="Calibri"/>
        </w:rPr>
      </w:pPr>
      <w:r w:rsidRPr="00115A5B">
        <w:t>The proposed project timeline is included (Appendix 3) for client review. Upon approval this schedule shall form the notice to proceed (NTP) for advancing the final report and recovery plan</w:t>
      </w:r>
      <w:r w:rsidR="00496D56">
        <w:rPr>
          <w:rFonts w:ascii="Calibri" w:eastAsia="Calibri" w:hAnsi="Calibri" w:cs="Calibri"/>
        </w:rPr>
        <w:t xml:space="preserve">. </w:t>
      </w:r>
    </w:p>
    <w:p w14:paraId="55E3938D" w14:textId="4F1E5088" w:rsidR="64DD9336" w:rsidRDefault="64DD9336" w:rsidP="64DD9336">
      <w:pPr>
        <w:spacing w:line="257" w:lineRule="auto"/>
      </w:pPr>
      <w:r w:rsidRPr="64DD9336">
        <w:rPr>
          <w:rFonts w:ascii="Calibri" w:eastAsia="Calibri" w:hAnsi="Calibri" w:cs="Calibri"/>
        </w:rPr>
        <w:t>(Assumption – Schedule based on due dates in module info)</w:t>
      </w:r>
    </w:p>
    <w:p w14:paraId="5ADBEA44" w14:textId="77777777" w:rsidR="008C4CD6" w:rsidRDefault="64DD9336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br/>
      </w:r>
    </w:p>
    <w:p w14:paraId="795A03C4" w14:textId="690E0B7F" w:rsidR="64DD9336" w:rsidRDefault="64DD9336">
      <w:r w:rsidRPr="64DD9336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References</w:t>
      </w:r>
    </w:p>
    <w:p w14:paraId="482480D4" w14:textId="30447254" w:rsidR="64DD9336" w:rsidRDefault="64DD9336" w:rsidP="64DD9336">
      <w:pPr>
        <w:spacing w:line="257" w:lineRule="auto"/>
      </w:pPr>
      <w:r w:rsidRPr="64DD9336">
        <w:rPr>
          <w:rFonts w:ascii="Calibri" w:eastAsia="Calibri" w:hAnsi="Calibri" w:cs="Calibri"/>
        </w:rPr>
        <w:t xml:space="preserve">Carlson, C. (2016) </w:t>
      </w:r>
      <w:r w:rsidRPr="64DD9336">
        <w:rPr>
          <w:rFonts w:ascii="Calibri" w:eastAsia="Calibri" w:hAnsi="Calibri" w:cs="Calibri"/>
          <w:i/>
          <w:iCs/>
        </w:rPr>
        <w:t xml:space="preserve">The Open FAIR - NIST Cybersecurity Framework Cookbook. </w:t>
      </w:r>
      <w:r w:rsidRPr="64DD9336">
        <w:rPr>
          <w:rFonts w:ascii="Calibri" w:eastAsia="Calibri" w:hAnsi="Calibri" w:cs="Calibri"/>
        </w:rPr>
        <w:t>1st ed. Reading, Berkshire: The Open Group.</w:t>
      </w:r>
    </w:p>
    <w:p w14:paraId="07B53641" w14:textId="008A1233" w:rsidR="64DD9336" w:rsidRDefault="64DD9336" w:rsidP="64DD9336">
      <w:pPr>
        <w:spacing w:line="257" w:lineRule="auto"/>
      </w:pPr>
      <w:r w:rsidRPr="64DD9336">
        <w:rPr>
          <w:rFonts w:ascii="Calibri" w:eastAsia="Calibri" w:hAnsi="Calibri" w:cs="Calibri"/>
        </w:rPr>
        <w:t xml:space="preserve">Freund, J. &amp; Jones, J. (2014) </w:t>
      </w:r>
      <w:r w:rsidRPr="64DD9336">
        <w:rPr>
          <w:rFonts w:ascii="Calibri" w:eastAsia="Calibri" w:hAnsi="Calibri" w:cs="Calibri"/>
          <w:i/>
          <w:iCs/>
        </w:rPr>
        <w:t xml:space="preserve">Measuring and Managing Information Risk. </w:t>
      </w:r>
      <w:r w:rsidRPr="64DD9336">
        <w:rPr>
          <w:rFonts w:ascii="Calibri" w:eastAsia="Calibri" w:hAnsi="Calibri" w:cs="Calibri"/>
        </w:rPr>
        <w:t>1st ed. Waltham: Butterworth-Heinemann.</w:t>
      </w:r>
    </w:p>
    <w:p w14:paraId="05344B6B" w14:textId="44B03216" w:rsidR="64DD9336" w:rsidRDefault="64DD9336" w:rsidP="64DD9336">
      <w:pPr>
        <w:spacing w:line="257" w:lineRule="auto"/>
        <w:rPr>
          <w:rFonts w:ascii="Calibri" w:eastAsia="Calibri" w:hAnsi="Calibri" w:cs="Calibri"/>
          <w:u w:val="single"/>
        </w:rPr>
      </w:pPr>
      <w:proofErr w:type="spellStart"/>
      <w:r w:rsidRPr="64DD9336">
        <w:rPr>
          <w:rFonts w:ascii="Calibri" w:eastAsia="Calibri" w:hAnsi="Calibri" w:cs="Calibri"/>
        </w:rPr>
        <w:t>Fruhlinger</w:t>
      </w:r>
      <w:proofErr w:type="spellEnd"/>
      <w:r w:rsidRPr="64DD9336">
        <w:rPr>
          <w:rFonts w:ascii="Calibri" w:eastAsia="Calibri" w:hAnsi="Calibri" w:cs="Calibri"/>
        </w:rPr>
        <w:t xml:space="preserve">, J., </w:t>
      </w:r>
      <w:proofErr w:type="spellStart"/>
      <w:r w:rsidRPr="64DD9336">
        <w:rPr>
          <w:rFonts w:ascii="Calibri" w:eastAsia="Calibri" w:hAnsi="Calibri" w:cs="Calibri"/>
        </w:rPr>
        <w:t>Wailgum</w:t>
      </w:r>
      <w:proofErr w:type="spellEnd"/>
      <w:r w:rsidRPr="64DD9336">
        <w:rPr>
          <w:rFonts w:ascii="Calibri" w:eastAsia="Calibri" w:hAnsi="Calibri" w:cs="Calibri"/>
        </w:rPr>
        <w:t xml:space="preserve">, T. &amp; Sayer, P. (2020) </w:t>
      </w:r>
      <w:r w:rsidRPr="0007620E">
        <w:rPr>
          <w:rFonts w:ascii="Calibri" w:eastAsia="Calibri" w:hAnsi="Calibri" w:cs="Calibri"/>
        </w:rPr>
        <w:t>16 famous ERP disasters, dustups and disappointments.</w:t>
      </w:r>
      <w:r w:rsidRPr="64DD9336">
        <w:rPr>
          <w:rFonts w:ascii="Calibri" w:eastAsia="Calibri" w:hAnsi="Calibri" w:cs="Calibri"/>
          <w:i/>
          <w:iCs/>
        </w:rPr>
        <w:t xml:space="preserve"> </w:t>
      </w:r>
      <w:r w:rsidRPr="64DD9336">
        <w:rPr>
          <w:rFonts w:ascii="Calibri" w:eastAsia="Calibri" w:hAnsi="Calibri" w:cs="Calibri"/>
        </w:rPr>
        <w:t xml:space="preserve">Available from: </w:t>
      </w:r>
      <w:hyperlink r:id="rId10">
        <w:r w:rsidRPr="64DD9336">
          <w:rPr>
            <w:rStyle w:val="Hyperlink"/>
            <w:rFonts w:ascii="Calibri" w:eastAsia="Calibri" w:hAnsi="Calibri" w:cs="Calibri"/>
          </w:rPr>
          <w:t>https://www.cio.com/article/2429865/enterprise-resource-planning-10-famous-erp-disasters-dustups-and-disappointments.html</w:t>
        </w:r>
      </w:hyperlink>
      <w:r w:rsidRPr="64DD9336">
        <w:rPr>
          <w:rFonts w:ascii="Calibri" w:eastAsia="Calibri" w:hAnsi="Calibri" w:cs="Calibri"/>
          <w:u w:val="single"/>
        </w:rPr>
        <w:t xml:space="preserve"> [Accessed 21 August 2021].</w:t>
      </w:r>
    </w:p>
    <w:p w14:paraId="182DFC43" w14:textId="78AB8194" w:rsidR="008D303D" w:rsidRDefault="008D303D" w:rsidP="64DD9336">
      <w:pPr>
        <w:spacing w:line="257" w:lineRule="auto"/>
      </w:pPr>
      <w:r>
        <w:t xml:space="preserve">Hoffmann, R., </w:t>
      </w:r>
      <w:proofErr w:type="spellStart"/>
      <w:r>
        <w:t>Kiedrowicz</w:t>
      </w:r>
      <w:proofErr w:type="spellEnd"/>
      <w:r>
        <w:t xml:space="preserve">, M. &amp; </w:t>
      </w:r>
      <w:proofErr w:type="spellStart"/>
      <w:r>
        <w:t>Stanik</w:t>
      </w:r>
      <w:proofErr w:type="spellEnd"/>
      <w:r>
        <w:t>, J. (2016) Risk management system as the basic paradigm of the information security management system in an organization. MATEC Web of Conferences 76(1): 4 - 10</w:t>
      </w:r>
    </w:p>
    <w:p w14:paraId="0803BE4F" w14:textId="0209A155" w:rsidR="64DD9336" w:rsidRDefault="64DD9336" w:rsidP="64DD9336">
      <w:pPr>
        <w:spacing w:line="257" w:lineRule="auto"/>
      </w:pPr>
      <w:proofErr w:type="spellStart"/>
      <w:r w:rsidRPr="64DD9336">
        <w:rPr>
          <w:rFonts w:ascii="Calibri" w:eastAsia="Calibri" w:hAnsi="Calibri" w:cs="Calibri"/>
        </w:rPr>
        <w:t>Iskanuis</w:t>
      </w:r>
      <w:proofErr w:type="spellEnd"/>
      <w:r w:rsidRPr="64DD9336">
        <w:rPr>
          <w:rFonts w:ascii="Calibri" w:eastAsia="Calibri" w:hAnsi="Calibri" w:cs="Calibri"/>
        </w:rPr>
        <w:t xml:space="preserve">, P. (2010) Risk management of ERP projects in manufacturing SMEs. </w:t>
      </w:r>
      <w:r w:rsidRPr="64DD9336">
        <w:rPr>
          <w:rFonts w:ascii="Calibri" w:eastAsia="Calibri" w:hAnsi="Calibri" w:cs="Calibri"/>
          <w:i/>
          <w:iCs/>
        </w:rPr>
        <w:t xml:space="preserve">Information Resources Management Journal, </w:t>
      </w:r>
      <w:r w:rsidRPr="64DD9336">
        <w:rPr>
          <w:rFonts w:ascii="Calibri" w:eastAsia="Calibri" w:hAnsi="Calibri" w:cs="Calibri"/>
        </w:rPr>
        <w:t>23(3), pp. 61-67.</w:t>
      </w:r>
    </w:p>
    <w:p w14:paraId="2510B6FE" w14:textId="7BEF4AE4" w:rsidR="4FEDC77B" w:rsidRDefault="4FEDC77B" w:rsidP="4FEDC77B">
      <w:pPr>
        <w:rPr>
          <w:rFonts w:eastAsiaTheme="minorEastAsia"/>
        </w:rPr>
      </w:pPr>
      <w:r w:rsidRPr="4FEDC77B">
        <w:rPr>
          <w:rFonts w:eastAsiaTheme="minorEastAsia"/>
        </w:rPr>
        <w:t xml:space="preserve">National Institute of Standards (2020) NIST Special Publication 800-53 Revision 5. Security and Privacy Controls for Information Systems and Organizations. Available from: </w:t>
      </w:r>
      <w:hyperlink r:id="rId11">
        <w:r w:rsidRPr="4FEDC77B">
          <w:rPr>
            <w:rStyle w:val="Hyperlink"/>
            <w:rFonts w:eastAsiaTheme="minorEastAsia"/>
            <w:color w:val="auto"/>
          </w:rPr>
          <w:t>https://doi.org/10.6028/NIST.SP.800-53r5</w:t>
        </w:r>
      </w:hyperlink>
      <w:r w:rsidRPr="4FEDC77B">
        <w:rPr>
          <w:rFonts w:eastAsiaTheme="minorEastAsia"/>
        </w:rPr>
        <w:t xml:space="preserve"> [Accessed August 28, 2021]</w:t>
      </w:r>
    </w:p>
    <w:p w14:paraId="5D8B20DA" w14:textId="6E554012" w:rsidR="64DD9336" w:rsidRDefault="64DD9336" w:rsidP="64DD9336">
      <w:pPr>
        <w:spacing w:line="257" w:lineRule="auto"/>
      </w:pPr>
      <w:proofErr w:type="spellStart"/>
      <w:r w:rsidRPr="64DD9336">
        <w:rPr>
          <w:rFonts w:ascii="Calibri" w:eastAsia="Calibri" w:hAnsi="Calibri" w:cs="Calibri"/>
        </w:rPr>
        <w:t>Schmoller</w:t>
      </w:r>
      <w:proofErr w:type="spellEnd"/>
      <w:r w:rsidRPr="64DD9336">
        <w:rPr>
          <w:rFonts w:ascii="Calibri" w:eastAsia="Calibri" w:hAnsi="Calibri" w:cs="Calibri"/>
        </w:rPr>
        <w:t xml:space="preserve">, D. (2020) </w:t>
      </w:r>
      <w:r w:rsidRPr="00C41EAE">
        <w:rPr>
          <w:rFonts w:ascii="Calibri" w:eastAsia="Calibri" w:hAnsi="Calibri" w:cs="Calibri"/>
        </w:rPr>
        <w:t>Pros and Cons of the FAIR Framework.</w:t>
      </w:r>
      <w:r w:rsidRPr="64DD9336">
        <w:rPr>
          <w:rFonts w:ascii="Calibri" w:eastAsia="Calibri" w:hAnsi="Calibri" w:cs="Calibri"/>
          <w:i/>
          <w:iCs/>
        </w:rPr>
        <w:t xml:space="preserve"> </w:t>
      </w:r>
      <w:r w:rsidRPr="64DD9336">
        <w:rPr>
          <w:rFonts w:ascii="Calibri" w:eastAsia="Calibri" w:hAnsi="Calibri" w:cs="Calibri"/>
        </w:rPr>
        <w:t xml:space="preserve">Available from: </w:t>
      </w:r>
      <w:hyperlink r:id="rId12">
        <w:r w:rsidRPr="64DD9336">
          <w:rPr>
            <w:rStyle w:val="Hyperlink"/>
            <w:rFonts w:ascii="Calibri" w:eastAsia="Calibri" w:hAnsi="Calibri" w:cs="Calibri"/>
          </w:rPr>
          <w:t>https://reciprocity.com/pros-and-cons-of-the-fair-framework/</w:t>
        </w:r>
      </w:hyperlink>
      <w:r w:rsidRPr="64DD9336">
        <w:rPr>
          <w:rFonts w:ascii="Calibri" w:eastAsia="Calibri" w:hAnsi="Calibri" w:cs="Calibri"/>
          <w:u w:val="single"/>
        </w:rPr>
        <w:t xml:space="preserve"> [Accessed 2018 August 2021].</w:t>
      </w:r>
    </w:p>
    <w:p w14:paraId="4A00E6EE" w14:textId="464BDA0D" w:rsidR="64DD9336" w:rsidRDefault="64DD9336" w:rsidP="046EFC75">
      <w:pPr>
        <w:spacing w:line="257" w:lineRule="auto"/>
        <w:rPr>
          <w:rFonts w:ascii="Calibri" w:eastAsia="Calibri" w:hAnsi="Calibri" w:cs="Calibri"/>
        </w:rPr>
      </w:pPr>
      <w:proofErr w:type="spellStart"/>
      <w:r w:rsidRPr="64DD9336">
        <w:rPr>
          <w:rFonts w:ascii="Calibri" w:eastAsia="Calibri" w:hAnsi="Calibri" w:cs="Calibri"/>
        </w:rPr>
        <w:t>Seo</w:t>
      </w:r>
      <w:proofErr w:type="spellEnd"/>
      <w:r w:rsidRPr="64DD9336">
        <w:rPr>
          <w:rFonts w:ascii="Calibri" w:eastAsia="Calibri" w:hAnsi="Calibri" w:cs="Calibri"/>
        </w:rPr>
        <w:t xml:space="preserve">, G. (2013) </w:t>
      </w:r>
      <w:r w:rsidRPr="64DD9336">
        <w:rPr>
          <w:rFonts w:ascii="Calibri" w:eastAsia="Calibri" w:hAnsi="Calibri" w:cs="Calibri"/>
          <w:i/>
          <w:iCs/>
        </w:rPr>
        <w:t>Challenges in Implementing Enterprise Resource Planning (ERP) System in Large Organizations: Similarities and Differences Between Corporate and University Environment</w:t>
      </w:r>
      <w:r w:rsidR="046EFC75" w:rsidRPr="046EFC75">
        <w:rPr>
          <w:rFonts w:ascii="Calibri" w:eastAsia="Calibri" w:hAnsi="Calibri" w:cs="Calibri"/>
          <w:i/>
          <w:iCs/>
        </w:rPr>
        <w:t>.</w:t>
      </w:r>
      <w:r w:rsidRPr="64DD9336">
        <w:rPr>
          <w:rFonts w:ascii="Calibri" w:eastAsia="Calibri" w:hAnsi="Calibri" w:cs="Calibri"/>
          <w:i/>
          <w:iCs/>
        </w:rPr>
        <w:t xml:space="preserve"> </w:t>
      </w:r>
      <w:r w:rsidR="3223D850" w:rsidRPr="046EFC75">
        <w:rPr>
          <w:rFonts w:ascii="Calibri" w:eastAsia="Calibri" w:hAnsi="Calibri" w:cs="Calibri"/>
        </w:rPr>
        <w:t>S.M. Thesis, Massachusetts Institute of Technology, Sloan School of Management.</w:t>
      </w:r>
      <w:r w:rsidR="046EFC75" w:rsidRPr="046EFC75">
        <w:rPr>
          <w:rFonts w:ascii="Calibri" w:eastAsia="Calibri" w:hAnsi="Calibri" w:cs="Calibri"/>
        </w:rPr>
        <w:t xml:space="preserve"> Available from: </w:t>
      </w:r>
      <w:hyperlink r:id="rId13">
        <w:r w:rsidR="046EFC75" w:rsidRPr="046EFC75">
          <w:rPr>
            <w:rStyle w:val="Hyperlink"/>
            <w:rFonts w:ascii="Calibri" w:eastAsia="Calibri" w:hAnsi="Calibri" w:cs="Calibri"/>
            <w:sz w:val="21"/>
            <w:szCs w:val="21"/>
          </w:rPr>
          <w:t>http://hdl.handle.net/1721.1/80683</w:t>
        </w:r>
      </w:hyperlink>
      <w:r w:rsidR="046EFC75" w:rsidRPr="046EFC75">
        <w:rPr>
          <w:rFonts w:ascii="Calibri" w:eastAsia="Calibri" w:hAnsi="Calibri" w:cs="Calibri"/>
        </w:rPr>
        <w:t xml:space="preserve"> [Accessed 27 August 2021].</w:t>
      </w:r>
    </w:p>
    <w:p w14:paraId="418F4FBC" w14:textId="377A576E" w:rsidR="046EFC75" w:rsidRDefault="046EFC75" w:rsidP="046EFC75">
      <w:pPr>
        <w:spacing w:line="257" w:lineRule="auto"/>
        <w:rPr>
          <w:rFonts w:ascii="Calibri" w:eastAsia="Calibri" w:hAnsi="Calibri" w:cs="Calibri"/>
        </w:rPr>
      </w:pPr>
    </w:p>
    <w:p w14:paraId="69EDB546" w14:textId="0BEFDEB0" w:rsidR="046EFC75" w:rsidRDefault="046EFC75">
      <w:r>
        <w:br w:type="page"/>
      </w:r>
    </w:p>
    <w:p w14:paraId="4DE18B5A" w14:textId="6D92F6B0" w:rsidR="046EFC75" w:rsidRDefault="046EFC75" w:rsidP="046EFC75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46EFC7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Appendix 1</w:t>
      </w:r>
    </w:p>
    <w:p w14:paraId="0223C12C" w14:textId="4AFB8C51" w:rsidR="046EFC75" w:rsidRDefault="003244BB" w:rsidP="046EFC75">
      <w:pPr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>Detail</w:t>
      </w:r>
      <w:r w:rsidR="00603B79">
        <w:rPr>
          <w:rFonts w:ascii="Calibri" w:eastAsia="Calibri" w:hAnsi="Calibri" w:cs="Calibri"/>
          <w:color w:val="000000" w:themeColor="text1"/>
          <w:lang w:val="en-CA"/>
        </w:rPr>
        <w:t xml:space="preserve">s </w:t>
      </w:r>
      <w:r w:rsidR="0019740C">
        <w:rPr>
          <w:rFonts w:ascii="Calibri" w:eastAsia="Calibri" w:hAnsi="Calibri" w:cs="Calibri"/>
          <w:color w:val="000000" w:themeColor="text1"/>
          <w:lang w:val="en-CA"/>
        </w:rPr>
        <w:t xml:space="preserve">regarding </w:t>
      </w:r>
      <w:r w:rsidR="001E02AC">
        <w:rPr>
          <w:rFonts w:ascii="Calibri" w:eastAsia="Calibri" w:hAnsi="Calibri" w:cs="Calibri"/>
          <w:color w:val="000000" w:themeColor="text1"/>
          <w:lang w:val="en-CA"/>
        </w:rPr>
        <w:t xml:space="preserve">the </w:t>
      </w:r>
      <w:r w:rsidR="00250215">
        <w:rPr>
          <w:rFonts w:ascii="Calibri" w:eastAsia="Calibri" w:hAnsi="Calibri" w:cs="Calibri"/>
          <w:color w:val="000000" w:themeColor="text1"/>
          <w:lang w:val="en-CA"/>
        </w:rPr>
        <w:t xml:space="preserve">criteria considered for each functional and non-functional requirement have been removed </w:t>
      </w:r>
      <w:r w:rsidR="00AE6CC0">
        <w:rPr>
          <w:rFonts w:ascii="Calibri" w:eastAsia="Calibri" w:hAnsi="Calibri" w:cs="Calibri"/>
          <w:color w:val="000000" w:themeColor="text1"/>
          <w:lang w:val="en-CA"/>
        </w:rPr>
        <w:t xml:space="preserve">due to space constraints. </w:t>
      </w:r>
      <w:r w:rsidR="003A4BCD">
        <w:rPr>
          <w:rFonts w:ascii="Calibri" w:eastAsia="Calibri" w:hAnsi="Calibri" w:cs="Calibri"/>
          <w:color w:val="000000" w:themeColor="text1"/>
          <w:lang w:val="en-CA"/>
        </w:rPr>
        <w:t>Crite</w:t>
      </w:r>
      <w:r w:rsidR="00604FF3">
        <w:rPr>
          <w:rFonts w:ascii="Calibri" w:eastAsia="Calibri" w:hAnsi="Calibri" w:cs="Calibri"/>
          <w:color w:val="000000" w:themeColor="text1"/>
          <w:lang w:val="en-CA"/>
        </w:rPr>
        <w:t xml:space="preserve">ria will be </w:t>
      </w:r>
      <w:r w:rsidR="005214E5">
        <w:rPr>
          <w:rFonts w:ascii="Calibri" w:eastAsia="Calibri" w:hAnsi="Calibri" w:cs="Calibri"/>
          <w:color w:val="000000" w:themeColor="text1"/>
          <w:lang w:val="en-CA"/>
        </w:rPr>
        <w:t>further explained in the final report.</w:t>
      </w:r>
    </w:p>
    <w:p w14:paraId="44DE5BA6" w14:textId="77777777" w:rsidR="00434214" w:rsidRDefault="00434214" w:rsidP="046EFC75">
      <w:pPr>
        <w:rPr>
          <w:rFonts w:ascii="Calibri" w:eastAsia="Calibri" w:hAnsi="Calibri" w:cs="Calibri"/>
          <w:color w:val="000000" w:themeColor="text1"/>
          <w:lang w:val="en-CA"/>
        </w:rPr>
      </w:pPr>
    </w:p>
    <w:tbl>
      <w:tblPr>
        <w:tblStyle w:val="GridTable6Colorful-Accent1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1198"/>
        <w:gridCol w:w="891"/>
        <w:gridCol w:w="1454"/>
        <w:gridCol w:w="1617"/>
      </w:tblGrid>
      <w:tr w:rsidR="046EFC75" w14:paraId="15D7011F" w14:textId="77777777" w:rsidTr="046EF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E234C4" w14:textId="2FBF755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Functional and Non-functional Requirements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BAE6F77" w14:textId="05C14F1D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Weighting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BFC9F1A" w14:textId="17403CE2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COTS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5D7E24A" w14:textId="1F052E7B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Opensource project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CC001AB" w14:textId="40A221D2" w:rsidR="046EFC75" w:rsidRDefault="046EF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Internal development</w:t>
            </w:r>
          </w:p>
        </w:tc>
      </w:tr>
      <w:tr w:rsidR="046EFC75" w14:paraId="327A8D3D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51676B" w14:textId="13B337CA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Technical support availability</w:t>
            </w:r>
          </w:p>
        </w:tc>
        <w:tc>
          <w:tcPr>
            <w:tcW w:w="1198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DC8A4E3" w14:textId="3538C7D2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</w:t>
            </w:r>
          </w:p>
        </w:tc>
        <w:tc>
          <w:tcPr>
            <w:tcW w:w="891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3CD6A5E" w14:textId="1235C26A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21.67</w:t>
            </w:r>
          </w:p>
        </w:tc>
        <w:tc>
          <w:tcPr>
            <w:tcW w:w="1454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178488A" w14:textId="6A050390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7.5</w:t>
            </w:r>
          </w:p>
        </w:tc>
        <w:tc>
          <w:tcPr>
            <w:tcW w:w="1617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63B9440" w14:textId="03AD8406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11.67</w:t>
            </w:r>
          </w:p>
        </w:tc>
      </w:tr>
      <w:tr w:rsidR="046EFC75" w14:paraId="20ACAA0E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055F81B" w14:textId="16BEDCE7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Security vulnerability fixes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96B76BA" w14:textId="674E5E9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4.5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38E1525" w14:textId="5AF10FD7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16.5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8BD23D" w14:textId="1E268A49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65304F8" w14:textId="53278E21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</w:t>
            </w:r>
          </w:p>
        </w:tc>
      </w:tr>
      <w:tr w:rsidR="046EFC75" w14:paraId="626758E1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FDCA2DA" w14:textId="4F7F8A1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 xml:space="preserve">Professional services support for ERP Implementation 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444C72" w14:textId="3095E48F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AF86564" w14:textId="08E64B13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16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76A54F2" w14:textId="2BB25BCB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5.34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4E95633" w14:textId="7948044A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</w:t>
            </w:r>
          </w:p>
        </w:tc>
      </w:tr>
      <w:tr w:rsidR="046EFC75" w14:paraId="64525F4D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70A1126" w14:textId="65C0C973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Software security accountability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985B03" w14:textId="7E9AE867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284BE01" w14:textId="0EAD6810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20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E3F3FC" w14:textId="11FEC4C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4.67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AAC9905" w14:textId="6F67F201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6</w:t>
            </w:r>
          </w:p>
        </w:tc>
      </w:tr>
      <w:tr w:rsidR="046EFC75" w14:paraId="6AD01ED9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E0FC02E" w14:textId="1656D84C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IT Staff requirements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87591BE" w14:textId="213FE139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3.875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3842563" w14:textId="536A00A4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18.08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2A326A" w14:textId="2BD910B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7.75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D63054F" w14:textId="7E1752DC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3.875</w:t>
            </w:r>
          </w:p>
        </w:tc>
      </w:tr>
      <w:tr w:rsidR="046EFC75" w14:paraId="3DF72067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3F18AE4" w14:textId="7FE98BE1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System responsiveness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BC1201" w14:textId="2C78789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3.875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47CB482" w14:textId="15533BEF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14.21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D2DA778" w14:textId="0F10ACCB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9.69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654D4A7" w14:textId="5313B889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10.34</w:t>
            </w:r>
          </w:p>
        </w:tc>
      </w:tr>
      <w:tr w:rsidR="046EFC75" w14:paraId="5592A505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2713BFB" w14:textId="1C8D5ADE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End of life transition options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3A1DE38" w14:textId="450B99DA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27BF320" w14:textId="692E8FA6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12.5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E0E9C08" w14:textId="18EC7E7D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8.13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1384E8" w14:textId="6EDF5168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7.5</w:t>
            </w:r>
          </w:p>
        </w:tc>
      </w:tr>
      <w:tr w:rsidR="046EFC75" w14:paraId="5A052265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0993A6C" w14:textId="21176002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Feature Development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10D480" w14:textId="3D804F6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1C6E9A" w14:textId="0474FD32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13.13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A3841C" w14:textId="346DE45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6.25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C20EA9" w14:textId="5246A893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8.125</w:t>
            </w:r>
          </w:p>
        </w:tc>
      </w:tr>
      <w:tr w:rsidR="046EFC75" w14:paraId="69E408CD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3DC8EE5" w14:textId="6707769E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Implementation time requirements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4E461A8" w14:textId="48582EBB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3.75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29B78F" w14:textId="3A3F43E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14.375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A2BACE1" w14:textId="05F4A393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11.25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0EEF2D" w14:textId="3B2475C6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10</w:t>
            </w:r>
          </w:p>
        </w:tc>
      </w:tr>
      <w:tr w:rsidR="046EFC75" w14:paraId="6EE6D9BA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D1F7DA" w14:textId="6069173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 xml:space="preserve">System integration, expansion, and growth 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4CBC2A4" w14:textId="39197A9E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5D9B0D6" w14:textId="254B416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15.17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EE8DFD0" w14:textId="58B11BE4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5.83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41BDAF8" w14:textId="20C1D4EE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5.83</w:t>
            </w:r>
          </w:p>
        </w:tc>
      </w:tr>
      <w:tr w:rsidR="046EFC75" w14:paraId="29DC105E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FEBEAF8" w14:textId="78B5522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Alignment with ACME business processes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EA7111D" w14:textId="4EE8AAF7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3.25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B99C6A" w14:textId="0A0A1B9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5.96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6745693" w14:textId="66E5E453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7.58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17B763" w14:textId="46B71E78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15.17</w:t>
            </w:r>
          </w:p>
        </w:tc>
      </w:tr>
      <w:tr w:rsidR="046EFC75" w14:paraId="4812FC1E" w14:textId="77777777" w:rsidTr="046EFC7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279E98" w14:textId="6ECCD8A7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Damage recovery if ERP implementation fails or exposes ACME to liability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973E15" w14:textId="6345F075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3.125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7D4FC19" w14:textId="4D05D857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12.5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F43EC5D" w14:textId="5F855721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1.04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814671" w14:textId="1746ABAC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2.08</w:t>
            </w:r>
          </w:p>
        </w:tc>
      </w:tr>
      <w:tr w:rsidR="046EFC75" w14:paraId="44333A4C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F4AD6C6" w14:textId="0697C855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Total cost of ownership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8562EB" w14:textId="54429BA4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3.0625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7B26D78" w14:textId="3EECC8A9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12.76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129CE5" w14:textId="1BBB2E61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7.15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D59DD5E" w14:textId="100CBB2E" w:rsidR="046EFC75" w:rsidRDefault="046EFC75" w:rsidP="046EFC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6.64</w:t>
            </w:r>
          </w:p>
        </w:tc>
      </w:tr>
      <w:tr w:rsidR="046EFC75" w14:paraId="4393229F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A4856AD" w14:textId="6F28C3C3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Reference installations to validate suitability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6FEFB7" w14:textId="6F041CA0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3</w:t>
            </w: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8F7FF9" w14:textId="0FBD84FC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8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56A4E15" w14:textId="14BEC636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4.5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55AA60" w14:textId="3380B656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</w:t>
            </w:r>
          </w:p>
        </w:tc>
      </w:tr>
      <w:tr w:rsidR="046EFC75" w14:paraId="31AB9E6C" w14:textId="77777777" w:rsidTr="046EF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5C2CAE" w14:textId="43F757F0" w:rsidR="046EFC75" w:rsidRDefault="046EFC75"/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73DC45B" w14:textId="654E2D16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1C2FBAE" w14:textId="49DB3AF4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C79DE01" w14:textId="3FD9DEED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89943E0" w14:textId="47BD4411" w:rsidR="046EFC75" w:rsidRDefault="046EF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46EFC75" w14:paraId="57AEE94B" w14:textId="77777777" w:rsidTr="046EFC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6F13D90" w14:textId="54213AB0" w:rsidR="046EFC75" w:rsidRDefault="046EFC75">
            <w:r w:rsidRPr="046EFC7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CA"/>
              </w:rPr>
              <w:t>Requirements score</w:t>
            </w:r>
          </w:p>
        </w:tc>
        <w:tc>
          <w:tcPr>
            <w:tcW w:w="11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0A90361" w14:textId="0B75DBBD" w:rsidR="046EFC75" w:rsidRDefault="046EF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FFB8F1F" w14:textId="23769F6F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200.85</w:t>
            </w:r>
          </w:p>
        </w:tc>
        <w:tc>
          <w:tcPr>
            <w:tcW w:w="14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569CC99" w14:textId="3686170B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95.68</w:t>
            </w:r>
          </w:p>
        </w:tc>
        <w:tc>
          <w:tcPr>
            <w:tcW w:w="161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FD3A3BF" w14:textId="456DF65C" w:rsidR="046EFC75" w:rsidRDefault="046EFC75" w:rsidP="046EFC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6EFC75">
              <w:rPr>
                <w:rFonts w:ascii="Calibri" w:eastAsia="Calibri" w:hAnsi="Calibri" w:cs="Calibri"/>
                <w:color w:val="000000" w:themeColor="text1"/>
                <w:lang w:val="en-CA"/>
              </w:rPr>
              <w:t>101.23</w:t>
            </w:r>
          </w:p>
        </w:tc>
      </w:tr>
    </w:tbl>
    <w:p w14:paraId="0DB28E22" w14:textId="2F2007E8" w:rsidR="046EFC75" w:rsidRDefault="046EFC75" w:rsidP="046EFC75">
      <w:pPr>
        <w:spacing w:line="257" w:lineRule="auto"/>
        <w:rPr>
          <w:rFonts w:ascii="Calibri" w:eastAsia="Calibri" w:hAnsi="Calibri" w:cs="Calibri"/>
          <w:lang w:val="en-CA"/>
        </w:rPr>
      </w:pPr>
    </w:p>
    <w:p w14:paraId="39B07013" w14:textId="41E3D50A" w:rsidR="046EFC75" w:rsidRDefault="046EFC75">
      <w:r>
        <w:br w:type="page"/>
      </w:r>
    </w:p>
    <w:p w14:paraId="1E2552BB" w14:textId="03D8E813" w:rsidR="00066BA6" w:rsidRDefault="046EFC75" w:rsidP="046EFC75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046EFC7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Appendix 2</w:t>
      </w:r>
    </w:p>
    <w:p w14:paraId="5660A965" w14:textId="5AF37491" w:rsidR="4B132883" w:rsidRDefault="00CF1C26" w:rsidP="39D553D8">
      <w:pPr>
        <w:rPr>
          <w:rFonts w:ascii="Calibri" w:eastAsia="Calibri" w:hAnsi="Calibri" w:cs="Calibri"/>
          <w:color w:val="000000" w:themeColor="text1"/>
          <w:lang w:val="en-CA"/>
        </w:rPr>
      </w:pPr>
      <w:r>
        <w:rPr>
          <w:rFonts w:ascii="Calibri" w:eastAsia="Calibri" w:hAnsi="Calibri" w:cs="Calibri"/>
          <w:color w:val="000000" w:themeColor="text1"/>
          <w:lang w:val="en-CA"/>
        </w:rPr>
        <w:t xml:space="preserve">The information risks listed below </w:t>
      </w:r>
      <w:r w:rsidR="002F2E92">
        <w:rPr>
          <w:rFonts w:ascii="Calibri" w:eastAsia="Calibri" w:hAnsi="Calibri" w:cs="Calibri"/>
          <w:color w:val="000000" w:themeColor="text1"/>
          <w:lang w:val="en-CA"/>
        </w:rPr>
        <w:t xml:space="preserve">have been </w:t>
      </w:r>
      <w:r w:rsidR="00AE08E5">
        <w:rPr>
          <w:rFonts w:ascii="Calibri" w:eastAsia="Calibri" w:hAnsi="Calibri" w:cs="Calibri"/>
          <w:color w:val="000000" w:themeColor="text1"/>
          <w:lang w:val="en-CA"/>
        </w:rPr>
        <w:t xml:space="preserve">completed without ACME stakeholder input. </w:t>
      </w:r>
      <w:r w:rsidR="005C426F">
        <w:rPr>
          <w:rFonts w:ascii="Calibri" w:eastAsia="Calibri" w:hAnsi="Calibri" w:cs="Calibri"/>
          <w:color w:val="000000" w:themeColor="text1"/>
          <w:lang w:val="en-CA"/>
        </w:rPr>
        <w:t xml:space="preserve">ACME leadership is encouraged to review the table </w:t>
      </w:r>
      <w:r w:rsidR="00DC4359">
        <w:rPr>
          <w:rFonts w:ascii="Calibri" w:eastAsia="Calibri" w:hAnsi="Calibri" w:cs="Calibri"/>
          <w:color w:val="000000" w:themeColor="text1"/>
          <w:lang w:val="en-CA"/>
        </w:rPr>
        <w:t xml:space="preserve">to confirm </w:t>
      </w:r>
      <w:r w:rsidR="009461DE">
        <w:rPr>
          <w:rFonts w:ascii="Calibri" w:eastAsia="Calibri" w:hAnsi="Calibri" w:cs="Calibri"/>
          <w:color w:val="000000" w:themeColor="text1"/>
          <w:lang w:val="en-CA"/>
        </w:rPr>
        <w:t>key information risk concerns</w:t>
      </w:r>
      <w:r w:rsidR="005106E4">
        <w:rPr>
          <w:rFonts w:ascii="Calibri" w:eastAsia="Calibri" w:hAnsi="Calibri" w:cs="Calibri"/>
          <w:color w:val="000000" w:themeColor="text1"/>
          <w:lang w:val="en-CA"/>
        </w:rPr>
        <w:t xml:space="preserve"> and receptors </w:t>
      </w:r>
      <w:r w:rsidR="002A2199">
        <w:rPr>
          <w:rFonts w:ascii="Calibri" w:eastAsia="Calibri" w:hAnsi="Calibri" w:cs="Calibri"/>
          <w:color w:val="000000" w:themeColor="text1"/>
          <w:lang w:val="en-CA"/>
        </w:rPr>
        <w:t xml:space="preserve">are identified. </w:t>
      </w:r>
    </w:p>
    <w:tbl>
      <w:tblPr>
        <w:tblStyle w:val="GridTable6Colorful-Accent1"/>
        <w:tblW w:w="9360" w:type="dxa"/>
        <w:tblLayout w:type="fixed"/>
        <w:tblLook w:val="04A0" w:firstRow="1" w:lastRow="0" w:firstColumn="1" w:lastColumn="0" w:noHBand="0" w:noVBand="1"/>
      </w:tblPr>
      <w:tblGrid>
        <w:gridCol w:w="2698"/>
        <w:gridCol w:w="2411"/>
        <w:gridCol w:w="1698"/>
        <w:gridCol w:w="2553"/>
      </w:tblGrid>
      <w:tr w:rsidR="39D553D8" w14:paraId="4052C1BB" w14:textId="77777777" w:rsidTr="00731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DA70893" w14:textId="723A1A46" w:rsidR="39D553D8" w:rsidRDefault="39D553D8" w:rsidP="39D553D8">
            <w:pPr>
              <w:jc w:val="center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Risk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97CCD99" w14:textId="07409811" w:rsidR="39D553D8" w:rsidRDefault="39D55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CA"/>
              </w:rPr>
              <w:t>Risk Receptor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2423A1B" w14:textId="3F2600E7" w:rsidR="39D553D8" w:rsidRDefault="39D55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CA"/>
              </w:rPr>
              <w:t>Primary or Secondary Loss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FA3642D" w14:textId="2ACE66AF" w:rsidR="39D553D8" w:rsidRDefault="39D553D8" w:rsidP="39D553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CA"/>
              </w:rPr>
              <w:t>Potential Impact Description</w:t>
            </w:r>
          </w:p>
        </w:tc>
      </w:tr>
      <w:tr w:rsidR="39D553D8" w14:paraId="5A5E98EE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C401BB3" w14:textId="79B6A423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Initial customization creates future maintenance difficulties and technical debt</w:t>
            </w:r>
          </w:p>
        </w:tc>
        <w:tc>
          <w:tcPr>
            <w:tcW w:w="2411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4AFDC6" w14:textId="5AC4B96E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Operational, Financial, Reputational (including this team who recommended the selection)</w:t>
            </w:r>
          </w:p>
        </w:tc>
        <w:tc>
          <w:tcPr>
            <w:tcW w:w="1698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61A1634" w14:textId="7078751C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12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544EB19" w14:textId="3648C025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Limitations with the ERP selected can only be resolved through bespoke modifications</w:t>
            </w:r>
          </w:p>
        </w:tc>
      </w:tr>
      <w:tr w:rsidR="39D553D8" w14:paraId="16B4EC1A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248D542" w14:textId="6A854B9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ERP software obsolescence due to vendor failure or development team failure   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696A8F" w14:textId="26B9AF2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Operational, Financial, Reputational  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66BE45" w14:textId="31CAA34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87FC64" w14:textId="6448EE57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All software will become obsolete, which lifecycle management approach best fits ACME</w:t>
            </w:r>
          </w:p>
        </w:tc>
      </w:tr>
      <w:tr w:rsidR="39D553D8" w14:paraId="16A763B5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AA5F0E" w14:textId="3C70D9F9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Difficulty/inability to import or export data leads to solution lock-in or parallel systems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558CAED" w14:textId="4A22D478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Loss of revenue, loss of efficiency/employee satisfaction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8E995A7" w14:textId="46A820B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CAB9625" w14:textId="0A7B7004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Existing organizational data must put into the </w:t>
            </w:r>
            <w:r w:rsidR="00FA2952"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ERP, data</w:t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will need to be extract in the future when moving to a new platform</w:t>
            </w:r>
          </w:p>
        </w:tc>
      </w:tr>
      <w:tr w:rsidR="39D553D8" w14:paraId="6CC602D9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1D9F324" w14:textId="349646DD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Lack of legal recourse to recover costs due to ERP implementation or performance failure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A170B56" w14:textId="7A3445A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73A802D" w14:textId="2555E1F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D7C8F08" w14:textId="20DA220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Damage claims by ERP clients are not uncommon</w:t>
            </w:r>
          </w:p>
        </w:tc>
      </w:tr>
      <w:tr w:rsidR="39D553D8" w14:paraId="052851FF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41FD413" w14:textId="683A19E9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implementation delays lead to cost overruns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4142D01" w14:textId="11F78791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A305C2D" w14:textId="70B8472A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4CC152B" w14:textId="712E90EC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Existing business process(es) require ERP software configuration outside of standard implementation</w:t>
            </w:r>
          </w:p>
        </w:tc>
      </w:tr>
      <w:tr w:rsidR="39D553D8" w14:paraId="56B1F97F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443CE45" w14:textId="21334608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Organizational change delays lead to cost overruns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2FD754E" w14:textId="2DB415E8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Financial, reputational (internal stakeholders)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DA20D37" w14:textId="545E751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3045EEF" w14:textId="6D4FFF2C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process changes to meet ERM requirements difficult to implement in various Acme business areas</w:t>
            </w:r>
          </w:p>
        </w:tc>
      </w:tr>
      <w:tr w:rsidR="39D553D8" w14:paraId="2359596A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5CAD036" w14:textId="5DB6F81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implementation requirements create resource conflicts with existing operational staff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FCD5D8F" w14:textId="0F8FC504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Financial, reputational (internal stakeholders)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AC851B1" w14:textId="25B12DAA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5E00FB8" w14:textId="4CC1401E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Current business operations need to run in parallel while new ERP is implemented, </w:t>
            </w:r>
            <w:r w:rsidR="00FA2952"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tested,</w:t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and transferred into production</w:t>
            </w:r>
          </w:p>
        </w:tc>
      </w:tr>
      <w:tr w:rsidR="39D553D8" w14:paraId="6F75B42B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A9D59AC" w14:textId="4120791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A data breach within the ERP system could result in customer record loss or compromise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1BAF4C8" w14:textId="3B4493F2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Financial (fines, settlements) </w:t>
            </w:r>
            <w:r>
              <w:br/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Reputation (customer confidence) 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E4A3265" w14:textId="7FD7A24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 &amp; 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1D1A6A2" w14:textId="75636B10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Unauthorized access or release of PII or intellectual property</w:t>
            </w:r>
          </w:p>
        </w:tc>
      </w:tr>
      <w:tr w:rsidR="39D553D8" w14:paraId="2CAE20C1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34400BA" w14:textId="6BF68327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developers can not produce vulnerability fixes at the rate Acme requires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B4DACF0" w14:textId="218448E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FA323DF" w14:textId="47C56ED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D75228" w14:textId="08060D3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Software updates will be needed to mitigate security vulnerabilities when they are discovered - Custom solutions result in delays (extended vulnerability timeframe)</w:t>
            </w:r>
          </w:p>
        </w:tc>
      </w:tr>
      <w:tr w:rsidR="39D553D8" w14:paraId="5358F821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43BCD0" w14:textId="1C5231B1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Developers fail to timely, discover, inform and patch for new vulnerabilities.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B395FA2" w14:textId="21173BC7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DCE5B1E" w14:textId="54AB9257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51F8100" w14:textId="7A8A1318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Security Patches are not implemented quickly enough to prevent a breach or exploited vulnerability</w:t>
            </w:r>
          </w:p>
        </w:tc>
      </w:tr>
      <w:tr w:rsidR="39D553D8" w14:paraId="5F61FD41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2E98166" w14:textId="72CED0D0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CIRT does not maintain high level of readiness through regular CIRT exercises in response/recovery.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0146BE0" w14:textId="2C303021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209DABE" w14:textId="78D2B25A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 &amp; 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E6FAABD" w14:textId="43B03E17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Response/recovery in real world incident is delayed and ineffective</w:t>
            </w:r>
          </w:p>
        </w:tc>
      </w:tr>
      <w:tr w:rsidR="39D553D8" w14:paraId="323C517C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8AA31B2" w14:textId="2D1E6943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Developer does not offer Cyber Incident Response Team (CIRT) support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5EB009" w14:textId="6246F095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FDF027" w14:textId="592927C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984FE3" w14:textId="42AD6710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In-house staff must be trained in specialty skills or external cyber consultant retained to be part of CIRT</w:t>
            </w:r>
          </w:p>
        </w:tc>
      </w:tr>
      <w:tr w:rsidR="39D553D8" w14:paraId="750EBF30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6E8AF8" w14:textId="70A7797F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implementation unavailable or unusable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1AF274A" w14:textId="1018C48F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Financial (productivity), 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11E2B54" w14:textId="41E3AA91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0716EAB" w14:textId="487E3C35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The system performance results in workers taking longer to perform their tasks than with the existing spreadsheet systems</w:t>
            </w:r>
          </w:p>
        </w:tc>
      </w:tr>
      <w:tr w:rsidR="39D553D8" w14:paraId="1D155FB5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2ABCA45" w14:textId="795D0006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decision errors resulting from incomplete or inaccurate data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EED004E" w14:textId="62010D0B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 (forecasting, reporting)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9DAC5F7" w14:textId="12647F4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81FB0CE" w14:textId="57EF346B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The ERP may continue to generate data output that appears correct until reviewed by another party. </w:t>
            </w:r>
          </w:p>
        </w:tc>
      </w:tr>
      <w:tr w:rsidR="39D553D8" w14:paraId="7530EB3A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54C4CE3" w14:textId="44C9D21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Customer service issues resulting from incomplete or inaccurate data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A06944" w14:textId="28FDE078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Reputation (customers: missed deliveries, invoicing mistakes)</w:t>
            </w:r>
            <w:r>
              <w:br/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Financial (performance penalties)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CEC38A6" w14:textId="57AC46B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26BD6C0" w14:textId="4A1F2F9D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The ERP may continue to generate data output that appears correct until reviewed by another party. </w:t>
            </w:r>
          </w:p>
        </w:tc>
      </w:tr>
      <w:tr w:rsidR="39D553D8" w14:paraId="4D85104B" w14:textId="77777777" w:rsidTr="007317FB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5DF87DE" w14:textId="7DA5A105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Modifications to one ERP module unknowingly affect other modules resulting in incomplete or inaccurate data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687DAB3" w14:textId="7EB376A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5C6F41D" w14:textId="476B423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391428E" w14:textId="722AC95D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Delay in discovery of erroneous data use or malware spread results in multiple system involvement, delayed response/recovery and potential fines or civil litigation</w:t>
            </w:r>
          </w:p>
        </w:tc>
      </w:tr>
      <w:tr w:rsidR="39D553D8" w14:paraId="0F91E46F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FA75F23" w14:textId="5663829A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ACME IT department unable to adequately support ERP environment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B8D1351" w14:textId="2936F8F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Full Spectrum of risk based on exponential impact to multiple systems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82F54C2" w14:textId="19C5BDA7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6CA9F32" w14:textId="4E44AB3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Unplanned service disruptions to certain ERP capabilities or the entire system extend for hours, days or occur frequently in business hours</w:t>
            </w:r>
          </w:p>
        </w:tc>
      </w:tr>
      <w:tr w:rsidR="39D553D8" w14:paraId="4C46711D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A156C1" w14:textId="10E6EBD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Limited benefits realization results in board of directors/investor confidence issue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F4AD0B7" w14:textId="1390A950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financial, reputational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E0DCA9F" w14:textId="55052B3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3C0083" w14:textId="1DAFC718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Implementation issues lead to only basic ERP capabilities in place or inability to retire some legacy processes</w:t>
            </w:r>
          </w:p>
        </w:tc>
      </w:tr>
      <w:tr w:rsidR="39D553D8" w14:paraId="60ABDF47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58261AC" w14:textId="37DDB9BA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ACME staff slow or resistant to adopting ERP workflow 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832A36C" w14:textId="28BD8F3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financial, reputational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A25019B" w14:textId="118F4EF9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12AB01F9" w14:textId="7A630642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Users and business functions continue to rely on legacy spreadsheet mode of operation</w:t>
            </w:r>
          </w:p>
        </w:tc>
      </w:tr>
      <w:tr w:rsidR="39D553D8" w14:paraId="29C7A10B" w14:textId="77777777" w:rsidTr="007317F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3C06219" w14:textId="3A93409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developers can not produce feature enhancements Acme requires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E1F2BD9" w14:textId="7C9586A2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financial, reputational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FD19989" w14:textId="59499ECE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A6103DB" w14:textId="47BA2E4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Changes to business operational requirements over time must be anticipated </w:t>
            </w:r>
          </w:p>
        </w:tc>
      </w:tr>
      <w:tr w:rsidR="39D553D8" w14:paraId="46AF001F" w14:textId="77777777" w:rsidTr="0073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B548405" w14:textId="62727046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solution lacks adequately robust role-based access controls to enforce the segregation of duties required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67629A34" w14:textId="0146BAEF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Business operations, financial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07BFEC64" w14:textId="2CAAA4FB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Primary &amp; 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5CD64CFA" w14:textId="28815BE6" w:rsidR="39D553D8" w:rsidRDefault="39D55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Segregation of duties is a key control for preventing fraud, misuse</w:t>
            </w:r>
            <w:r w:rsidR="00011AFC"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,</w:t>
            </w: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 or misallocation of enterprise resources</w:t>
            </w:r>
          </w:p>
        </w:tc>
      </w:tr>
      <w:tr w:rsidR="39D553D8" w14:paraId="580ED96F" w14:textId="77777777" w:rsidTr="007317F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7B837115" w14:textId="52584E5B" w:rsidR="39D553D8" w:rsidRDefault="39D553D8"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ERP solution lacks reporting capability for transactions that potentially violate segregation of duties controls</w:t>
            </w:r>
          </w:p>
        </w:tc>
        <w:tc>
          <w:tcPr>
            <w:tcW w:w="241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38E37A3C" w14:textId="627D20F9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Financial, reputational (internal stakeholders)</w:t>
            </w:r>
          </w:p>
        </w:tc>
        <w:tc>
          <w:tcPr>
            <w:tcW w:w="169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2002FF26" w14:textId="0F7C0C7A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Secondary</w:t>
            </w:r>
          </w:p>
        </w:tc>
        <w:tc>
          <w:tcPr>
            <w:tcW w:w="255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</w:tcPr>
          <w:p w14:paraId="4370CDD5" w14:textId="0E20A996" w:rsidR="39D553D8" w:rsidRDefault="39D55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D553D8">
              <w:rPr>
                <w:rFonts w:ascii="Calibri" w:eastAsia="Calibri" w:hAnsi="Calibri" w:cs="Calibri"/>
                <w:color w:val="000000" w:themeColor="text1"/>
                <w:lang w:val="en-CA"/>
              </w:rPr>
              <w:t>The ability to monitor transactions for potential issues and highlight those that must be manually reviewed is an important detective control</w:t>
            </w:r>
          </w:p>
        </w:tc>
      </w:tr>
    </w:tbl>
    <w:p w14:paraId="7D3A1A68" w14:textId="128B6A09" w:rsidR="39D553D8" w:rsidRDefault="39D553D8" w:rsidP="39D553D8">
      <w:pPr>
        <w:spacing w:line="257" w:lineRule="auto"/>
        <w:rPr>
          <w:rFonts w:ascii="Calibri" w:eastAsia="Calibri" w:hAnsi="Calibri" w:cs="Calibri"/>
          <w:lang w:val="en-CA"/>
        </w:rPr>
      </w:pPr>
    </w:p>
    <w:p w14:paraId="3391BB64" w14:textId="0BBC763D" w:rsidR="64DD9336" w:rsidRDefault="64DD9336" w:rsidP="64DD9336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4441F135" w14:textId="60FF6014" w:rsidR="6DC08B1B" w:rsidRDefault="6DC08B1B" w:rsidP="6DC08B1B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6C1F8144" w14:textId="0B30C677" w:rsidR="24E88D25" w:rsidRDefault="24E88D25" w:rsidP="24E88D25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28478A55" w14:textId="35C0EF30" w:rsidR="24E88D25" w:rsidRDefault="24E88D25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79496F89" w14:textId="35C0EF30" w:rsidR="4386B35A" w:rsidRDefault="4386B35A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69ADE4ED" w14:textId="35C0EF30" w:rsidR="4386B35A" w:rsidRDefault="4386B35A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60C9D7C7" w14:textId="35C0EF30" w:rsidR="4386B35A" w:rsidRDefault="4386B35A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12C036F7" w14:textId="77777777" w:rsidR="00265C8C" w:rsidRDefault="00265C8C" w:rsidP="4386B35A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sectPr w:rsidR="00265C8C" w:rsidSect="002F27C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DAAD3" w14:textId="3907A010" w:rsidR="64DD9336" w:rsidRDefault="4386B35A" w:rsidP="64DD9336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4386B35A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Appendix 3 </w:t>
      </w:r>
    </w:p>
    <w:p w14:paraId="0CDD97E1" w14:textId="2F671259" w:rsidR="00265C8C" w:rsidRDefault="1987554C" w:rsidP="23DD9B0E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987554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Project Schedule</w:t>
      </w:r>
    </w:p>
    <w:p w14:paraId="37E878AA" w14:textId="5BE951B7" w:rsidR="00265C8C" w:rsidRDefault="00265C8C" w:rsidP="23DD9B0E">
      <w:pPr>
        <w:spacing w:line="257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</w:p>
    <w:p w14:paraId="154761D4" w14:textId="6C291D65" w:rsidR="64DD9336" w:rsidRDefault="00265C8C" w:rsidP="64DD9336">
      <w:pPr>
        <w:spacing w:line="257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E49922" wp14:editId="58C5AE3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198837" cy="7704492"/>
            <wp:effectExtent l="0" t="0" r="0" b="0"/>
            <wp:wrapSquare wrapText="bothSides"/>
            <wp:docPr id="575107201" name="Picture 3446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67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198837" cy="770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64DD9336" w:rsidSect="00265C8C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97F3" w14:textId="77777777" w:rsidR="00586B2B" w:rsidRDefault="00586B2B" w:rsidP="008F117E">
      <w:pPr>
        <w:spacing w:after="0" w:line="240" w:lineRule="auto"/>
      </w:pPr>
      <w:r>
        <w:separator/>
      </w:r>
    </w:p>
  </w:endnote>
  <w:endnote w:type="continuationSeparator" w:id="0">
    <w:p w14:paraId="03910FF4" w14:textId="77777777" w:rsidR="00586B2B" w:rsidRDefault="00586B2B" w:rsidP="008F117E">
      <w:pPr>
        <w:spacing w:after="0" w:line="240" w:lineRule="auto"/>
      </w:pPr>
      <w:r>
        <w:continuationSeparator/>
      </w:r>
    </w:p>
  </w:endnote>
  <w:endnote w:type="continuationNotice" w:id="1">
    <w:p w14:paraId="61EA0CDD" w14:textId="77777777" w:rsidR="00586B2B" w:rsidRDefault="00586B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1ED8" w14:textId="77777777" w:rsidR="008F117E" w:rsidRDefault="008F1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1519" w14:textId="77777777" w:rsidR="008F117E" w:rsidRDefault="008F1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D127" w14:textId="77777777" w:rsidR="008F117E" w:rsidRDefault="008F1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1896" w14:textId="77777777" w:rsidR="00586B2B" w:rsidRDefault="00586B2B" w:rsidP="008F117E">
      <w:pPr>
        <w:spacing w:after="0" w:line="240" w:lineRule="auto"/>
      </w:pPr>
      <w:r>
        <w:separator/>
      </w:r>
    </w:p>
  </w:footnote>
  <w:footnote w:type="continuationSeparator" w:id="0">
    <w:p w14:paraId="7310F4E5" w14:textId="77777777" w:rsidR="00586B2B" w:rsidRDefault="00586B2B" w:rsidP="008F117E">
      <w:pPr>
        <w:spacing w:after="0" w:line="240" w:lineRule="auto"/>
      </w:pPr>
      <w:r>
        <w:continuationSeparator/>
      </w:r>
    </w:p>
  </w:footnote>
  <w:footnote w:type="continuationNotice" w:id="1">
    <w:p w14:paraId="675EDF80" w14:textId="77777777" w:rsidR="00586B2B" w:rsidRDefault="00586B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6703" w14:textId="77777777" w:rsidR="008F117E" w:rsidRDefault="008F1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FB53" w14:textId="4433D1A4" w:rsidR="008F117E" w:rsidRDefault="008F11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0057" w14:textId="77777777" w:rsidR="008F117E" w:rsidRDefault="008F1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2C4"/>
    <w:multiLevelType w:val="hybridMultilevel"/>
    <w:tmpl w:val="244A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30B9"/>
    <w:multiLevelType w:val="hybridMultilevel"/>
    <w:tmpl w:val="B06E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7601E"/>
    <w:multiLevelType w:val="hybridMultilevel"/>
    <w:tmpl w:val="78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0"/>
    <w:rsid w:val="000003CA"/>
    <w:rsid w:val="00002477"/>
    <w:rsid w:val="00006946"/>
    <w:rsid w:val="000119FE"/>
    <w:rsid w:val="00011AFC"/>
    <w:rsid w:val="0001222C"/>
    <w:rsid w:val="00014190"/>
    <w:rsid w:val="0001533D"/>
    <w:rsid w:val="000225E4"/>
    <w:rsid w:val="0002483F"/>
    <w:rsid w:val="0002643D"/>
    <w:rsid w:val="00031E76"/>
    <w:rsid w:val="000336B8"/>
    <w:rsid w:val="0004527D"/>
    <w:rsid w:val="000460DB"/>
    <w:rsid w:val="00046371"/>
    <w:rsid w:val="00046755"/>
    <w:rsid w:val="00046E4C"/>
    <w:rsid w:val="00047782"/>
    <w:rsid w:val="00052074"/>
    <w:rsid w:val="00056074"/>
    <w:rsid w:val="00056B22"/>
    <w:rsid w:val="00060063"/>
    <w:rsid w:val="00060276"/>
    <w:rsid w:val="00060BDA"/>
    <w:rsid w:val="0006145E"/>
    <w:rsid w:val="00061AE7"/>
    <w:rsid w:val="00062D48"/>
    <w:rsid w:val="00064E43"/>
    <w:rsid w:val="0006687D"/>
    <w:rsid w:val="00066BA6"/>
    <w:rsid w:val="00066D76"/>
    <w:rsid w:val="0007620E"/>
    <w:rsid w:val="00081690"/>
    <w:rsid w:val="000839C1"/>
    <w:rsid w:val="000904A5"/>
    <w:rsid w:val="0009722C"/>
    <w:rsid w:val="000A2721"/>
    <w:rsid w:val="000A27CB"/>
    <w:rsid w:val="000A2E30"/>
    <w:rsid w:val="000A5649"/>
    <w:rsid w:val="000A7B9F"/>
    <w:rsid w:val="000B19A8"/>
    <w:rsid w:val="000B2CCE"/>
    <w:rsid w:val="000B3304"/>
    <w:rsid w:val="000B352D"/>
    <w:rsid w:val="000B3F4D"/>
    <w:rsid w:val="000B66DC"/>
    <w:rsid w:val="000B6F25"/>
    <w:rsid w:val="000C0009"/>
    <w:rsid w:val="000C5443"/>
    <w:rsid w:val="000C60BC"/>
    <w:rsid w:val="000C6985"/>
    <w:rsid w:val="000D10A9"/>
    <w:rsid w:val="000D2E86"/>
    <w:rsid w:val="000D3AE0"/>
    <w:rsid w:val="000D4413"/>
    <w:rsid w:val="000D470A"/>
    <w:rsid w:val="000D4DB9"/>
    <w:rsid w:val="000E0001"/>
    <w:rsid w:val="000E03CD"/>
    <w:rsid w:val="000E0DD9"/>
    <w:rsid w:val="000E7C35"/>
    <w:rsid w:val="000F7E6E"/>
    <w:rsid w:val="0010149E"/>
    <w:rsid w:val="00104346"/>
    <w:rsid w:val="00107F87"/>
    <w:rsid w:val="00110127"/>
    <w:rsid w:val="00111D8F"/>
    <w:rsid w:val="00114031"/>
    <w:rsid w:val="00115A5B"/>
    <w:rsid w:val="00120FA0"/>
    <w:rsid w:val="001248DA"/>
    <w:rsid w:val="00125153"/>
    <w:rsid w:val="00126222"/>
    <w:rsid w:val="00127A83"/>
    <w:rsid w:val="0013225A"/>
    <w:rsid w:val="00132F21"/>
    <w:rsid w:val="001331C7"/>
    <w:rsid w:val="001373CB"/>
    <w:rsid w:val="00146117"/>
    <w:rsid w:val="001477AA"/>
    <w:rsid w:val="00152C69"/>
    <w:rsid w:val="00155DF3"/>
    <w:rsid w:val="00157F07"/>
    <w:rsid w:val="00161E89"/>
    <w:rsid w:val="0016455C"/>
    <w:rsid w:val="0016550E"/>
    <w:rsid w:val="00165A38"/>
    <w:rsid w:val="001677E6"/>
    <w:rsid w:val="001716AD"/>
    <w:rsid w:val="00171D11"/>
    <w:rsid w:val="00172312"/>
    <w:rsid w:val="00172769"/>
    <w:rsid w:val="00173B4F"/>
    <w:rsid w:val="001742BF"/>
    <w:rsid w:val="001749C5"/>
    <w:rsid w:val="001819A8"/>
    <w:rsid w:val="00185192"/>
    <w:rsid w:val="001938FF"/>
    <w:rsid w:val="001944B9"/>
    <w:rsid w:val="00196ABE"/>
    <w:rsid w:val="0019740C"/>
    <w:rsid w:val="001A2376"/>
    <w:rsid w:val="001A29AA"/>
    <w:rsid w:val="001A3E2D"/>
    <w:rsid w:val="001A4228"/>
    <w:rsid w:val="001A7658"/>
    <w:rsid w:val="001B026F"/>
    <w:rsid w:val="001B0FB5"/>
    <w:rsid w:val="001B3071"/>
    <w:rsid w:val="001B31A2"/>
    <w:rsid w:val="001B3D7E"/>
    <w:rsid w:val="001B7065"/>
    <w:rsid w:val="001C2ABF"/>
    <w:rsid w:val="001C3FEF"/>
    <w:rsid w:val="001D2DE9"/>
    <w:rsid w:val="001D6F03"/>
    <w:rsid w:val="001D7967"/>
    <w:rsid w:val="001E02AC"/>
    <w:rsid w:val="001E0D88"/>
    <w:rsid w:val="001E267C"/>
    <w:rsid w:val="001E74E2"/>
    <w:rsid w:val="001E7AD9"/>
    <w:rsid w:val="001F0B10"/>
    <w:rsid w:val="001F269A"/>
    <w:rsid w:val="001F4562"/>
    <w:rsid w:val="00201F16"/>
    <w:rsid w:val="002024D3"/>
    <w:rsid w:val="00203CF6"/>
    <w:rsid w:val="00204959"/>
    <w:rsid w:val="00204C4F"/>
    <w:rsid w:val="002077F3"/>
    <w:rsid w:val="00211E26"/>
    <w:rsid w:val="00214E19"/>
    <w:rsid w:val="00216C74"/>
    <w:rsid w:val="0021784F"/>
    <w:rsid w:val="00217EB9"/>
    <w:rsid w:val="00221ABD"/>
    <w:rsid w:val="00221DA3"/>
    <w:rsid w:val="0023003D"/>
    <w:rsid w:val="0023039D"/>
    <w:rsid w:val="00231863"/>
    <w:rsid w:val="00231E61"/>
    <w:rsid w:val="0023235C"/>
    <w:rsid w:val="0023505B"/>
    <w:rsid w:val="002353CF"/>
    <w:rsid w:val="002406B8"/>
    <w:rsid w:val="0024208E"/>
    <w:rsid w:val="002432EA"/>
    <w:rsid w:val="00244D13"/>
    <w:rsid w:val="00247522"/>
    <w:rsid w:val="00250215"/>
    <w:rsid w:val="00251F9F"/>
    <w:rsid w:val="00253E9B"/>
    <w:rsid w:val="0025503A"/>
    <w:rsid w:val="002571E2"/>
    <w:rsid w:val="00261762"/>
    <w:rsid w:val="00261E06"/>
    <w:rsid w:val="002627E8"/>
    <w:rsid w:val="00262878"/>
    <w:rsid w:val="00264484"/>
    <w:rsid w:val="00264FD6"/>
    <w:rsid w:val="0026507F"/>
    <w:rsid w:val="002656C3"/>
    <w:rsid w:val="00265C8C"/>
    <w:rsid w:val="00267E26"/>
    <w:rsid w:val="00271BA9"/>
    <w:rsid w:val="0027469C"/>
    <w:rsid w:val="002769E9"/>
    <w:rsid w:val="00276C57"/>
    <w:rsid w:val="00277D17"/>
    <w:rsid w:val="00280D27"/>
    <w:rsid w:val="002849BA"/>
    <w:rsid w:val="00287C7F"/>
    <w:rsid w:val="00297A79"/>
    <w:rsid w:val="002A1897"/>
    <w:rsid w:val="002A2199"/>
    <w:rsid w:val="002A703A"/>
    <w:rsid w:val="002B0B32"/>
    <w:rsid w:val="002B3B84"/>
    <w:rsid w:val="002B42F1"/>
    <w:rsid w:val="002C35DF"/>
    <w:rsid w:val="002C7A12"/>
    <w:rsid w:val="002D2A91"/>
    <w:rsid w:val="002E1286"/>
    <w:rsid w:val="002E1D14"/>
    <w:rsid w:val="002E47A2"/>
    <w:rsid w:val="002E4D70"/>
    <w:rsid w:val="002E5C30"/>
    <w:rsid w:val="002F0BDF"/>
    <w:rsid w:val="002F27CF"/>
    <w:rsid w:val="002F2E92"/>
    <w:rsid w:val="002F511C"/>
    <w:rsid w:val="002F7DE8"/>
    <w:rsid w:val="00300C4E"/>
    <w:rsid w:val="003012BA"/>
    <w:rsid w:val="003023F7"/>
    <w:rsid w:val="00302615"/>
    <w:rsid w:val="00302761"/>
    <w:rsid w:val="00303315"/>
    <w:rsid w:val="003062C6"/>
    <w:rsid w:val="0031088D"/>
    <w:rsid w:val="00311010"/>
    <w:rsid w:val="00311A5B"/>
    <w:rsid w:val="00311A9A"/>
    <w:rsid w:val="003124D0"/>
    <w:rsid w:val="0031323C"/>
    <w:rsid w:val="00316C90"/>
    <w:rsid w:val="00320033"/>
    <w:rsid w:val="0032182E"/>
    <w:rsid w:val="003244BB"/>
    <w:rsid w:val="0033157F"/>
    <w:rsid w:val="0033261D"/>
    <w:rsid w:val="00333425"/>
    <w:rsid w:val="00333A02"/>
    <w:rsid w:val="00336A27"/>
    <w:rsid w:val="003437DE"/>
    <w:rsid w:val="00344B2A"/>
    <w:rsid w:val="00347960"/>
    <w:rsid w:val="00350CAA"/>
    <w:rsid w:val="00351784"/>
    <w:rsid w:val="003519CF"/>
    <w:rsid w:val="003538CA"/>
    <w:rsid w:val="00354C58"/>
    <w:rsid w:val="00354D02"/>
    <w:rsid w:val="00362FBC"/>
    <w:rsid w:val="00363B75"/>
    <w:rsid w:val="00363C68"/>
    <w:rsid w:val="003669F1"/>
    <w:rsid w:val="003726A5"/>
    <w:rsid w:val="00372C4E"/>
    <w:rsid w:val="00374A62"/>
    <w:rsid w:val="00376231"/>
    <w:rsid w:val="00382867"/>
    <w:rsid w:val="00383EAA"/>
    <w:rsid w:val="00385D3D"/>
    <w:rsid w:val="003901CE"/>
    <w:rsid w:val="0039237A"/>
    <w:rsid w:val="00395E92"/>
    <w:rsid w:val="003A2E83"/>
    <w:rsid w:val="003A3821"/>
    <w:rsid w:val="003A3AE9"/>
    <w:rsid w:val="003A485C"/>
    <w:rsid w:val="003A4BCD"/>
    <w:rsid w:val="003A5048"/>
    <w:rsid w:val="003A5EBF"/>
    <w:rsid w:val="003B2334"/>
    <w:rsid w:val="003B3C23"/>
    <w:rsid w:val="003B5EB5"/>
    <w:rsid w:val="003B7888"/>
    <w:rsid w:val="003C3A2A"/>
    <w:rsid w:val="003C3EFD"/>
    <w:rsid w:val="003C72AA"/>
    <w:rsid w:val="003D1752"/>
    <w:rsid w:val="003D18D5"/>
    <w:rsid w:val="003D2749"/>
    <w:rsid w:val="003D2846"/>
    <w:rsid w:val="003D52C7"/>
    <w:rsid w:val="003E0F45"/>
    <w:rsid w:val="003E18E4"/>
    <w:rsid w:val="003E1D4A"/>
    <w:rsid w:val="003E2E70"/>
    <w:rsid w:val="003E59DB"/>
    <w:rsid w:val="003F1048"/>
    <w:rsid w:val="003F450C"/>
    <w:rsid w:val="003F5D97"/>
    <w:rsid w:val="00400151"/>
    <w:rsid w:val="00401855"/>
    <w:rsid w:val="00402175"/>
    <w:rsid w:val="00405E9F"/>
    <w:rsid w:val="004060DE"/>
    <w:rsid w:val="004119C3"/>
    <w:rsid w:val="00415C32"/>
    <w:rsid w:val="00416ECF"/>
    <w:rsid w:val="004204AE"/>
    <w:rsid w:val="004204EC"/>
    <w:rsid w:val="0042292A"/>
    <w:rsid w:val="004253A5"/>
    <w:rsid w:val="004261A8"/>
    <w:rsid w:val="00426392"/>
    <w:rsid w:val="004263AE"/>
    <w:rsid w:val="00434214"/>
    <w:rsid w:val="004367D1"/>
    <w:rsid w:val="00440122"/>
    <w:rsid w:val="00442C19"/>
    <w:rsid w:val="00444827"/>
    <w:rsid w:val="0044677A"/>
    <w:rsid w:val="00447C08"/>
    <w:rsid w:val="00447D20"/>
    <w:rsid w:val="0045485D"/>
    <w:rsid w:val="0045571B"/>
    <w:rsid w:val="00456ECE"/>
    <w:rsid w:val="00460645"/>
    <w:rsid w:val="00460A33"/>
    <w:rsid w:val="00461131"/>
    <w:rsid w:val="00461CDA"/>
    <w:rsid w:val="00463CD8"/>
    <w:rsid w:val="004648EB"/>
    <w:rsid w:val="004676B1"/>
    <w:rsid w:val="00475D42"/>
    <w:rsid w:val="0048317F"/>
    <w:rsid w:val="004833EE"/>
    <w:rsid w:val="004869AB"/>
    <w:rsid w:val="00490123"/>
    <w:rsid w:val="00490A5C"/>
    <w:rsid w:val="0049253B"/>
    <w:rsid w:val="00492F16"/>
    <w:rsid w:val="00493254"/>
    <w:rsid w:val="00493946"/>
    <w:rsid w:val="00496D56"/>
    <w:rsid w:val="004A0982"/>
    <w:rsid w:val="004A23C7"/>
    <w:rsid w:val="004A2E5B"/>
    <w:rsid w:val="004A6E17"/>
    <w:rsid w:val="004B06E1"/>
    <w:rsid w:val="004B2712"/>
    <w:rsid w:val="004B2928"/>
    <w:rsid w:val="004B3EB4"/>
    <w:rsid w:val="004B6FAF"/>
    <w:rsid w:val="004B7BE3"/>
    <w:rsid w:val="004B7DA4"/>
    <w:rsid w:val="004C0188"/>
    <w:rsid w:val="004C039F"/>
    <w:rsid w:val="004C07AB"/>
    <w:rsid w:val="004C0935"/>
    <w:rsid w:val="004C17B0"/>
    <w:rsid w:val="004C3F8C"/>
    <w:rsid w:val="004C4A39"/>
    <w:rsid w:val="004D0CAF"/>
    <w:rsid w:val="004D1201"/>
    <w:rsid w:val="004D1510"/>
    <w:rsid w:val="004D502C"/>
    <w:rsid w:val="004D56B4"/>
    <w:rsid w:val="004D6E92"/>
    <w:rsid w:val="004E0008"/>
    <w:rsid w:val="004E0411"/>
    <w:rsid w:val="004E1196"/>
    <w:rsid w:val="004E1250"/>
    <w:rsid w:val="004E13E3"/>
    <w:rsid w:val="004E1B60"/>
    <w:rsid w:val="004E7412"/>
    <w:rsid w:val="004E7AA7"/>
    <w:rsid w:val="004F07EF"/>
    <w:rsid w:val="004F25B9"/>
    <w:rsid w:val="004F5BB0"/>
    <w:rsid w:val="004F7C09"/>
    <w:rsid w:val="00502AAC"/>
    <w:rsid w:val="00503A2D"/>
    <w:rsid w:val="00504315"/>
    <w:rsid w:val="00505126"/>
    <w:rsid w:val="005072CE"/>
    <w:rsid w:val="005103A2"/>
    <w:rsid w:val="005106E4"/>
    <w:rsid w:val="00511489"/>
    <w:rsid w:val="00512B71"/>
    <w:rsid w:val="00514705"/>
    <w:rsid w:val="005170E4"/>
    <w:rsid w:val="005201BA"/>
    <w:rsid w:val="005214E5"/>
    <w:rsid w:val="00525AB1"/>
    <w:rsid w:val="00525B8D"/>
    <w:rsid w:val="00533F2E"/>
    <w:rsid w:val="00535527"/>
    <w:rsid w:val="00535BB3"/>
    <w:rsid w:val="00535F5F"/>
    <w:rsid w:val="0053654A"/>
    <w:rsid w:val="00536859"/>
    <w:rsid w:val="0054401B"/>
    <w:rsid w:val="00547193"/>
    <w:rsid w:val="0054799B"/>
    <w:rsid w:val="005479AF"/>
    <w:rsid w:val="00551EC1"/>
    <w:rsid w:val="0055403B"/>
    <w:rsid w:val="005555A1"/>
    <w:rsid w:val="00555BEF"/>
    <w:rsid w:val="005566C4"/>
    <w:rsid w:val="005625D3"/>
    <w:rsid w:val="00563EDC"/>
    <w:rsid w:val="00566A63"/>
    <w:rsid w:val="00566BFC"/>
    <w:rsid w:val="00574E61"/>
    <w:rsid w:val="0058294D"/>
    <w:rsid w:val="00586B2B"/>
    <w:rsid w:val="00594CDF"/>
    <w:rsid w:val="005971C0"/>
    <w:rsid w:val="00597BBD"/>
    <w:rsid w:val="005A2278"/>
    <w:rsid w:val="005A32C2"/>
    <w:rsid w:val="005A4FE4"/>
    <w:rsid w:val="005A511E"/>
    <w:rsid w:val="005B046B"/>
    <w:rsid w:val="005B16CD"/>
    <w:rsid w:val="005B2DE1"/>
    <w:rsid w:val="005B4856"/>
    <w:rsid w:val="005B7BBA"/>
    <w:rsid w:val="005C13C5"/>
    <w:rsid w:val="005C2F16"/>
    <w:rsid w:val="005C3DA8"/>
    <w:rsid w:val="005C426F"/>
    <w:rsid w:val="005D2D7E"/>
    <w:rsid w:val="005D44DF"/>
    <w:rsid w:val="005D6B55"/>
    <w:rsid w:val="005E3439"/>
    <w:rsid w:val="005F2048"/>
    <w:rsid w:val="005F252D"/>
    <w:rsid w:val="005F385B"/>
    <w:rsid w:val="005F3A22"/>
    <w:rsid w:val="005F4456"/>
    <w:rsid w:val="005F44C0"/>
    <w:rsid w:val="005F6050"/>
    <w:rsid w:val="005F68D8"/>
    <w:rsid w:val="005F6E60"/>
    <w:rsid w:val="00600941"/>
    <w:rsid w:val="00600A6E"/>
    <w:rsid w:val="00602C35"/>
    <w:rsid w:val="00603B79"/>
    <w:rsid w:val="006043F6"/>
    <w:rsid w:val="00604FF3"/>
    <w:rsid w:val="00614A62"/>
    <w:rsid w:val="00622958"/>
    <w:rsid w:val="00623DDD"/>
    <w:rsid w:val="00626F73"/>
    <w:rsid w:val="006307F3"/>
    <w:rsid w:val="00633FEB"/>
    <w:rsid w:val="006360D7"/>
    <w:rsid w:val="006374D4"/>
    <w:rsid w:val="00640246"/>
    <w:rsid w:val="00643740"/>
    <w:rsid w:val="0064711B"/>
    <w:rsid w:val="006503EE"/>
    <w:rsid w:val="0065225F"/>
    <w:rsid w:val="006542D8"/>
    <w:rsid w:val="006574B2"/>
    <w:rsid w:val="00662517"/>
    <w:rsid w:val="006635E9"/>
    <w:rsid w:val="00663A2B"/>
    <w:rsid w:val="00673E07"/>
    <w:rsid w:val="00675B5D"/>
    <w:rsid w:val="00675C01"/>
    <w:rsid w:val="006760D5"/>
    <w:rsid w:val="006761EE"/>
    <w:rsid w:val="00677998"/>
    <w:rsid w:val="00677AA9"/>
    <w:rsid w:val="006872A1"/>
    <w:rsid w:val="00690ED7"/>
    <w:rsid w:val="00693674"/>
    <w:rsid w:val="00694BC1"/>
    <w:rsid w:val="00695B16"/>
    <w:rsid w:val="00696E24"/>
    <w:rsid w:val="006A0CEE"/>
    <w:rsid w:val="006A4E84"/>
    <w:rsid w:val="006A650E"/>
    <w:rsid w:val="006A75DB"/>
    <w:rsid w:val="006B0CD0"/>
    <w:rsid w:val="006C00EF"/>
    <w:rsid w:val="006C07E9"/>
    <w:rsid w:val="006C492B"/>
    <w:rsid w:val="006C5D2E"/>
    <w:rsid w:val="006C6A20"/>
    <w:rsid w:val="006D30FB"/>
    <w:rsid w:val="006D35A3"/>
    <w:rsid w:val="006D4202"/>
    <w:rsid w:val="006D4551"/>
    <w:rsid w:val="006D5B3A"/>
    <w:rsid w:val="006D7FC1"/>
    <w:rsid w:val="006E4871"/>
    <w:rsid w:val="006F57B8"/>
    <w:rsid w:val="006F74D2"/>
    <w:rsid w:val="006F7885"/>
    <w:rsid w:val="006F7DDE"/>
    <w:rsid w:val="00702D28"/>
    <w:rsid w:val="00703518"/>
    <w:rsid w:val="00703E64"/>
    <w:rsid w:val="007046BD"/>
    <w:rsid w:val="007053ED"/>
    <w:rsid w:val="00705E9F"/>
    <w:rsid w:val="0070608F"/>
    <w:rsid w:val="00710481"/>
    <w:rsid w:val="00710730"/>
    <w:rsid w:val="007123B2"/>
    <w:rsid w:val="0071487C"/>
    <w:rsid w:val="00715B5F"/>
    <w:rsid w:val="00716E5E"/>
    <w:rsid w:val="00723C70"/>
    <w:rsid w:val="007242DC"/>
    <w:rsid w:val="00727D16"/>
    <w:rsid w:val="007317FB"/>
    <w:rsid w:val="007318BE"/>
    <w:rsid w:val="007322AB"/>
    <w:rsid w:val="007352B4"/>
    <w:rsid w:val="00737451"/>
    <w:rsid w:val="00741A82"/>
    <w:rsid w:val="00743490"/>
    <w:rsid w:val="00744011"/>
    <w:rsid w:val="00751E12"/>
    <w:rsid w:val="007526FA"/>
    <w:rsid w:val="00754DD3"/>
    <w:rsid w:val="00755C19"/>
    <w:rsid w:val="00767502"/>
    <w:rsid w:val="007677EA"/>
    <w:rsid w:val="0077127E"/>
    <w:rsid w:val="00771AA5"/>
    <w:rsid w:val="007739FA"/>
    <w:rsid w:val="00773EFE"/>
    <w:rsid w:val="007830A3"/>
    <w:rsid w:val="00783E91"/>
    <w:rsid w:val="0078475A"/>
    <w:rsid w:val="00791E4A"/>
    <w:rsid w:val="0079228B"/>
    <w:rsid w:val="00792347"/>
    <w:rsid w:val="00796592"/>
    <w:rsid w:val="00797A4F"/>
    <w:rsid w:val="007A041F"/>
    <w:rsid w:val="007A29E0"/>
    <w:rsid w:val="007A528F"/>
    <w:rsid w:val="007A6844"/>
    <w:rsid w:val="007A6FE6"/>
    <w:rsid w:val="007B234A"/>
    <w:rsid w:val="007B2BD1"/>
    <w:rsid w:val="007B4959"/>
    <w:rsid w:val="007B7702"/>
    <w:rsid w:val="007C1B9A"/>
    <w:rsid w:val="007C1DA3"/>
    <w:rsid w:val="007C2352"/>
    <w:rsid w:val="007D4282"/>
    <w:rsid w:val="007D4B24"/>
    <w:rsid w:val="007E0310"/>
    <w:rsid w:val="007E10CC"/>
    <w:rsid w:val="007E440E"/>
    <w:rsid w:val="007E5FFA"/>
    <w:rsid w:val="007E741D"/>
    <w:rsid w:val="007F027C"/>
    <w:rsid w:val="007F0300"/>
    <w:rsid w:val="007F3BB5"/>
    <w:rsid w:val="007F50B3"/>
    <w:rsid w:val="007F5858"/>
    <w:rsid w:val="007F6917"/>
    <w:rsid w:val="00800A23"/>
    <w:rsid w:val="00800A63"/>
    <w:rsid w:val="008040F1"/>
    <w:rsid w:val="008050D2"/>
    <w:rsid w:val="00807392"/>
    <w:rsid w:val="0081172A"/>
    <w:rsid w:val="0081523F"/>
    <w:rsid w:val="00816E35"/>
    <w:rsid w:val="00817B08"/>
    <w:rsid w:val="00821C32"/>
    <w:rsid w:val="008248C2"/>
    <w:rsid w:val="00825589"/>
    <w:rsid w:val="0083592C"/>
    <w:rsid w:val="00835BF9"/>
    <w:rsid w:val="008369E6"/>
    <w:rsid w:val="008412A6"/>
    <w:rsid w:val="008415BC"/>
    <w:rsid w:val="00841979"/>
    <w:rsid w:val="0084401C"/>
    <w:rsid w:val="00845C34"/>
    <w:rsid w:val="0084733E"/>
    <w:rsid w:val="0084787C"/>
    <w:rsid w:val="00847887"/>
    <w:rsid w:val="0085248D"/>
    <w:rsid w:val="00852968"/>
    <w:rsid w:val="008533A7"/>
    <w:rsid w:val="00853C19"/>
    <w:rsid w:val="008579CD"/>
    <w:rsid w:val="00857BCF"/>
    <w:rsid w:val="00860275"/>
    <w:rsid w:val="00862B3F"/>
    <w:rsid w:val="00862DE7"/>
    <w:rsid w:val="00862F13"/>
    <w:rsid w:val="00864D50"/>
    <w:rsid w:val="00871B37"/>
    <w:rsid w:val="0087728F"/>
    <w:rsid w:val="00880A00"/>
    <w:rsid w:val="00880CFE"/>
    <w:rsid w:val="00882DF6"/>
    <w:rsid w:val="00883BE3"/>
    <w:rsid w:val="0088592E"/>
    <w:rsid w:val="00895D35"/>
    <w:rsid w:val="008A136C"/>
    <w:rsid w:val="008A19DB"/>
    <w:rsid w:val="008A78DB"/>
    <w:rsid w:val="008B0D91"/>
    <w:rsid w:val="008B14D8"/>
    <w:rsid w:val="008B1DA2"/>
    <w:rsid w:val="008B37FB"/>
    <w:rsid w:val="008B72CB"/>
    <w:rsid w:val="008C014D"/>
    <w:rsid w:val="008C032C"/>
    <w:rsid w:val="008C1243"/>
    <w:rsid w:val="008C22E5"/>
    <w:rsid w:val="008C3031"/>
    <w:rsid w:val="008C4CD6"/>
    <w:rsid w:val="008C7201"/>
    <w:rsid w:val="008D0707"/>
    <w:rsid w:val="008D303D"/>
    <w:rsid w:val="008D6BD0"/>
    <w:rsid w:val="008D7A4E"/>
    <w:rsid w:val="008E0079"/>
    <w:rsid w:val="008E5255"/>
    <w:rsid w:val="008E7B75"/>
    <w:rsid w:val="008F07AA"/>
    <w:rsid w:val="008F117E"/>
    <w:rsid w:val="008F2955"/>
    <w:rsid w:val="008F47F9"/>
    <w:rsid w:val="008F56C0"/>
    <w:rsid w:val="008F5AC9"/>
    <w:rsid w:val="008F6E42"/>
    <w:rsid w:val="008F6FC5"/>
    <w:rsid w:val="00904A81"/>
    <w:rsid w:val="0090536E"/>
    <w:rsid w:val="0091501D"/>
    <w:rsid w:val="009176BA"/>
    <w:rsid w:val="009237BE"/>
    <w:rsid w:val="00930627"/>
    <w:rsid w:val="009315E0"/>
    <w:rsid w:val="00935124"/>
    <w:rsid w:val="0094121C"/>
    <w:rsid w:val="00944370"/>
    <w:rsid w:val="009459CF"/>
    <w:rsid w:val="009461DE"/>
    <w:rsid w:val="0094785D"/>
    <w:rsid w:val="0095226B"/>
    <w:rsid w:val="00952FE1"/>
    <w:rsid w:val="009541DE"/>
    <w:rsid w:val="00964FE9"/>
    <w:rsid w:val="0096540A"/>
    <w:rsid w:val="0096798B"/>
    <w:rsid w:val="00967C28"/>
    <w:rsid w:val="009701A7"/>
    <w:rsid w:val="00970B10"/>
    <w:rsid w:val="00971F2D"/>
    <w:rsid w:val="00971F40"/>
    <w:rsid w:val="00973FC5"/>
    <w:rsid w:val="00974FD4"/>
    <w:rsid w:val="00980B4D"/>
    <w:rsid w:val="009813E5"/>
    <w:rsid w:val="0098366F"/>
    <w:rsid w:val="00987B98"/>
    <w:rsid w:val="009904D5"/>
    <w:rsid w:val="00991EEE"/>
    <w:rsid w:val="0099331D"/>
    <w:rsid w:val="009944B4"/>
    <w:rsid w:val="00995B01"/>
    <w:rsid w:val="00995B57"/>
    <w:rsid w:val="00996618"/>
    <w:rsid w:val="00996D80"/>
    <w:rsid w:val="009A362D"/>
    <w:rsid w:val="009B2784"/>
    <w:rsid w:val="009C095D"/>
    <w:rsid w:val="009C269E"/>
    <w:rsid w:val="009C5CE5"/>
    <w:rsid w:val="009C695E"/>
    <w:rsid w:val="009D0CCE"/>
    <w:rsid w:val="009D3592"/>
    <w:rsid w:val="009D6B08"/>
    <w:rsid w:val="009D7F25"/>
    <w:rsid w:val="009E1617"/>
    <w:rsid w:val="009E24C5"/>
    <w:rsid w:val="009E4E8B"/>
    <w:rsid w:val="009E5EAC"/>
    <w:rsid w:val="009E62C4"/>
    <w:rsid w:val="009E6598"/>
    <w:rsid w:val="009F20D4"/>
    <w:rsid w:val="009F2BE2"/>
    <w:rsid w:val="009F2D34"/>
    <w:rsid w:val="009F5C27"/>
    <w:rsid w:val="009F6A3D"/>
    <w:rsid w:val="00A0070F"/>
    <w:rsid w:val="00A03548"/>
    <w:rsid w:val="00A05916"/>
    <w:rsid w:val="00A1031A"/>
    <w:rsid w:val="00A12662"/>
    <w:rsid w:val="00A16BF2"/>
    <w:rsid w:val="00A1710D"/>
    <w:rsid w:val="00A17233"/>
    <w:rsid w:val="00A2154F"/>
    <w:rsid w:val="00A22FE7"/>
    <w:rsid w:val="00A234C0"/>
    <w:rsid w:val="00A24B0D"/>
    <w:rsid w:val="00A27B3B"/>
    <w:rsid w:val="00A327ED"/>
    <w:rsid w:val="00A33C36"/>
    <w:rsid w:val="00A4041B"/>
    <w:rsid w:val="00A467BC"/>
    <w:rsid w:val="00A46F86"/>
    <w:rsid w:val="00A51C6F"/>
    <w:rsid w:val="00A54597"/>
    <w:rsid w:val="00A55767"/>
    <w:rsid w:val="00A577C6"/>
    <w:rsid w:val="00A60950"/>
    <w:rsid w:val="00A62228"/>
    <w:rsid w:val="00A62274"/>
    <w:rsid w:val="00A63A99"/>
    <w:rsid w:val="00A67BE9"/>
    <w:rsid w:val="00A67D51"/>
    <w:rsid w:val="00A7631D"/>
    <w:rsid w:val="00A77615"/>
    <w:rsid w:val="00A77EE5"/>
    <w:rsid w:val="00A80841"/>
    <w:rsid w:val="00A80D0B"/>
    <w:rsid w:val="00A82120"/>
    <w:rsid w:val="00A825CB"/>
    <w:rsid w:val="00A85009"/>
    <w:rsid w:val="00A8792C"/>
    <w:rsid w:val="00A879F2"/>
    <w:rsid w:val="00A90CB3"/>
    <w:rsid w:val="00A9135C"/>
    <w:rsid w:val="00A97EC2"/>
    <w:rsid w:val="00AA2198"/>
    <w:rsid w:val="00AA3889"/>
    <w:rsid w:val="00AA658D"/>
    <w:rsid w:val="00AA794C"/>
    <w:rsid w:val="00AB5820"/>
    <w:rsid w:val="00AC0871"/>
    <w:rsid w:val="00AC08BD"/>
    <w:rsid w:val="00AC2253"/>
    <w:rsid w:val="00AD0E31"/>
    <w:rsid w:val="00AD3641"/>
    <w:rsid w:val="00AD3CFB"/>
    <w:rsid w:val="00AD463B"/>
    <w:rsid w:val="00AE08E5"/>
    <w:rsid w:val="00AE1C0C"/>
    <w:rsid w:val="00AE6CC0"/>
    <w:rsid w:val="00AE7260"/>
    <w:rsid w:val="00AF52D9"/>
    <w:rsid w:val="00AF542D"/>
    <w:rsid w:val="00AF7E6E"/>
    <w:rsid w:val="00B00E01"/>
    <w:rsid w:val="00B0502B"/>
    <w:rsid w:val="00B059D0"/>
    <w:rsid w:val="00B1231C"/>
    <w:rsid w:val="00B21643"/>
    <w:rsid w:val="00B21E32"/>
    <w:rsid w:val="00B306C8"/>
    <w:rsid w:val="00B35797"/>
    <w:rsid w:val="00B36B2D"/>
    <w:rsid w:val="00B37F96"/>
    <w:rsid w:val="00B406BA"/>
    <w:rsid w:val="00B410EF"/>
    <w:rsid w:val="00B50C7F"/>
    <w:rsid w:val="00B50C87"/>
    <w:rsid w:val="00B6164E"/>
    <w:rsid w:val="00B631B6"/>
    <w:rsid w:val="00B64F01"/>
    <w:rsid w:val="00B65443"/>
    <w:rsid w:val="00B66080"/>
    <w:rsid w:val="00B6610C"/>
    <w:rsid w:val="00B6B1CF"/>
    <w:rsid w:val="00B70C11"/>
    <w:rsid w:val="00B70DD7"/>
    <w:rsid w:val="00B714F9"/>
    <w:rsid w:val="00B715AF"/>
    <w:rsid w:val="00B726E2"/>
    <w:rsid w:val="00B746AD"/>
    <w:rsid w:val="00B75163"/>
    <w:rsid w:val="00B82381"/>
    <w:rsid w:val="00B8368B"/>
    <w:rsid w:val="00B83AEC"/>
    <w:rsid w:val="00B9721F"/>
    <w:rsid w:val="00BA03CC"/>
    <w:rsid w:val="00BA070D"/>
    <w:rsid w:val="00BA0A93"/>
    <w:rsid w:val="00BA3CD0"/>
    <w:rsid w:val="00BA618B"/>
    <w:rsid w:val="00BB50C1"/>
    <w:rsid w:val="00BB6319"/>
    <w:rsid w:val="00BB79E1"/>
    <w:rsid w:val="00BB7DF4"/>
    <w:rsid w:val="00BC118B"/>
    <w:rsid w:val="00BC1406"/>
    <w:rsid w:val="00BC171D"/>
    <w:rsid w:val="00BC3899"/>
    <w:rsid w:val="00BC397D"/>
    <w:rsid w:val="00BC511B"/>
    <w:rsid w:val="00BC704B"/>
    <w:rsid w:val="00BD1625"/>
    <w:rsid w:val="00BD3749"/>
    <w:rsid w:val="00BD3D9E"/>
    <w:rsid w:val="00BD42E8"/>
    <w:rsid w:val="00BD4C43"/>
    <w:rsid w:val="00BE0D14"/>
    <w:rsid w:val="00BE2884"/>
    <w:rsid w:val="00BF1CC7"/>
    <w:rsid w:val="00BF4321"/>
    <w:rsid w:val="00BF7357"/>
    <w:rsid w:val="00BF742E"/>
    <w:rsid w:val="00C043BC"/>
    <w:rsid w:val="00C15441"/>
    <w:rsid w:val="00C16028"/>
    <w:rsid w:val="00C16D81"/>
    <w:rsid w:val="00C173CC"/>
    <w:rsid w:val="00C221C0"/>
    <w:rsid w:val="00C27766"/>
    <w:rsid w:val="00C314A6"/>
    <w:rsid w:val="00C33A85"/>
    <w:rsid w:val="00C41EAE"/>
    <w:rsid w:val="00C422E9"/>
    <w:rsid w:val="00C42E19"/>
    <w:rsid w:val="00C44230"/>
    <w:rsid w:val="00C44B02"/>
    <w:rsid w:val="00C568ED"/>
    <w:rsid w:val="00C62C0E"/>
    <w:rsid w:val="00C63024"/>
    <w:rsid w:val="00C7222D"/>
    <w:rsid w:val="00C72D11"/>
    <w:rsid w:val="00C76F0D"/>
    <w:rsid w:val="00C77D9C"/>
    <w:rsid w:val="00C81343"/>
    <w:rsid w:val="00C81609"/>
    <w:rsid w:val="00C829F3"/>
    <w:rsid w:val="00C83B68"/>
    <w:rsid w:val="00C86F30"/>
    <w:rsid w:val="00C86F77"/>
    <w:rsid w:val="00C9451F"/>
    <w:rsid w:val="00C95A9F"/>
    <w:rsid w:val="00C96912"/>
    <w:rsid w:val="00CA40BD"/>
    <w:rsid w:val="00CA4BCD"/>
    <w:rsid w:val="00CA4CDF"/>
    <w:rsid w:val="00CA5A0F"/>
    <w:rsid w:val="00CA65D0"/>
    <w:rsid w:val="00CA6DB9"/>
    <w:rsid w:val="00CA72E6"/>
    <w:rsid w:val="00CB0776"/>
    <w:rsid w:val="00CB1CA3"/>
    <w:rsid w:val="00CB4B70"/>
    <w:rsid w:val="00CB4ED7"/>
    <w:rsid w:val="00CC2F5A"/>
    <w:rsid w:val="00CD1E12"/>
    <w:rsid w:val="00CD213C"/>
    <w:rsid w:val="00CD643A"/>
    <w:rsid w:val="00CE22A4"/>
    <w:rsid w:val="00CE3F4A"/>
    <w:rsid w:val="00CE42B4"/>
    <w:rsid w:val="00CE5CBA"/>
    <w:rsid w:val="00CE5EC3"/>
    <w:rsid w:val="00CF0DCC"/>
    <w:rsid w:val="00CF1C26"/>
    <w:rsid w:val="00CF5B7D"/>
    <w:rsid w:val="00CF5EC9"/>
    <w:rsid w:val="00CF7D31"/>
    <w:rsid w:val="00D03E4F"/>
    <w:rsid w:val="00D03FA8"/>
    <w:rsid w:val="00D1348B"/>
    <w:rsid w:val="00D150D3"/>
    <w:rsid w:val="00D1699B"/>
    <w:rsid w:val="00D229D0"/>
    <w:rsid w:val="00D262C2"/>
    <w:rsid w:val="00D265FB"/>
    <w:rsid w:val="00D31686"/>
    <w:rsid w:val="00D3190A"/>
    <w:rsid w:val="00D345BF"/>
    <w:rsid w:val="00D35BD5"/>
    <w:rsid w:val="00D401F8"/>
    <w:rsid w:val="00D42E6D"/>
    <w:rsid w:val="00D43256"/>
    <w:rsid w:val="00D440B2"/>
    <w:rsid w:val="00D517D5"/>
    <w:rsid w:val="00D51B9F"/>
    <w:rsid w:val="00D56F8E"/>
    <w:rsid w:val="00D57527"/>
    <w:rsid w:val="00D6433F"/>
    <w:rsid w:val="00D67526"/>
    <w:rsid w:val="00D70FD2"/>
    <w:rsid w:val="00D71118"/>
    <w:rsid w:val="00D714FE"/>
    <w:rsid w:val="00D71CF8"/>
    <w:rsid w:val="00D74364"/>
    <w:rsid w:val="00D752BD"/>
    <w:rsid w:val="00D75CF0"/>
    <w:rsid w:val="00D75D52"/>
    <w:rsid w:val="00D77ADF"/>
    <w:rsid w:val="00D80A5D"/>
    <w:rsid w:val="00D80CEC"/>
    <w:rsid w:val="00D83F6B"/>
    <w:rsid w:val="00D84AA5"/>
    <w:rsid w:val="00D85728"/>
    <w:rsid w:val="00D950CC"/>
    <w:rsid w:val="00D96789"/>
    <w:rsid w:val="00DA0038"/>
    <w:rsid w:val="00DA0696"/>
    <w:rsid w:val="00DA148D"/>
    <w:rsid w:val="00DA471E"/>
    <w:rsid w:val="00DA54A1"/>
    <w:rsid w:val="00DA63A0"/>
    <w:rsid w:val="00DA6877"/>
    <w:rsid w:val="00DB2612"/>
    <w:rsid w:val="00DB570D"/>
    <w:rsid w:val="00DC1EF6"/>
    <w:rsid w:val="00DC4359"/>
    <w:rsid w:val="00DC7CE6"/>
    <w:rsid w:val="00DD02B9"/>
    <w:rsid w:val="00DD2820"/>
    <w:rsid w:val="00DD4143"/>
    <w:rsid w:val="00DE2713"/>
    <w:rsid w:val="00DE5ABF"/>
    <w:rsid w:val="00DE7C8F"/>
    <w:rsid w:val="00DF35E1"/>
    <w:rsid w:val="00DF56A8"/>
    <w:rsid w:val="00DF6893"/>
    <w:rsid w:val="00DF720D"/>
    <w:rsid w:val="00DF7B60"/>
    <w:rsid w:val="00DF7C55"/>
    <w:rsid w:val="00E029AF"/>
    <w:rsid w:val="00E02C22"/>
    <w:rsid w:val="00E04E31"/>
    <w:rsid w:val="00E055E3"/>
    <w:rsid w:val="00E05C7F"/>
    <w:rsid w:val="00E06F36"/>
    <w:rsid w:val="00E10669"/>
    <w:rsid w:val="00E162D9"/>
    <w:rsid w:val="00E16E9B"/>
    <w:rsid w:val="00E21B20"/>
    <w:rsid w:val="00E22BAA"/>
    <w:rsid w:val="00E23F58"/>
    <w:rsid w:val="00E259BD"/>
    <w:rsid w:val="00E259E3"/>
    <w:rsid w:val="00E31F8F"/>
    <w:rsid w:val="00E331B1"/>
    <w:rsid w:val="00E33AAD"/>
    <w:rsid w:val="00E346AF"/>
    <w:rsid w:val="00E41DAA"/>
    <w:rsid w:val="00E42D77"/>
    <w:rsid w:val="00E44015"/>
    <w:rsid w:val="00E47602"/>
    <w:rsid w:val="00E5111D"/>
    <w:rsid w:val="00E530CC"/>
    <w:rsid w:val="00E559BC"/>
    <w:rsid w:val="00E57726"/>
    <w:rsid w:val="00E617F0"/>
    <w:rsid w:val="00E65279"/>
    <w:rsid w:val="00E755CD"/>
    <w:rsid w:val="00E770EB"/>
    <w:rsid w:val="00E80B2E"/>
    <w:rsid w:val="00E818E2"/>
    <w:rsid w:val="00E86EF9"/>
    <w:rsid w:val="00EA3568"/>
    <w:rsid w:val="00EA75BE"/>
    <w:rsid w:val="00EA7D81"/>
    <w:rsid w:val="00EB32D0"/>
    <w:rsid w:val="00EB4401"/>
    <w:rsid w:val="00EB59E8"/>
    <w:rsid w:val="00EB6407"/>
    <w:rsid w:val="00EB65B6"/>
    <w:rsid w:val="00EC0876"/>
    <w:rsid w:val="00EC5712"/>
    <w:rsid w:val="00EC5E06"/>
    <w:rsid w:val="00EC67EC"/>
    <w:rsid w:val="00ED08E9"/>
    <w:rsid w:val="00ED3CCF"/>
    <w:rsid w:val="00EE07D7"/>
    <w:rsid w:val="00EE1DF1"/>
    <w:rsid w:val="00EE4A70"/>
    <w:rsid w:val="00EE7C7C"/>
    <w:rsid w:val="00EF02E8"/>
    <w:rsid w:val="00EF37B7"/>
    <w:rsid w:val="00EF3F62"/>
    <w:rsid w:val="00EF4167"/>
    <w:rsid w:val="00F00CB7"/>
    <w:rsid w:val="00F029C4"/>
    <w:rsid w:val="00F03996"/>
    <w:rsid w:val="00F048D8"/>
    <w:rsid w:val="00F04B61"/>
    <w:rsid w:val="00F145A0"/>
    <w:rsid w:val="00F15299"/>
    <w:rsid w:val="00F16725"/>
    <w:rsid w:val="00F21174"/>
    <w:rsid w:val="00F23686"/>
    <w:rsid w:val="00F270B0"/>
    <w:rsid w:val="00F273B1"/>
    <w:rsid w:val="00F30694"/>
    <w:rsid w:val="00F3232C"/>
    <w:rsid w:val="00F32AB0"/>
    <w:rsid w:val="00F32B6E"/>
    <w:rsid w:val="00F35EDF"/>
    <w:rsid w:val="00F407E5"/>
    <w:rsid w:val="00F41FC4"/>
    <w:rsid w:val="00F443EC"/>
    <w:rsid w:val="00F4614C"/>
    <w:rsid w:val="00F50962"/>
    <w:rsid w:val="00F53F41"/>
    <w:rsid w:val="00F67468"/>
    <w:rsid w:val="00F704F6"/>
    <w:rsid w:val="00F70CCB"/>
    <w:rsid w:val="00F71C3A"/>
    <w:rsid w:val="00F77B70"/>
    <w:rsid w:val="00F8071D"/>
    <w:rsid w:val="00F840AD"/>
    <w:rsid w:val="00F862C2"/>
    <w:rsid w:val="00F90814"/>
    <w:rsid w:val="00F9423E"/>
    <w:rsid w:val="00F94395"/>
    <w:rsid w:val="00F9671A"/>
    <w:rsid w:val="00FA00DD"/>
    <w:rsid w:val="00FA0EE9"/>
    <w:rsid w:val="00FA2952"/>
    <w:rsid w:val="00FA57AA"/>
    <w:rsid w:val="00FB0270"/>
    <w:rsid w:val="00FB2E05"/>
    <w:rsid w:val="00FB45F7"/>
    <w:rsid w:val="00FC09AC"/>
    <w:rsid w:val="00FD11A5"/>
    <w:rsid w:val="00FD229D"/>
    <w:rsid w:val="00FD299C"/>
    <w:rsid w:val="00FD7F3F"/>
    <w:rsid w:val="00FE18AC"/>
    <w:rsid w:val="00FE3642"/>
    <w:rsid w:val="00FE5F67"/>
    <w:rsid w:val="00FE6E49"/>
    <w:rsid w:val="00FF150D"/>
    <w:rsid w:val="00FF3C4D"/>
    <w:rsid w:val="00FF496A"/>
    <w:rsid w:val="00FF75EE"/>
    <w:rsid w:val="034DBAB3"/>
    <w:rsid w:val="03B3B51B"/>
    <w:rsid w:val="0431A395"/>
    <w:rsid w:val="046EFC75"/>
    <w:rsid w:val="13F28720"/>
    <w:rsid w:val="16DA39E0"/>
    <w:rsid w:val="1987554C"/>
    <w:rsid w:val="202A3642"/>
    <w:rsid w:val="23DD9B0E"/>
    <w:rsid w:val="2413B8C7"/>
    <w:rsid w:val="24E88D25"/>
    <w:rsid w:val="253ACD74"/>
    <w:rsid w:val="25C1D18D"/>
    <w:rsid w:val="269FD0BA"/>
    <w:rsid w:val="2783B99C"/>
    <w:rsid w:val="2991E315"/>
    <w:rsid w:val="2DA9F2F2"/>
    <w:rsid w:val="2E48FB10"/>
    <w:rsid w:val="301FA9CB"/>
    <w:rsid w:val="31680AED"/>
    <w:rsid w:val="3223D850"/>
    <w:rsid w:val="34E8B01F"/>
    <w:rsid w:val="39D553D8"/>
    <w:rsid w:val="40CC08B4"/>
    <w:rsid w:val="41112EDD"/>
    <w:rsid w:val="41A27565"/>
    <w:rsid w:val="4386B35A"/>
    <w:rsid w:val="47AAC5BD"/>
    <w:rsid w:val="4B132883"/>
    <w:rsid w:val="4CFBB520"/>
    <w:rsid w:val="4DC7E1FE"/>
    <w:rsid w:val="4FEDC77B"/>
    <w:rsid w:val="51C80E99"/>
    <w:rsid w:val="54C75FBC"/>
    <w:rsid w:val="5D396EFF"/>
    <w:rsid w:val="60F77C62"/>
    <w:rsid w:val="6305E344"/>
    <w:rsid w:val="6363B8F8"/>
    <w:rsid w:val="64DD9336"/>
    <w:rsid w:val="65F7F59F"/>
    <w:rsid w:val="697B7DBC"/>
    <w:rsid w:val="6AA7A0C5"/>
    <w:rsid w:val="6DC08B1B"/>
    <w:rsid w:val="74ED271E"/>
    <w:rsid w:val="76E94B77"/>
    <w:rsid w:val="7BAD96A7"/>
    <w:rsid w:val="7E20815C"/>
    <w:rsid w:val="7E809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32DB2B"/>
  <w15:chartTrackingRefBased/>
  <w15:docId w15:val="{C722604C-E4B5-4625-86B1-6C8E3B01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7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5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62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36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6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6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6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6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7E"/>
  </w:style>
  <w:style w:type="paragraph" w:styleId="Footer">
    <w:name w:val="footer"/>
    <w:basedOn w:val="Normal"/>
    <w:link w:val="FooterChar"/>
    <w:uiPriority w:val="99"/>
    <w:unhideWhenUsed/>
    <w:rsid w:val="008F1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7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3C3A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1">
    <w:name w:val="Grid Table 6 Colorful Accent 1"/>
    <w:basedOn w:val="TableNormal"/>
    <w:uiPriority w:val="51"/>
    <w:rsid w:val="003C3A2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1721.1/80683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ciprocity.com/pros-and-cons-of-the-fair-framework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6028/NIST.SP.800-53r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cio.com/article/2429865/enterprise-resource-planning-10-famous-erp-disasters-dustups-and-disappointments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Dav201</b:Tag>
    <b:SourceType>InternetSite</b:SourceType>
    <b:Guid>{9A1EBFC7-26BA-4693-A353-62D672CCDEE0}</b:Guid>
    <b:Title>Pros and Cons of the FAIR Framework</b:Title>
    <b:Year>2020</b:Year>
    <b:Author>
      <b:Author>
        <b:NameList>
          <b:Person>
            <b:Last>Schmoller</b:Last>
            <b:First>David</b:First>
          </b:Person>
        </b:NameList>
      </b:Author>
    </b:Author>
    <b:YearAccessed>2021</b:YearAccessed>
    <b:MonthAccessed>August</b:MonthAccessed>
    <b:DayAccessed>2018</b:DayAccessed>
    <b:URL>https://reciprocity.com/pros-and-cons-of-the-fair-framework/</b:URL>
    <b:RefOrder>2</b:RefOrder>
  </b:Source>
  <b:Source>
    <b:Tag>Car16</b:Tag>
    <b:SourceType>Book</b:SourceType>
    <b:Guid>{B6205EC4-9E84-4286-BAE0-D68B1E0F8A47}</b:Guid>
    <b:Title>The Open FAIR - NIST Cybersecurity Framework Cookbook</b:Title>
    <b:Year>2016</b:Year>
    <b:Author>
      <b:Author>
        <b:NameList>
          <b:Person>
            <b:Last>Carlson</b:Last>
            <b:First>Christopher</b:First>
          </b:Person>
        </b:NameList>
      </b:Author>
    </b:Author>
    <b:City>Reading, Berkshire</b:City>
    <b:Publisher>The Open Group</b:Publisher>
    <b:Edition>1st</b:Edition>
    <b:RefOrder>1</b:RefOrder>
  </b:Source>
  <b:Source xmlns:b="http://schemas.openxmlformats.org/officeDocument/2006/bibliography" xmlns="http://schemas.openxmlformats.org/officeDocument/2006/bibliography">
    <b:Tag>2_ERP_RISK_Papers</b:Tag>
    <b:RefOrder>8</b:RefOrder>
  </b:Source>
  <b:Source>
    <b:Tag>Fre14</b:Tag>
    <b:SourceType>Book</b:SourceType>
    <b:Guid>{21821619-54EA-4B1E-90F2-07DA660AABEB}</b:Guid>
    <b:Title>Measuring and Managing Information Risk</b:Title>
    <b:Year>2014</b:Year>
    <b:City>Waltham</b:City>
    <b:Publisher>Butterworth-Heinemann</b:Publisher>
    <b:Edition>1st</b:Edition>
    <b:Author>
      <b:Author>
        <b:NameList>
          <b:Person>
            <b:Last>Freund</b:Last>
            <b:First>Jack</b:First>
          </b:Person>
          <b:Person>
            <b:Last>Jones</b:Last>
            <b:First>Jack</b:First>
          </b:Person>
        </b:NameList>
      </b:Author>
    </b:Author>
    <b:RefOrder>6</b:RefOrder>
  </b:Source>
  <b:Source xmlns:b="http://schemas.openxmlformats.org/officeDocument/2006/bibliography" xmlns="http://schemas.openxmlformats.org/officeDocument/2006/bibliography">
    <b:Tag>NIST_800_53_citation</b:Tag>
    <b:RefOrder>7</b:RefOrder>
  </b:Source>
  <b:Source>
    <b:Tag>Isk10</b:Tag>
    <b:SourceType>JournalArticle</b:SourceType>
    <b:Guid>{B1D91C3F-DFAF-43BE-9875-59E630F5F7EE}</b:Guid>
    <b:Title>Risk management of ERP projects in manufacturing SMEs</b:Title>
    <b:Year>2010</b:Year>
    <b:Author>
      <b:Author>
        <b:NameList>
          <b:Person>
            <b:Last>Iskanuis</b:Last>
            <b:First>Paivi</b:First>
          </b:Person>
        </b:NameList>
      </b:Author>
    </b:Author>
    <b:JournalName>Information Resources Management Journal</b:JournalName>
    <b:Pages>61-67</b:Pages>
    <b:Volume>23</b:Volume>
    <b:Issue>3</b:Issue>
    <b:YearAccessed>2021</b:YearAccessed>
    <b:MonthAccessed>August</b:MonthAccessed>
    <b:DayAccessed>21</b:DayAccessed>
    <b:DOI>http://dx.doi.org/10.4018/irmj.2010070105</b:DOI>
    <b:RefOrder>3</b:RefOrder>
  </b:Source>
  <b:Source>
    <b:Tag>Seo13</b:Tag>
    <b:SourceType>Report</b:SourceType>
    <b:Guid>{60BEAFEB-19AB-43B4-853A-030917A34E3B}</b:Guid>
    <b:Title>Challenges in Implementing Enterprise Resource Planning (ERP) System in Large Organizations: Similarities and Differences Between Corporate and University Environment</b:Title>
    <b:Year>2013</b:Year>
    <b:Author>
      <b:Author>
        <b:NameList>
          <b:Person>
            <b:Last>Seo</b:Last>
            <b:First>Goeun</b:First>
          </b:Person>
        </b:NameList>
      </b:Author>
    </b:Author>
    <b:Department>MIT Sloan School of Management</b:Department>
    <b:Institution>Massachusetts Institute of Technology</b:Institution>
    <b:YearAccessed>2021</b:YearAccessed>
    <b:MonthAccessed>August</b:MonthAccessed>
    <b:DayAccessed>28</b:DayAccessed>
    <b:URL>https://cams.mit.edu/wp-content/uploads/2013-07.pdf</b:URL>
    <b:RefOrder>4</b:RefOrder>
  </b:Source>
  <b:Source>
    <b:Tag>Fru20</b:Tag>
    <b:SourceType>InternetSite</b:SourceType>
    <b:Guid>{F940A427-D20F-40ED-B913-15DC922AA2BA}</b:Guid>
    <b:Title>16 famous ERP disasters, dustups and disappointments</b:Title>
    <b:Year>2020</b:Year>
    <b:YearAccessed>2021</b:YearAccessed>
    <b:MonthAccessed>August</b:MonthAccessed>
    <b:DayAccessed>21</b:DayAccessed>
    <b:URL>https://www.cio.com/article/2429865/enterprise-resource-planning-10-famous-erp-disasters-dustups-and-disappointments.html</b:URL>
    <b:Author>
      <b:Author>
        <b:NameList>
          <b:Person>
            <b:Last>Fruhlinger</b:Last>
            <b:First>Josh</b:First>
          </b:Person>
          <b:Person>
            <b:Last>Wailgum</b:Last>
            <b:First>Thomas</b:First>
          </b:Person>
          <b:Person>
            <b:Last>Sayer</b:Last>
            <b:First>Peter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073294CE-7C6C-4EC9-9542-B7F67418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2042</Words>
  <Characters>11640</Characters>
  <Application>Microsoft Office Word</Application>
  <DocSecurity>4</DocSecurity>
  <Lines>97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Johnson</dc:creator>
  <cp:keywords/>
  <dc:description/>
  <cp:lastModifiedBy>Steve Johnson</cp:lastModifiedBy>
  <cp:revision>17</cp:revision>
  <dcterms:created xsi:type="dcterms:W3CDTF">2021-08-29T20:34:00Z</dcterms:created>
  <dcterms:modified xsi:type="dcterms:W3CDTF">2021-09-10T16:10:00Z</dcterms:modified>
</cp:coreProperties>
</file>