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Focusboard Secure Task Manager</w:t>
      </w:r>
    </w:p>
    <w:p>
      <w:pPr>
        <w:spacing w:after="280"/>
      </w:pPr>
      <w:r>
        <w:rPr>
          <w:b/>
          <w:color w:val="6158DC"/>
          <w:sz w:val="20"/>
        </w:rPr>
        <w:t>PROJECT REPORT  |  IBM SkillsBuild Cyber Security 2026</w:t>
      </w:r>
    </w:p>
    <w:p>
      <w:pPr>
        <w:spacing w:after="300"/>
      </w:pPr>
      <w:r>
        <w:rPr>
          <w:color w:val="788294"/>
        </w:rPr>
        <w:t>Prepared by Rohan  ·  27 October 2026</w:t>
      </w:r>
    </w:p>
    <w:p>
      <w:pPr>
        <w:pStyle w:val="Heading1"/>
      </w:pPr>
      <w:r>
        <w:t>Executive summary</w:t>
      </w:r>
    </w:p>
    <w:p>
      <w:r>
        <w:t>Focusboard is a responsive, single-workspace task manager built with Flask, SQLite, HTML, CSS, and vanilla JavaScript. Users can create, search, filter, edit, prioritize, complete, reopen, and delete tasks. The project couples an operational application with an automated security pipeline that checks source code, dependencies, secrets, and the built container on GitHub pushes and pull requests.</w:t>
      </w:r>
    </w:p>
    <w:p>
      <w:r>
        <w:t>The fixed application validates API inputs, binds SQL values as parameters, limits request sizes, sends browser security headers, and runs in a non-root container. The application is intended for local portfolio use and does not include user authentication.</w:t>
      </w:r>
    </w:p>
    <w:p>
      <w:pPr>
        <w:pStyle w:val="Heading1"/>
      </w:pPr>
      <w:r>
        <w:t>Project objectives</w:t>
      </w:r>
    </w:p>
    <w:p>
      <w:pPr>
        <w:pStyle w:val="ListBullet"/>
      </w:pPr>
      <w:r>
        <w:t>Deliver a usable task-management application with persistent storage and a responsive interface.</w:t>
      </w:r>
    </w:p>
    <w:p>
      <w:pPr>
        <w:pStyle w:val="ListBullet"/>
      </w:pPr>
      <w:r>
        <w:t>Apply secure coding practices to API validation, database access, browser output, and container execution.</w:t>
      </w:r>
    </w:p>
    <w:p>
      <w:pPr>
        <w:pStyle w:val="ListBullet"/>
      </w:pPr>
      <w:r>
        <w:t>Run repeatable security checks in CI and make high-severity findings or a failed quality gate visible as a failed workflow.</w:t>
      </w:r>
    </w:p>
    <w:p>
      <w:pPr>
        <w:pStyle w:val="ListBullet"/>
      </w:pPr>
      <w:r>
        <w:t>Document the setup, architecture, limitations, and evidence needed for portfolio review.</w:t>
      </w:r>
    </w:p>
    <w:p>
      <w:pPr>
        <w:pStyle w:val="Heading1"/>
      </w:pPr>
      <w:r>
        <w:t>Application features</w:t>
      </w:r>
    </w:p>
    <w:tbl>
      <w:tblPr>
        <w:tblStyle w:val="TableGrid"/>
        <w:tblW w:type="auto" w:w="0"/>
        <w:jc w:val="center"/>
        <w:tblLook w:firstColumn="1" w:firstRow="1" w:lastColumn="0" w:lastRow="0" w:noHBand="0" w:noVBand="1" w:val="04A0"/>
      </w:tblPr>
      <w:tblGrid>
        <w:gridCol w:w="4997"/>
        <w:gridCol w:w="4997"/>
      </w:tblGrid>
      <w:tr>
        <w:tc>
          <w:tcPr>
            <w:tcW w:type="dxa" w:w="1800"/>
            <w:vAlign w:val="center"/>
            <w:shd w:fill="263657"/>
          </w:tcPr>
          <w:p>
            <w:pPr>
              <w:spacing w:after="20"/>
            </w:pPr>
            <w:r/>
            <w:r>
              <w:rPr>
                <w:b/>
                <w:color w:val="FFFFFF"/>
                <w:sz w:val="18"/>
              </w:rPr>
              <w:t>Area</w:t>
            </w:r>
          </w:p>
        </w:tc>
        <w:tc>
          <w:tcPr>
            <w:tcW w:type="dxa" w:w="8352"/>
            <w:vAlign w:val="center"/>
            <w:shd w:fill="263657"/>
          </w:tcPr>
          <w:p>
            <w:pPr>
              <w:spacing w:after="20"/>
            </w:pPr>
            <w:r/>
            <w:r>
              <w:rPr>
                <w:b/>
                <w:color w:val="FFFFFF"/>
                <w:sz w:val="18"/>
              </w:rPr>
              <w:t>Implementation</w:t>
            </w:r>
          </w:p>
        </w:tc>
      </w:tr>
      <w:tr>
        <w:tc>
          <w:tcPr>
            <w:tcW w:type="dxa" w:w="1800"/>
            <w:vAlign w:val="center"/>
          </w:tcPr>
          <w:p>
            <w:pPr>
              <w:spacing w:after="20"/>
            </w:pPr>
            <w:r/>
            <w:r>
              <w:rPr>
                <w:b w:val="0"/>
                <w:color w:val="2F394B"/>
                <w:sz w:val="17"/>
              </w:rPr>
              <w:t>Task lifecycle</w:t>
            </w:r>
          </w:p>
        </w:tc>
        <w:tc>
          <w:tcPr>
            <w:tcW w:type="dxa" w:w="8352"/>
            <w:vAlign w:val="center"/>
          </w:tcPr>
          <w:p>
            <w:pPr>
              <w:spacing w:after="20"/>
            </w:pPr>
            <w:r/>
            <w:r>
              <w:rPr>
                <w:b w:val="0"/>
                <w:color w:val="2F394B"/>
                <w:sz w:val="17"/>
              </w:rPr>
              <w:t>Create, edit, complete, reopen, and delete tasks.</w:t>
            </w:r>
          </w:p>
        </w:tc>
      </w:tr>
      <w:tr>
        <w:tc>
          <w:tcPr>
            <w:tcW w:type="dxa" w:w="1800"/>
            <w:vAlign w:val="center"/>
            <w:shd w:fill="F3F5FA"/>
          </w:tcPr>
          <w:p>
            <w:pPr>
              <w:spacing w:after="20"/>
            </w:pPr>
            <w:r/>
            <w:r>
              <w:rPr>
                <w:b w:val="0"/>
                <w:color w:val="2F394B"/>
                <w:sz w:val="17"/>
              </w:rPr>
              <w:t>Task fields</w:t>
            </w:r>
          </w:p>
        </w:tc>
        <w:tc>
          <w:tcPr>
            <w:tcW w:type="dxa" w:w="8352"/>
            <w:vAlign w:val="center"/>
            <w:shd w:fill="F3F5FA"/>
          </w:tcPr>
          <w:p>
            <w:pPr>
              <w:spacing w:after="20"/>
            </w:pPr>
            <w:r/>
            <w:r>
              <w:rPr>
                <w:b w:val="0"/>
                <w:color w:val="2F394B"/>
                <w:sz w:val="17"/>
              </w:rPr>
              <w:t>Title, description, status, priority, due date, and creation/update timestamps.</w:t>
            </w:r>
          </w:p>
        </w:tc>
      </w:tr>
      <w:tr>
        <w:tc>
          <w:tcPr>
            <w:tcW w:type="dxa" w:w="1800"/>
            <w:vAlign w:val="center"/>
          </w:tcPr>
          <w:p>
            <w:pPr>
              <w:spacing w:after="20"/>
            </w:pPr>
            <w:r/>
            <w:r>
              <w:rPr>
                <w:b w:val="0"/>
                <w:color w:val="2F394B"/>
                <w:sz w:val="17"/>
              </w:rPr>
              <w:t>Views</w:t>
            </w:r>
          </w:p>
        </w:tc>
        <w:tc>
          <w:tcPr>
            <w:tcW w:type="dxa" w:w="8352"/>
            <w:vAlign w:val="center"/>
          </w:tcPr>
          <w:p>
            <w:pPr>
              <w:spacing w:after="20"/>
            </w:pPr>
            <w:r/>
            <w:r>
              <w:rPr>
                <w:b w:val="0"/>
                <w:color w:val="2F394B"/>
                <w:sz w:val="17"/>
              </w:rPr>
              <w:t>Dashboard counts, status filters, text search, and overdue-date indicators.</w:t>
            </w:r>
          </w:p>
        </w:tc>
      </w:tr>
      <w:tr>
        <w:tc>
          <w:tcPr>
            <w:tcW w:type="dxa" w:w="1800"/>
            <w:vAlign w:val="center"/>
            <w:shd w:fill="F3F5FA"/>
          </w:tcPr>
          <w:p>
            <w:pPr>
              <w:spacing w:after="20"/>
            </w:pPr>
            <w:r/>
            <w:r>
              <w:rPr>
                <w:b w:val="0"/>
                <w:color w:val="2F394B"/>
                <w:sz w:val="17"/>
              </w:rPr>
              <w:t>API</w:t>
            </w:r>
          </w:p>
        </w:tc>
        <w:tc>
          <w:tcPr>
            <w:tcW w:type="dxa" w:w="8352"/>
            <w:vAlign w:val="center"/>
            <w:shd w:fill="F3F5FA"/>
          </w:tcPr>
          <w:p>
            <w:pPr>
              <w:spacing w:after="20"/>
            </w:pPr>
            <w:r/>
            <w:r>
              <w:rPr>
                <w:b w:val="0"/>
                <w:color w:val="2F394B"/>
                <w:sz w:val="17"/>
              </w:rPr>
              <w:t>JSON endpoints for list, create, partial update, delete, and service health.</w:t>
            </w:r>
          </w:p>
        </w:tc>
      </w:tr>
      <w:tr>
        <w:tc>
          <w:tcPr>
            <w:tcW w:type="dxa" w:w="1800"/>
            <w:vAlign w:val="center"/>
          </w:tcPr>
          <w:p>
            <w:pPr>
              <w:spacing w:after="20"/>
            </w:pPr>
            <w:r/>
            <w:r>
              <w:rPr>
                <w:b w:val="0"/>
                <w:color w:val="2F394B"/>
                <w:sz w:val="17"/>
              </w:rPr>
              <w:t>Persistence</w:t>
            </w:r>
          </w:p>
        </w:tc>
        <w:tc>
          <w:tcPr>
            <w:tcW w:type="dxa" w:w="8352"/>
            <w:vAlign w:val="center"/>
          </w:tcPr>
          <w:p>
            <w:pPr>
              <w:spacing w:after="20"/>
            </w:pPr>
            <w:r/>
            <w:r>
              <w:rPr>
                <w:b w:val="0"/>
                <w:color w:val="2F394B"/>
                <w:sz w:val="17"/>
              </w:rPr>
              <w:t>SQLite schema constraints, transactions, WAL journaling, and configurable file path.</w:t>
            </w:r>
          </w:p>
        </w:tc>
      </w:tr>
      <w:tr>
        <w:tc>
          <w:tcPr>
            <w:tcW w:type="dxa" w:w="1800"/>
            <w:vAlign w:val="center"/>
            <w:shd w:fill="F3F5FA"/>
          </w:tcPr>
          <w:p>
            <w:pPr>
              <w:spacing w:after="20"/>
            </w:pPr>
            <w:r/>
            <w:r>
              <w:rPr>
                <w:b w:val="0"/>
                <w:color w:val="2F394B"/>
                <w:sz w:val="17"/>
              </w:rPr>
              <w:t>Interface</w:t>
            </w:r>
          </w:p>
        </w:tc>
        <w:tc>
          <w:tcPr>
            <w:tcW w:type="dxa" w:w="8352"/>
            <w:vAlign w:val="center"/>
            <w:shd w:fill="F3F5FA"/>
          </w:tcPr>
          <w:p>
            <w:pPr>
              <w:spacing w:after="20"/>
            </w:pPr>
            <w:r/>
            <w:r>
              <w:rPr>
                <w:b w:val="0"/>
                <w:color w:val="2F394B"/>
                <w:sz w:val="17"/>
              </w:rPr>
              <w:t>Responsive local HTML/CSS/JavaScript with accessible labels and status feedback.</w:t>
            </w:r>
          </w:p>
        </w:tc>
      </w:tr>
    </w:tbl>
    <w:p>
      <w:pPr>
        <w:spacing w:after="20"/>
      </w:pPr>
    </w:p>
    <w:p>
      <w:pPr>
        <w:pStyle w:val="Heading1"/>
      </w:pPr>
      <w:r>
        <w:t>Architecture</w:t>
      </w:r>
    </w:p>
    <w:p>
      <w:r>
        <w:t>The browser interface sends same-origin JSON requests to Flask. Flask validates each field and performs parameterized SQLite operations. The service returns JSON errors for invalid requests and exposes a health route that checks database availability. The browser renders user-supplied task text through textContent rather than inserting it as HTML.</w:t>
      </w:r>
    </w:p>
    <w:p>
      <w:r>
        <w:t>GitHub Actions starts independent jobs for Gitleaks, Trivy filesystem analysis, SonarQube Cloud, and container scanning. A separate SBOM job builds the container and uploads a CycloneDX inventory. The overall workflow is successful only when the security jobs pass.</w:t>
      </w:r>
    </w:p>
    <w:p>
      <w:pPr>
        <w:pStyle w:val="Heading1"/>
      </w:pPr>
      <w:r>
        <w:t>Security controls</w:t>
      </w:r>
    </w:p>
    <w:tbl>
      <w:tblPr>
        <w:tblStyle w:val="TableGrid"/>
        <w:tblW w:type="auto" w:w="0"/>
        <w:jc w:val="center"/>
        <w:tblLook w:firstColumn="1" w:firstRow="1" w:lastColumn="0" w:lastRow="0" w:noHBand="0" w:noVBand="1" w:val="04A0"/>
      </w:tblPr>
      <w:tblGrid>
        <w:gridCol w:w="4997"/>
        <w:gridCol w:w="4997"/>
      </w:tblGrid>
      <w:tr>
        <w:tc>
          <w:tcPr>
            <w:tcW w:type="dxa" w:w="2088"/>
            <w:vAlign w:val="center"/>
            <w:shd w:fill="263657"/>
          </w:tcPr>
          <w:p>
            <w:pPr>
              <w:spacing w:after="20"/>
            </w:pPr>
            <w:r/>
            <w:r>
              <w:rPr>
                <w:b/>
                <w:color w:val="FFFFFF"/>
                <w:sz w:val="18"/>
              </w:rPr>
              <w:t>Control</w:t>
            </w:r>
          </w:p>
        </w:tc>
        <w:tc>
          <w:tcPr>
            <w:tcW w:type="dxa" w:w="8064"/>
            <w:vAlign w:val="center"/>
            <w:shd w:fill="263657"/>
          </w:tcPr>
          <w:p>
            <w:pPr>
              <w:spacing w:after="20"/>
            </w:pPr>
            <w:r/>
            <w:r>
              <w:rPr>
                <w:b/>
                <w:color w:val="FFFFFF"/>
                <w:sz w:val="18"/>
              </w:rPr>
              <w:t>Purpose</w:t>
            </w:r>
          </w:p>
        </w:tc>
      </w:tr>
      <w:tr>
        <w:tc>
          <w:tcPr>
            <w:tcW w:type="dxa" w:w="2088"/>
            <w:vAlign w:val="center"/>
          </w:tcPr>
          <w:p>
            <w:pPr>
              <w:spacing w:after="20"/>
            </w:pPr>
            <w:r/>
            <w:r>
              <w:rPr>
                <w:b w:val="0"/>
                <w:color w:val="2F394B"/>
                <w:sz w:val="17"/>
              </w:rPr>
              <w:t>Input validation</w:t>
            </w:r>
          </w:p>
        </w:tc>
        <w:tc>
          <w:tcPr>
            <w:tcW w:type="dxa" w:w="8064"/>
            <w:vAlign w:val="center"/>
          </w:tcPr>
          <w:p>
            <w:pPr>
              <w:spacing w:after="20"/>
            </w:pPr>
            <w:r/>
            <w:r>
              <w:rPr>
                <w:b w:val="0"/>
                <w:color w:val="2F394B"/>
                <w:sz w:val="17"/>
              </w:rPr>
              <w:t>Allowlisted status and priority values, required title, bounded title/description lengths, date validation, and rejection of unknown fields.</w:t>
            </w:r>
          </w:p>
        </w:tc>
      </w:tr>
      <w:tr>
        <w:tc>
          <w:tcPr>
            <w:tcW w:type="dxa" w:w="2088"/>
            <w:vAlign w:val="center"/>
            <w:shd w:fill="F3F5FA"/>
          </w:tcPr>
          <w:p>
            <w:pPr>
              <w:spacing w:after="20"/>
            </w:pPr>
            <w:r/>
            <w:r>
              <w:rPr>
                <w:b w:val="0"/>
                <w:color w:val="2F394B"/>
                <w:sz w:val="17"/>
              </w:rPr>
              <w:t>SQL parameterization</w:t>
            </w:r>
          </w:p>
        </w:tc>
        <w:tc>
          <w:tcPr>
            <w:tcW w:type="dxa" w:w="8064"/>
            <w:vAlign w:val="center"/>
            <w:shd w:fill="F3F5FA"/>
          </w:tcPr>
          <w:p>
            <w:pPr>
              <w:spacing w:after="20"/>
            </w:pPr>
            <w:r/>
            <w:r>
              <w:rPr>
                <w:b w:val="0"/>
                <w:color w:val="2F394B"/>
                <w:sz w:val="17"/>
              </w:rPr>
              <w:t>Task search, updates, and deletes bind user-provided values as SQL parameters.</w:t>
            </w:r>
          </w:p>
        </w:tc>
      </w:tr>
      <w:tr>
        <w:tc>
          <w:tcPr>
            <w:tcW w:type="dxa" w:w="2088"/>
            <w:vAlign w:val="center"/>
          </w:tcPr>
          <w:p>
            <w:pPr>
              <w:spacing w:after="20"/>
            </w:pPr>
            <w:r/>
            <w:r>
              <w:rPr>
                <w:b w:val="0"/>
                <w:color w:val="2F394B"/>
                <w:sz w:val="17"/>
              </w:rPr>
              <w:t>Request limits</w:t>
            </w:r>
          </w:p>
        </w:tc>
        <w:tc>
          <w:tcPr>
            <w:tcW w:type="dxa" w:w="8064"/>
            <w:vAlign w:val="center"/>
          </w:tcPr>
          <w:p>
            <w:pPr>
              <w:spacing w:after="20"/>
            </w:pPr>
            <w:r/>
            <w:r>
              <w:rPr>
                <w:b w:val="0"/>
                <w:color w:val="2F394B"/>
                <w:sz w:val="17"/>
              </w:rPr>
              <w:t>JSON body size is limited to reduce accidental or abusive oversized payloads.</w:t>
            </w:r>
          </w:p>
        </w:tc>
      </w:tr>
      <w:tr>
        <w:tc>
          <w:tcPr>
            <w:tcW w:type="dxa" w:w="2088"/>
            <w:vAlign w:val="center"/>
            <w:shd w:fill="F3F5FA"/>
          </w:tcPr>
          <w:p>
            <w:pPr>
              <w:spacing w:after="20"/>
            </w:pPr>
            <w:r/>
            <w:r>
              <w:rPr>
                <w:b w:val="0"/>
                <w:color w:val="2F394B"/>
                <w:sz w:val="17"/>
              </w:rPr>
              <w:t>Browser protections</w:t>
            </w:r>
          </w:p>
        </w:tc>
        <w:tc>
          <w:tcPr>
            <w:tcW w:type="dxa" w:w="8064"/>
            <w:vAlign w:val="center"/>
            <w:shd w:fill="F3F5FA"/>
          </w:tcPr>
          <w:p>
            <w:pPr>
              <w:spacing w:after="20"/>
            </w:pPr>
            <w:r/>
            <w:r>
              <w:rPr>
                <w:b w:val="0"/>
                <w:color w:val="2F394B"/>
                <w:sz w:val="17"/>
              </w:rPr>
              <w:t>Content Security Policy, X-Content-Type-Options, X-Frame-Options, and Referrer-Policy.</w:t>
            </w:r>
          </w:p>
        </w:tc>
      </w:tr>
      <w:tr>
        <w:tc>
          <w:tcPr>
            <w:tcW w:type="dxa" w:w="2088"/>
            <w:vAlign w:val="center"/>
          </w:tcPr>
          <w:p>
            <w:pPr>
              <w:spacing w:after="20"/>
            </w:pPr>
            <w:r/>
            <w:r>
              <w:rPr>
                <w:b w:val="0"/>
                <w:color w:val="2F394B"/>
                <w:sz w:val="17"/>
              </w:rPr>
              <w:t>Container hardening</w:t>
            </w:r>
          </w:p>
        </w:tc>
        <w:tc>
          <w:tcPr>
            <w:tcW w:type="dxa" w:w="8064"/>
            <w:vAlign w:val="center"/>
          </w:tcPr>
          <w:p>
            <w:pPr>
              <w:spacing w:after="20"/>
            </w:pPr>
            <w:r/>
            <w:r>
              <w:rPr>
                <w:b w:val="0"/>
                <w:color w:val="2F394B"/>
                <w:sz w:val="17"/>
              </w:rPr>
              <w:t>Non-root runtime user and pinned Python package versions.</w:t>
            </w:r>
          </w:p>
        </w:tc>
      </w:tr>
      <w:tr>
        <w:tc>
          <w:tcPr>
            <w:tcW w:type="dxa" w:w="2088"/>
            <w:vAlign w:val="center"/>
            <w:shd w:fill="F3F5FA"/>
          </w:tcPr>
          <w:p>
            <w:pPr>
              <w:spacing w:after="20"/>
            </w:pPr>
            <w:r/>
            <w:r>
              <w:rPr>
                <w:b w:val="0"/>
                <w:color w:val="2F394B"/>
                <w:sz w:val="17"/>
              </w:rPr>
              <w:t>Secret handling</w:t>
            </w:r>
          </w:p>
        </w:tc>
        <w:tc>
          <w:tcPr>
            <w:tcW w:type="dxa" w:w="8064"/>
            <w:vAlign w:val="center"/>
            <w:shd w:fill="F3F5FA"/>
          </w:tcPr>
          <w:p>
            <w:pPr>
              <w:spacing w:after="20"/>
            </w:pPr>
            <w:r/>
            <w:r>
              <w:rPr>
                <w:b w:val="0"/>
                <w:color w:val="2F394B"/>
                <w:sz w:val="17"/>
              </w:rPr>
              <w:t>No application credential is configured in source; SonarQube Cloud token is supplied as a GitHub Actions secret.</w:t>
            </w:r>
          </w:p>
        </w:tc>
      </w:tr>
    </w:tbl>
    <w:p>
      <w:pPr>
        <w:spacing w:after="20"/>
      </w:pPr>
    </w:p>
    <w:p>
      <w:r>
        <w:t>The service has no accounts or access-control boundary. It must remain a local personal application and must not be exposed to the public internet or used for sensitive information.</w:t>
      </w:r>
    </w:p>
    <w:p>
      <w:pPr>
        <w:pStyle w:val="Heading1"/>
      </w:pPr>
      <w:r>
        <w:t>CI security gates</w:t>
      </w:r>
    </w:p>
    <w:tbl>
      <w:tblPr>
        <w:tblStyle w:val="TableGrid"/>
        <w:tblW w:type="auto" w:w="0"/>
        <w:jc w:val="center"/>
        <w:tblLook w:firstColumn="1" w:firstRow="1" w:lastColumn="0" w:lastRow="0" w:noHBand="0" w:noVBand="1" w:val="04A0"/>
      </w:tblPr>
      <w:tblGrid>
        <w:gridCol w:w="3331"/>
        <w:gridCol w:w="3331"/>
        <w:gridCol w:w="3331"/>
      </w:tblGrid>
      <w:tr>
        <w:tc>
          <w:tcPr>
            <w:tcW w:type="dxa" w:w="1800"/>
            <w:vAlign w:val="center"/>
            <w:shd w:fill="263657"/>
          </w:tcPr>
          <w:p>
            <w:pPr>
              <w:spacing w:after="20"/>
            </w:pPr>
            <w:r/>
            <w:r>
              <w:rPr>
                <w:b/>
                <w:color w:val="FFFFFF"/>
                <w:sz w:val="18"/>
              </w:rPr>
              <w:t>Tool</w:t>
            </w:r>
          </w:p>
        </w:tc>
        <w:tc>
          <w:tcPr>
            <w:tcW w:type="dxa" w:w="2952"/>
            <w:vAlign w:val="center"/>
            <w:shd w:fill="263657"/>
          </w:tcPr>
          <w:p>
            <w:pPr>
              <w:spacing w:after="20"/>
            </w:pPr>
            <w:r/>
            <w:r>
              <w:rPr>
                <w:b/>
                <w:color w:val="FFFFFF"/>
                <w:sz w:val="18"/>
              </w:rPr>
              <w:t>Target</w:t>
            </w:r>
          </w:p>
        </w:tc>
        <w:tc>
          <w:tcPr>
            <w:tcW w:type="dxa" w:w="5400"/>
            <w:vAlign w:val="center"/>
            <w:shd w:fill="263657"/>
          </w:tcPr>
          <w:p>
            <w:pPr>
              <w:spacing w:after="20"/>
            </w:pPr>
            <w:r/>
            <w:r>
              <w:rPr>
                <w:b/>
                <w:color w:val="FFFFFF"/>
                <w:sz w:val="18"/>
              </w:rPr>
              <w:t>Expected behavior</w:t>
            </w:r>
          </w:p>
        </w:tc>
      </w:tr>
      <w:tr>
        <w:tc>
          <w:tcPr>
            <w:tcW w:type="dxa" w:w="1800"/>
            <w:vAlign w:val="center"/>
          </w:tcPr>
          <w:p>
            <w:pPr>
              <w:spacing w:after="20"/>
            </w:pPr>
            <w:r/>
            <w:r>
              <w:rPr>
                <w:b w:val="0"/>
                <w:color w:val="2F394B"/>
                <w:sz w:val="17"/>
              </w:rPr>
              <w:t>Gitleaks</w:t>
            </w:r>
          </w:p>
        </w:tc>
        <w:tc>
          <w:tcPr>
            <w:tcW w:type="dxa" w:w="2952"/>
            <w:vAlign w:val="center"/>
          </w:tcPr>
          <w:p>
            <w:pPr>
              <w:spacing w:after="20"/>
            </w:pPr>
            <w:r/>
            <w:r>
              <w:rPr>
                <w:b w:val="0"/>
                <w:color w:val="2F394B"/>
                <w:sz w:val="17"/>
              </w:rPr>
              <w:t>Git changes/history</w:t>
            </w:r>
          </w:p>
        </w:tc>
        <w:tc>
          <w:tcPr>
            <w:tcW w:type="dxa" w:w="5400"/>
            <w:vAlign w:val="center"/>
          </w:tcPr>
          <w:p>
            <w:pPr>
              <w:spacing w:after="20"/>
            </w:pPr>
            <w:r/>
            <w:r>
              <w:rPr>
                <w:b w:val="0"/>
                <w:color w:val="2F394B"/>
                <w:sz w:val="17"/>
              </w:rPr>
              <w:t>Fail when a credential pattern is found.</w:t>
            </w:r>
          </w:p>
        </w:tc>
      </w:tr>
      <w:tr>
        <w:tc>
          <w:tcPr>
            <w:tcW w:type="dxa" w:w="1800"/>
            <w:vAlign w:val="center"/>
            <w:shd w:fill="F3F5FA"/>
          </w:tcPr>
          <w:p>
            <w:pPr>
              <w:spacing w:after="20"/>
            </w:pPr>
            <w:r/>
            <w:r>
              <w:rPr>
                <w:b w:val="0"/>
                <w:color w:val="2F394B"/>
                <w:sz w:val="17"/>
              </w:rPr>
              <w:t>Trivy filesystem</w:t>
            </w:r>
          </w:p>
        </w:tc>
        <w:tc>
          <w:tcPr>
            <w:tcW w:type="dxa" w:w="2952"/>
            <w:vAlign w:val="center"/>
            <w:shd w:fill="F3F5FA"/>
          </w:tcPr>
          <w:p>
            <w:pPr>
              <w:spacing w:after="20"/>
            </w:pPr>
            <w:r/>
            <w:r>
              <w:rPr>
                <w:b w:val="0"/>
                <w:color w:val="2F394B"/>
                <w:sz w:val="17"/>
              </w:rPr>
              <w:t>Repository dependencies</w:t>
            </w:r>
          </w:p>
        </w:tc>
        <w:tc>
          <w:tcPr>
            <w:tcW w:type="dxa" w:w="5400"/>
            <w:vAlign w:val="center"/>
            <w:shd w:fill="F3F5FA"/>
          </w:tcPr>
          <w:p>
            <w:pPr>
              <w:spacing w:after="20"/>
            </w:pPr>
            <w:r/>
            <w:r>
              <w:rPr>
                <w:b w:val="0"/>
                <w:color w:val="2F394B"/>
                <w:sz w:val="17"/>
              </w:rPr>
              <w:t>Fail on HIGH or CRITICAL vulnerabilities.</w:t>
            </w:r>
          </w:p>
        </w:tc>
      </w:tr>
      <w:tr>
        <w:tc>
          <w:tcPr>
            <w:tcW w:type="dxa" w:w="1800"/>
            <w:vAlign w:val="center"/>
          </w:tcPr>
          <w:p>
            <w:pPr>
              <w:spacing w:after="20"/>
            </w:pPr>
            <w:r/>
            <w:r>
              <w:rPr>
                <w:b w:val="0"/>
                <w:color w:val="2F394B"/>
                <w:sz w:val="17"/>
              </w:rPr>
              <w:t>SonarQube Cloud</w:t>
            </w:r>
          </w:p>
        </w:tc>
        <w:tc>
          <w:tcPr>
            <w:tcW w:type="dxa" w:w="2952"/>
            <w:vAlign w:val="center"/>
          </w:tcPr>
          <w:p>
            <w:pPr>
              <w:spacing w:after="20"/>
            </w:pPr>
            <w:r/>
            <w:r>
              <w:rPr>
                <w:b w:val="0"/>
                <w:color w:val="2F394B"/>
                <w:sz w:val="17"/>
              </w:rPr>
              <w:t>Python source and configured quality gate</w:t>
            </w:r>
          </w:p>
        </w:tc>
        <w:tc>
          <w:tcPr>
            <w:tcW w:type="dxa" w:w="5400"/>
            <w:vAlign w:val="center"/>
          </w:tcPr>
          <w:p>
            <w:pPr>
              <w:spacing w:after="20"/>
            </w:pPr>
            <w:r/>
            <w:r>
              <w:rPr>
                <w:b w:val="0"/>
                <w:color w:val="2F394B"/>
                <w:sz w:val="17"/>
              </w:rPr>
              <w:t>Wait for the gate result and fail if it fails.</w:t>
            </w:r>
          </w:p>
        </w:tc>
      </w:tr>
      <w:tr>
        <w:tc>
          <w:tcPr>
            <w:tcW w:type="dxa" w:w="1800"/>
            <w:vAlign w:val="center"/>
            <w:shd w:fill="F3F5FA"/>
          </w:tcPr>
          <w:p>
            <w:pPr>
              <w:spacing w:after="20"/>
            </w:pPr>
            <w:r/>
            <w:r>
              <w:rPr>
                <w:b w:val="0"/>
                <w:color w:val="2F394B"/>
                <w:sz w:val="17"/>
              </w:rPr>
              <w:t>Trivy image</w:t>
            </w:r>
          </w:p>
        </w:tc>
        <w:tc>
          <w:tcPr>
            <w:tcW w:type="dxa" w:w="2952"/>
            <w:vAlign w:val="center"/>
            <w:shd w:fill="F3F5FA"/>
          </w:tcPr>
          <w:p>
            <w:pPr>
              <w:spacing w:after="20"/>
            </w:pPr>
            <w:r/>
            <w:r>
              <w:rPr>
                <w:b w:val="0"/>
                <w:color w:val="2F394B"/>
                <w:sz w:val="17"/>
              </w:rPr>
              <w:t>Built Docker image</w:t>
            </w:r>
          </w:p>
        </w:tc>
        <w:tc>
          <w:tcPr>
            <w:tcW w:type="dxa" w:w="5400"/>
            <w:vAlign w:val="center"/>
            <w:shd w:fill="F3F5FA"/>
          </w:tcPr>
          <w:p>
            <w:pPr>
              <w:spacing w:after="20"/>
            </w:pPr>
            <w:r/>
            <w:r>
              <w:rPr>
                <w:b w:val="0"/>
                <w:color w:val="2F394B"/>
                <w:sz w:val="17"/>
              </w:rPr>
              <w:t>Fail on HIGH or CRITICAL vulnerabilities.</w:t>
            </w:r>
          </w:p>
        </w:tc>
      </w:tr>
      <w:tr>
        <w:tc>
          <w:tcPr>
            <w:tcW w:type="dxa" w:w="1800"/>
            <w:vAlign w:val="center"/>
          </w:tcPr>
          <w:p>
            <w:pPr>
              <w:spacing w:after="20"/>
            </w:pPr>
            <w:r/>
            <w:r>
              <w:rPr>
                <w:b w:val="0"/>
                <w:color w:val="2F394B"/>
                <w:sz w:val="17"/>
              </w:rPr>
              <w:t>Syft</w:t>
            </w:r>
          </w:p>
        </w:tc>
        <w:tc>
          <w:tcPr>
            <w:tcW w:type="dxa" w:w="2952"/>
            <w:vAlign w:val="center"/>
          </w:tcPr>
          <w:p>
            <w:pPr>
              <w:spacing w:after="20"/>
            </w:pPr>
            <w:r/>
            <w:r>
              <w:rPr>
                <w:b w:val="0"/>
                <w:color w:val="2F394B"/>
                <w:sz w:val="17"/>
              </w:rPr>
              <w:t>Built Docker image</w:t>
            </w:r>
          </w:p>
        </w:tc>
        <w:tc>
          <w:tcPr>
            <w:tcW w:type="dxa" w:w="5400"/>
            <w:vAlign w:val="center"/>
          </w:tcPr>
          <w:p>
            <w:pPr>
              <w:spacing w:after="20"/>
            </w:pPr>
            <w:r/>
            <w:r>
              <w:rPr>
                <w:b w:val="0"/>
                <w:color w:val="2F394B"/>
                <w:sz w:val="17"/>
              </w:rPr>
              <w:t>Generate and upload CycloneDX SBOM as an Actions artifact.</w:t>
            </w:r>
          </w:p>
        </w:tc>
      </w:tr>
    </w:tbl>
    <w:p>
      <w:pPr>
        <w:spacing w:after="20"/>
      </w:pPr>
    </w:p>
    <w:p>
      <w:r>
        <w:t>The SonarQube Cloud project key, organization, token, and quality gate must be configured before the SAST job can pass. Fork pull requests do not receive repository secrets, so the Sonar job fails closed for those events.</w:t>
      </w:r>
    </w:p>
    <w:p>
      <w:pPr>
        <w:pStyle w:val="Heading1"/>
      </w:pPr>
      <w:r>
        <w:t>Setup and reproduction</w:t>
      </w:r>
    </w:p>
    <w:p>
      <w:r>
        <w:t>Install Python 3.12 or later, create a virtual environment, install requirements.txt, and start the application with Flask. Open http://127.0.0.1:5000. Docker instructions and API examples are provided in README.md. The project does not use an external dataset; task data is entered by the user and persisted to SQLite.</w:t>
      </w:r>
    </w:p>
    <w:p>
      <w:r>
        <w:t>The fixed branch represents the remediated application. The PowerShell branch generator creates a separate intentionally insecure state with a fake AWS-shaped key, string-built SQL, old Flask dependencies, and an old Python image. Push that state to observe failing scanner jobs, then use the clean fixed branch for a passing workflow. Keep the vulnerable history separate because deleting a credential from a later commit does not remove it from Git history.</w:t>
      </w:r>
    </w:p>
    <w:p>
      <w:pPr>
        <w:pStyle w:val="Heading1"/>
      </w:pPr>
      <w:r>
        <w:t>Tradeoffs and limitations</w:t>
      </w:r>
    </w:p>
    <w:p>
      <w:pPr>
        <w:pStyle w:val="ListBullet"/>
      </w:pPr>
      <w:r>
        <w:t>The HIGH/CRITICAL threshold reduces lower-severity noise but still requires review of actual reachability and deployment context.</w:t>
      </w:r>
    </w:p>
    <w:p>
      <w:pPr>
        <w:pStyle w:val="ListBullet"/>
      </w:pPr>
      <w:r>
        <w:t>Fresh vulnerability database results can change after the code is unchanged.</w:t>
      </w:r>
    </w:p>
    <w:p>
      <w:pPr>
        <w:pStyle w:val="ListBullet"/>
      </w:pPr>
      <w:r>
        <w:t>SonarQube Cloud requires a token, project setup, and an explicitly configured quality gate.</w:t>
      </w:r>
    </w:p>
    <w:p>
      <w:pPr>
        <w:pStyle w:val="ListBullet"/>
      </w:pPr>
      <w:r>
        <w:t>This application is single-workspace and unauthenticated; it is not designed for shared or internet-facing deployment.</w:t>
      </w:r>
    </w:p>
    <w:p>
      <w:pPr>
        <w:pStyle w:val="ListBullet"/>
      </w:pPr>
      <w:r>
        <w:t>Screenshots of GitHub Actions results should be captured after the repository workflows have run; no unobserved run result is claimed here.</w:t>
      </w:r>
    </w:p>
    <w:p>
      <w:pPr>
        <w:pStyle w:val="Heading1"/>
      </w:pPr>
      <w:r>
        <w:t>Conclusion</w:t>
      </w:r>
    </w:p>
    <w:p>
      <w:r>
        <w:t>Focusboard demonstrates a complete local task-management workflow and a security-focused CI design. Its core controls reduce common risks in a small Flask service, while automated scanning makes dependency, secret, source, and image findings visible during code changes. The project is suitable for portfolio evaluation after the public repository is updated with the final files and genuine workflow screenshots are added.</w:t>
      </w:r>
    </w:p>
    <w:sectPr w:rsidR="00FC693F" w:rsidRPr="0006063C" w:rsidSect="00034616">
      <w:footerReference w:type="default" r:id="rId9"/>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8790A0"/>
        <w:sz w:val="16"/>
      </w:rPr>
      <w:t xml:space="preserve">FOCUSBOARD  |  PROJECT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F394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263657"/>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5A50D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8233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Focusboard Secure Task Manager Project Report</dc:title>
  <dc:subject>IBM SkillsBuild Cyber Security 2026 project submission</dc:subject>
  <dc:creator>Rohan</dc:creator>
  <cp:keywords>Flask, DevSecOps, cybersecurity, GitHub Actions, Trivy, SonarQube</cp:keywords>
  <dc:description>generated by python-docx</dc:description>
  <cp:lastModifiedBy/>
  <cp:revision>1</cp:revision>
  <dcterms:created xsi:type="dcterms:W3CDTF">2013-12-23T23:15:00Z</dcterms:created>
  <dcterms:modified xsi:type="dcterms:W3CDTF">2013-12-23T23:15:00Z</dcterms:modified>
  <cp:category/>
</cp:coreProperties>
</file>