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6989" w:rsidRDefault="000F6C09" w:rsidP="00C13E4B">
      <w:pPr>
        <w:pStyle w:val="a4"/>
      </w:pPr>
      <w:r>
        <w:rPr>
          <w:rFonts w:hint="eastAsia"/>
        </w:rPr>
        <w:t>Demonstrate</w:t>
      </w:r>
    </w:p>
    <w:p w:rsidR="00C13E4B" w:rsidRPr="00C13E4B" w:rsidRDefault="00C13E4B" w:rsidP="00C13E4B">
      <w:pPr>
        <w:pStyle w:val="a4"/>
        <w:rPr>
          <w:rFonts w:eastAsia="宋体"/>
        </w:rPr>
      </w:pPr>
      <w:r w:rsidRPr="00C13E4B">
        <w:rPr>
          <w:rFonts w:eastAsia="宋体"/>
        </w:rPr>
        <w:t>Biosensor for Cu Ion's Detection</w:t>
      </w:r>
    </w:p>
    <w:p w:rsidR="000F6C09" w:rsidRPr="009A1FC4" w:rsidRDefault="000F6C09" w:rsidP="009A1FC4">
      <w:pPr>
        <w:pStyle w:val="a6"/>
      </w:pPr>
      <w:r w:rsidRPr="009A1FC4">
        <w:t>OVERVIEW</w:t>
      </w:r>
    </w:p>
    <w:p w:rsidR="000F6C09" w:rsidRPr="000F6C09" w:rsidRDefault="000F6C09" w:rsidP="003E4EDB">
      <w:pPr>
        <w:ind w:firstLineChars="200" w:firstLine="420"/>
      </w:pPr>
      <w:r w:rsidRPr="000F6C09">
        <w:t>After communication with professors, teachers and factory leaders, our HPers summarized that It is also difficult to monitor the copper concentration of the solution in real-time. Solving this problem by biosensor seems like a good idea.</w:t>
      </w:r>
    </w:p>
    <w:p w:rsidR="000F6C09" w:rsidRDefault="000F6C09" w:rsidP="003E4EDB">
      <w:pPr>
        <w:ind w:firstLineChars="200" w:firstLine="420"/>
      </w:pPr>
      <w:r w:rsidRPr="000F6C09">
        <w:t>The inspiration came from promoters found in nature, which can be induced by different metal ions. Ligating this kind of promoters with reporter gene like RFP is a common idea to monitor the concentration of metals. Take Cu ions for example, we first search for promoters induced by Cu in parts, and we found both promoters in E.coli and S.cerevisiae. Actually, The resistance to Cu ions in E.coli and S.cerevisiae differs from each other. The maximum resistance to Cu in </w:t>
      </w:r>
      <w:r w:rsidRPr="000F6C09">
        <w:rPr>
          <w:i/>
          <w:iCs/>
        </w:rPr>
        <w:t>E.coli</w:t>
      </w:r>
      <w:r w:rsidRPr="000F6C09">
        <w:t> is 9 mM, which is less than that in S.cerevisiae. The resistance in S.cerevisiae is over 15 mM. Considering the response rage, the budding yeast is a much better host for</w:t>
      </w:r>
      <w:r w:rsidR="00C13E4B">
        <w:t xml:space="preserve"> </w:t>
      </w:r>
      <w:r w:rsidR="00C13E4B">
        <w:rPr>
          <w:rFonts w:hint="eastAsia"/>
        </w:rPr>
        <w:t>Cu</w:t>
      </w:r>
      <w:r w:rsidR="00C13E4B">
        <w:t xml:space="preserve"> </w:t>
      </w:r>
      <w:r w:rsidR="00C13E4B">
        <w:rPr>
          <w:rFonts w:hint="eastAsia"/>
        </w:rPr>
        <w:t>detection.</w:t>
      </w:r>
      <w:r w:rsidR="00C13E4B">
        <w:t xml:space="preserve"> </w:t>
      </w:r>
    </w:p>
    <w:p w:rsidR="00C13E4B" w:rsidRDefault="006E1D98" w:rsidP="003E4EDB">
      <w:pPr>
        <w:ind w:firstLineChars="200" w:firstLine="420"/>
      </w:pPr>
      <w:r>
        <w:t xml:space="preserve">We built a biosensor based on CUP1 promoter and </w:t>
      </w:r>
      <w:r w:rsidRPr="006E1D98">
        <w:t>yEmRFP</w:t>
      </w:r>
      <w:r>
        <w:t xml:space="preserve"> to detect Cu ion’s concentration. The response range of th</w:t>
      </w:r>
      <w:r w:rsidR="003E4EDB">
        <w:t>is biosensor were characterized with f</w:t>
      </w:r>
      <w:r w:rsidR="003E4EDB" w:rsidRPr="003E4EDB">
        <w:t>luorescent microplate reader</w:t>
      </w:r>
      <w:r w:rsidR="003E4EDB">
        <w:t>.</w:t>
      </w:r>
      <w:r>
        <w:t xml:space="preserve"> </w:t>
      </w:r>
      <w:r w:rsidR="00C13E4B">
        <w:t>To improve the sensitivity</w:t>
      </w:r>
      <w:r>
        <w:t xml:space="preserve"> of biosensor, and</w:t>
      </w:r>
      <w:r w:rsidR="003E4EDB">
        <w:t xml:space="preserve"> enlarge the response intensity when it is induced, we used error-prone PCR to obtain a large amount of </w:t>
      </w:r>
      <w:r w:rsidR="009A1FC4">
        <w:t>promoter mutants and characterized them.</w:t>
      </w:r>
    </w:p>
    <w:p w:rsidR="000F6C09" w:rsidRDefault="009A1FC4" w:rsidP="009A1FC4">
      <w:pPr>
        <w:pStyle w:val="a6"/>
        <w:rPr>
          <w:rFonts w:eastAsiaTheme="minorEastAsia"/>
        </w:rPr>
      </w:pPr>
      <w:r>
        <w:rPr>
          <w:rFonts w:eastAsiaTheme="minorEastAsia" w:hint="eastAsia"/>
        </w:rPr>
        <w:t>CONSTRUCTION</w:t>
      </w:r>
    </w:p>
    <w:p w:rsidR="00C30164" w:rsidRDefault="00C30164" w:rsidP="00C30164">
      <w:pPr>
        <w:ind w:firstLineChars="200" w:firstLine="420"/>
      </w:pPr>
      <w:r>
        <w:rPr>
          <w:rFonts w:hint="eastAsia"/>
        </w:rPr>
        <w:t xml:space="preserve">The biosensor consists of two main parts. </w:t>
      </w:r>
      <w:r>
        <w:t>One is the Cu-induced promoter CUP1p, the other is yEmRFP, which is modified from a mCherry m</w:t>
      </w:r>
      <w:r>
        <w:rPr>
          <w:rFonts w:hint="eastAsia"/>
        </w:rPr>
        <w:t xml:space="preserve">RFP to </w:t>
      </w:r>
      <w:r>
        <w:t xml:space="preserve">adapt to the transcription environment in yeast. The promoter was synthesized without RFC sites (XbaI) and the RFP was amplified by PCR. We used overlap PCR to </w:t>
      </w:r>
      <w:r w:rsidR="00AB2ACF">
        <w:t xml:space="preserve">combine the two parts and added two restriction sites on the ends. By digestion and ligation, we constructed this biosensor on the plasmid pRS416 which contains a selective marker URA3. After that, we sequenced this part with M13F and M13R as primers. The sequencing result showed that this construction was successful, so we can take the next step – characterization.  </w:t>
      </w:r>
    </w:p>
    <w:p w:rsidR="00AB2ACF" w:rsidRDefault="00AB2ACF" w:rsidP="00AB2ACF">
      <w:pPr>
        <w:ind w:firstLineChars="200" w:firstLine="420"/>
        <w:jc w:val="center"/>
      </w:pPr>
      <w:r>
        <w:rPr>
          <w:noProof/>
        </w:rPr>
        <w:drawing>
          <wp:inline distT="0" distB="0" distL="0" distR="0" wp14:anchorId="758D0EBA" wp14:editId="357F5850">
            <wp:extent cx="7010400" cy="364798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41"/>
                    <a:stretch/>
                  </pic:blipFill>
                  <pic:spPr bwMode="auto">
                    <a:xfrm>
                      <a:off x="0" y="0"/>
                      <a:ext cx="7021033" cy="3653521"/>
                    </a:xfrm>
                    <a:prstGeom prst="rect">
                      <a:avLst/>
                    </a:prstGeom>
                    <a:ln>
                      <a:noFill/>
                    </a:ln>
                    <a:extLst>
                      <a:ext uri="{53640926-AAD7-44D8-BBD7-CCE9431645EC}">
                        <a14:shadowObscured xmlns:a14="http://schemas.microsoft.com/office/drawing/2010/main"/>
                      </a:ext>
                    </a:extLst>
                  </pic:spPr>
                </pic:pic>
              </a:graphicData>
            </a:graphic>
          </wp:inline>
        </w:drawing>
      </w:r>
    </w:p>
    <w:p w:rsidR="00AB2ACF" w:rsidRDefault="00AB2ACF" w:rsidP="00AB2ACF">
      <w:pPr>
        <w:ind w:firstLineChars="200" w:firstLine="420"/>
        <w:jc w:val="center"/>
      </w:pPr>
      <w:r>
        <w:t>F</w:t>
      </w:r>
      <w:r>
        <w:rPr>
          <w:rFonts w:hint="eastAsia"/>
        </w:rPr>
        <w:t>ig.</w:t>
      </w:r>
      <w:r>
        <w:t xml:space="preserve"> </w:t>
      </w:r>
      <w:r w:rsidR="009211C7">
        <w:t>3-</w:t>
      </w:r>
      <w:r>
        <w:t>1</w:t>
      </w:r>
      <w:r w:rsidR="009211C7">
        <w:t>.</w:t>
      </w:r>
      <w:r>
        <w:t xml:space="preserve"> </w:t>
      </w:r>
      <w:r w:rsidR="00DC335F">
        <w:t>Sequencing result of CUP1p and yEmRFP (alignment support by SnapGene</w:t>
      </w:r>
      <w:r w:rsidR="00DC335F" w:rsidRPr="00DC335F">
        <w:rPr>
          <w:vertAlign w:val="superscript"/>
        </w:rPr>
        <w:t>®</w:t>
      </w:r>
      <w:r w:rsidR="00DC335F">
        <w:t>)</w:t>
      </w:r>
    </w:p>
    <w:p w:rsidR="00DC335F" w:rsidRDefault="00DC335F" w:rsidP="00DC335F">
      <w:pPr>
        <w:pStyle w:val="a6"/>
        <w:rPr>
          <w:rFonts w:eastAsiaTheme="minorEastAsia"/>
        </w:rPr>
      </w:pPr>
      <w:r>
        <w:rPr>
          <w:rFonts w:eastAsiaTheme="minorEastAsia" w:hint="eastAsia"/>
        </w:rPr>
        <w:t>CHARACTERIZATION</w:t>
      </w:r>
    </w:p>
    <w:p w:rsidR="00377870" w:rsidRDefault="00377870" w:rsidP="00187D1F">
      <w:pPr>
        <w:ind w:firstLineChars="200" w:firstLine="420"/>
      </w:pPr>
      <w:r>
        <w:t>To characterize this biosen</w:t>
      </w:r>
      <w:r w:rsidR="004439A5">
        <w:t xml:space="preserve">sor, strains of </w:t>
      </w:r>
      <w:r>
        <w:t xml:space="preserve">S.cerevisiae </w:t>
      </w:r>
      <w:r>
        <w:rPr>
          <w:rFonts w:hint="eastAsia"/>
        </w:rPr>
        <w:t>BY</w:t>
      </w:r>
      <w:r w:rsidR="004439A5">
        <w:t>4742 containing</w:t>
      </w:r>
      <w:r>
        <w:t xml:space="preserve"> the plasmid</w:t>
      </w:r>
      <w:r w:rsidR="004439A5">
        <w:t xml:space="preserve"> with an initial OD</w:t>
      </w:r>
      <w:r w:rsidR="004439A5" w:rsidRPr="00187D1F">
        <w:t>600</w:t>
      </w:r>
      <w:r w:rsidR="004439A5">
        <w:t xml:space="preserve"> of 0.1 were grown for 24 h</w:t>
      </w:r>
      <w:r w:rsidR="00957004">
        <w:t>ou</w:t>
      </w:r>
      <w:r w:rsidR="004439A5">
        <w:t>r</w:t>
      </w:r>
      <w:r w:rsidR="00957004">
        <w:t>s</w:t>
      </w:r>
      <w:r w:rsidR="004439A5">
        <w:t xml:space="preserve"> in </w:t>
      </w:r>
      <w:r w:rsidR="004439A5">
        <w:rPr>
          <w:rFonts w:hint="eastAsia"/>
        </w:rPr>
        <w:t>SC-URA</w:t>
      </w:r>
      <w:r w:rsidR="00957004">
        <w:t xml:space="preserve"> medium at</w:t>
      </w:r>
      <w:r w:rsidRPr="00377870">
        <w:t xml:space="preserve"> 30 degrees Celsius</w:t>
      </w:r>
      <w:r w:rsidR="004439A5">
        <w:t>, and then</w:t>
      </w:r>
      <w:r w:rsidRPr="00377870">
        <w:t xml:space="preserve"> </w:t>
      </w:r>
      <w:r w:rsidR="004439A5">
        <w:t xml:space="preserve">were induced </w:t>
      </w:r>
      <w:r w:rsidR="00957004">
        <w:t xml:space="preserve">with copper sulfate. </w:t>
      </w:r>
      <w:r w:rsidR="00187D1F">
        <w:t>Samples in different copper concentration were tested with f</w:t>
      </w:r>
      <w:r w:rsidR="00187D1F" w:rsidRPr="003E4EDB">
        <w:t>luorescent microplate reader</w:t>
      </w:r>
      <w:r w:rsidR="00187D1F">
        <w:t xml:space="preserve"> after 1, 6, 12, and 24 hours. This protocol was</w:t>
      </w:r>
      <w:r w:rsidR="00F9735A">
        <w:t xml:space="preserve"> based on the experience used by Waterloo and Washington </w:t>
      </w:r>
      <w:r w:rsidR="00216409">
        <w:t>iGEM teams and amended by our team.</w:t>
      </w:r>
    </w:p>
    <w:p w:rsidR="0025474B" w:rsidRDefault="0025474B" w:rsidP="00957004">
      <w:pPr>
        <w:jc w:val="center"/>
      </w:pPr>
      <w:r>
        <w:rPr>
          <w:noProof/>
        </w:rPr>
        <w:drawing>
          <wp:inline distT="0" distB="0" distL="0" distR="0" wp14:anchorId="5E98934B" wp14:editId="1FB1EAF7">
            <wp:extent cx="7839075" cy="3914775"/>
            <wp:effectExtent l="0" t="0" r="9525" b="9525"/>
            <wp:docPr id="3" name="图表 3">
              <a:extLst xmlns:a="http://schemas.openxmlformats.org/drawingml/2006/main">
                <a:ext uri="{FF2B5EF4-FFF2-40B4-BE49-F238E27FC236}">
                  <a16:creationId xmlns:a16="http://schemas.microsoft.com/office/drawing/2014/main" id="{3D2FD858-BAEF-4E71-B047-D5FE474F7E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16409" w:rsidRDefault="00216409" w:rsidP="00957004">
      <w:pPr>
        <w:jc w:val="center"/>
      </w:pPr>
      <w:r>
        <w:rPr>
          <w:rFonts w:hint="eastAsia"/>
        </w:rPr>
        <w:t>Fig.</w:t>
      </w:r>
      <w:r>
        <w:t xml:space="preserve"> </w:t>
      </w:r>
      <w:r w:rsidR="009211C7">
        <w:t>3-</w:t>
      </w:r>
      <w:r>
        <w:rPr>
          <w:rFonts w:hint="eastAsia"/>
        </w:rPr>
        <w:t>2</w:t>
      </w:r>
      <w:r w:rsidR="009211C7">
        <w:t>.</w:t>
      </w:r>
      <w:r>
        <w:rPr>
          <w:rFonts w:hint="eastAsia"/>
        </w:rPr>
        <w:t xml:space="preserve"> The fluorescence intensity of CUP1p-</w:t>
      </w:r>
      <w:r>
        <w:t>yEm</w:t>
      </w:r>
      <w:r>
        <w:rPr>
          <w:rFonts w:hint="eastAsia"/>
        </w:rPr>
        <w:t xml:space="preserve">RFP biosensor with different Cu concentration </w:t>
      </w:r>
      <w:r>
        <w:t>induced</w:t>
      </w:r>
    </w:p>
    <w:p w:rsidR="00216409" w:rsidRDefault="00216409" w:rsidP="00216409">
      <w:pPr>
        <w:ind w:firstLineChars="200" w:firstLine="420"/>
      </w:pPr>
    </w:p>
    <w:p w:rsidR="00216409" w:rsidRDefault="00B7156C" w:rsidP="00216409">
      <w:pPr>
        <w:ind w:firstLineChars="200" w:firstLine="420"/>
      </w:pPr>
      <w:r>
        <w:t>Figure 2 showed the relationship between fluorescence intensity with induction time and Cu concentration. With 0.1 mM CuSO</w:t>
      </w:r>
      <w:r w:rsidRPr="00B7156C">
        <w:rPr>
          <w:vertAlign w:val="subscript"/>
        </w:rPr>
        <w:t>4</w:t>
      </w:r>
      <w:r>
        <w:rPr>
          <w:vertAlign w:val="subscript"/>
        </w:rPr>
        <w:t xml:space="preserve"> </w:t>
      </w:r>
      <w:r w:rsidR="00D57B23">
        <w:t>induced, the fluores</w:t>
      </w:r>
      <w:r w:rsidR="00341544">
        <w:t>cence intensity is 2</w:t>
      </w:r>
      <w:r w:rsidR="00D57B23">
        <w:t xml:space="preserve"> times over a control with no induction at 1 hour. As time </w:t>
      </w:r>
      <w:r w:rsidR="008955C9">
        <w:t>went on, the fluorescence intensity slightly reduced. Moreover, a</w:t>
      </w:r>
      <w:r w:rsidR="00D57B23">
        <w:t>s the Cu concentration</w:t>
      </w:r>
      <w:r w:rsidR="008955C9">
        <w:t xml:space="preserve"> increased, the</w:t>
      </w:r>
      <w:r w:rsidR="00D57B23">
        <w:t xml:space="preserve"> fluorescence intensity decreased</w:t>
      </w:r>
      <w:r w:rsidR="008955C9">
        <w:t xml:space="preserve">, and </w:t>
      </w:r>
      <w:r w:rsidR="00894127">
        <w:t>when the concentration reached 1</w:t>
      </w:r>
      <w:r w:rsidR="008955C9">
        <w:t xml:space="preserve"> mM, the intensity was close to the control group</w:t>
      </w:r>
      <w:r w:rsidR="00D57B23">
        <w:t xml:space="preserve">. This </w:t>
      </w:r>
      <w:r w:rsidR="008955C9">
        <w:t>might be due to the higher copper ion concentration influences the transcription, expression and even growth of yeast.</w:t>
      </w:r>
      <w:r w:rsidR="00D57B23">
        <w:t xml:space="preserve"> </w:t>
      </w:r>
    </w:p>
    <w:p w:rsidR="00894127" w:rsidRDefault="00894127" w:rsidP="00216409">
      <w:pPr>
        <w:ind w:firstLineChars="200" w:firstLine="420"/>
      </w:pPr>
      <w:r>
        <w:t xml:space="preserve">This result will be useful for teams who will use the parts BBa_K2407000 &amp; BBa_K2407012 to build an effective Cu-induced biosensor in budding yeast. </w:t>
      </w:r>
      <w:r w:rsidR="00E9745F">
        <w:t>W</w:t>
      </w:r>
      <w:r>
        <w:t xml:space="preserve">e noticed that this result is a little different with works down by Waterloo team. It may be due to the </w:t>
      </w:r>
      <w:r w:rsidR="00E9745F">
        <w:t xml:space="preserve">differences between </w:t>
      </w:r>
      <w:r>
        <w:t xml:space="preserve">Cu ion’s </w:t>
      </w:r>
      <w:r w:rsidR="00E9745F">
        <w:t>concentration and yeast species. However, we both verified the possibility of building a biosensor based on CUP1 promoter in yeast.</w:t>
      </w:r>
    </w:p>
    <w:p w:rsidR="00097CC5" w:rsidRDefault="009C5740" w:rsidP="00216409">
      <w:pPr>
        <w:ind w:firstLineChars="200" w:firstLine="420"/>
      </w:pPr>
      <w:r>
        <w:t>This result was provided for modeling of this biosensor and try to find a proper function to accurately describe the response procedure. Click here to see more information.</w:t>
      </w:r>
    </w:p>
    <w:p w:rsidR="00E9745F" w:rsidRPr="008C0E2D" w:rsidRDefault="005E5846" w:rsidP="008C0E2D">
      <w:pPr>
        <w:pStyle w:val="a6"/>
        <w:rPr>
          <w:rFonts w:eastAsiaTheme="minorEastAsia"/>
        </w:rPr>
      </w:pPr>
      <w:r w:rsidRPr="008C0E2D">
        <w:rPr>
          <w:rFonts w:eastAsiaTheme="minorEastAsia"/>
        </w:rPr>
        <w:t>PARTS</w:t>
      </w:r>
      <w:r w:rsidR="008C0E2D" w:rsidRPr="008C0E2D">
        <w:rPr>
          <w:rFonts w:eastAsiaTheme="minorEastAsia"/>
        </w:rPr>
        <w:t xml:space="preserve"> IMPROVEMENT </w:t>
      </w:r>
    </w:p>
    <w:p w:rsidR="00216409" w:rsidRDefault="00D24378" w:rsidP="003B6588">
      <w:pPr>
        <w:ind w:firstLineChars="200" w:firstLine="420"/>
      </w:pPr>
      <w:r>
        <w:rPr>
          <w:rFonts w:hint="eastAsia"/>
        </w:rPr>
        <w:t xml:space="preserve">The </w:t>
      </w:r>
      <w:r>
        <w:t>Cu-</w:t>
      </w:r>
      <w:r>
        <w:rPr>
          <w:rFonts w:hint="eastAsia"/>
        </w:rPr>
        <w:t xml:space="preserve">induced </w:t>
      </w:r>
      <w:r>
        <w:t>promoter</w:t>
      </w:r>
      <w:r w:rsidR="004B715F">
        <w:t xml:space="preserve"> CUP1p is a previous BioBrick used by iGEM16</w:t>
      </w:r>
      <w:r w:rsidR="00B6252E">
        <w:t>_</w:t>
      </w:r>
      <w:r w:rsidR="004B715F">
        <w:t>Washington, iGEM16</w:t>
      </w:r>
      <w:r w:rsidR="00B6252E">
        <w:t>_</w:t>
      </w:r>
      <w:r w:rsidR="004B715F">
        <w:t>Waterloo, and other iGEM teams. However, the detailed characterization like what we did this year haven’t be showed on iGEM parts page. Moreover, this part hasn’t be improved</w:t>
      </w:r>
      <w:r w:rsidR="007B102D">
        <w:t xml:space="preserve"> by any means or in any ways. Under this situation,</w:t>
      </w:r>
      <w:r w:rsidR="004B715F">
        <w:t xml:space="preserve"> we plan to </w:t>
      </w:r>
      <w:r w:rsidR="007B102D">
        <w:t>work on this promoter to improve its sensitivity and response</w:t>
      </w:r>
      <w:r w:rsidR="005A2BBD">
        <w:t xml:space="preserve"> peak, reduce the </w:t>
      </w:r>
      <w:r w:rsidR="007B102D">
        <w:t>leakage</w:t>
      </w:r>
      <w:r w:rsidR="005A2BBD">
        <w:t xml:space="preserve"> expression</w:t>
      </w:r>
      <w:r w:rsidR="007B102D">
        <w:t>,</w:t>
      </w:r>
      <w:r w:rsidR="001B1850">
        <w:t xml:space="preserve"> and </w:t>
      </w:r>
      <w:r w:rsidR="00A904E9">
        <w:t xml:space="preserve">create new parts for </w:t>
      </w:r>
      <w:r w:rsidR="00A523FE">
        <w:t>future work.</w:t>
      </w:r>
    </w:p>
    <w:p w:rsidR="009F61C8" w:rsidRDefault="009F61C8" w:rsidP="009F61C8">
      <w:pPr>
        <w:pStyle w:val="a"/>
      </w:pPr>
      <w:r>
        <w:rPr>
          <w:rFonts w:hint="eastAsia"/>
        </w:rPr>
        <w:t>Redesign of CUP1 promoter</w:t>
      </w:r>
    </w:p>
    <w:p w:rsidR="006426EB" w:rsidRDefault="00A523FE" w:rsidP="00411932">
      <w:pPr>
        <w:ind w:firstLineChars="200" w:firstLine="420"/>
      </w:pPr>
      <w:r>
        <w:rPr>
          <w:rFonts w:hint="eastAsia"/>
        </w:rPr>
        <w:t xml:space="preserve">First, based on the part </w:t>
      </w:r>
      <w:r w:rsidR="00AD480C">
        <w:t>BBa_</w:t>
      </w:r>
      <w:r w:rsidR="00AD480C">
        <w:rPr>
          <w:rFonts w:hint="eastAsia"/>
        </w:rPr>
        <w:t>K2165004</w:t>
      </w:r>
      <w:r w:rsidR="00AD480C">
        <w:t xml:space="preserve"> </w:t>
      </w:r>
      <w:r>
        <w:rPr>
          <w:rFonts w:hint="eastAsia"/>
        </w:rPr>
        <w:t xml:space="preserve">provided by </w:t>
      </w:r>
      <w:r w:rsidR="00B6252E">
        <w:t>iGEM16_Washington</w:t>
      </w:r>
      <w:r w:rsidR="00AD480C">
        <w:t xml:space="preserve">, we tried to </w:t>
      </w:r>
      <w:r w:rsidR="00445488">
        <w:t xml:space="preserve">ensure </w:t>
      </w:r>
      <w:r w:rsidR="00AD480C">
        <w:t xml:space="preserve">the core </w:t>
      </w:r>
      <w:r w:rsidR="00445488">
        <w:t xml:space="preserve">sequence </w:t>
      </w:r>
      <w:r w:rsidR="00AD480C">
        <w:t>for transcription</w:t>
      </w:r>
      <w:r w:rsidR="00445488">
        <w:t xml:space="preserve">. </w:t>
      </w:r>
      <w:r w:rsidR="0073526A">
        <w:t>Researches about this promoter mainly published in the 1990s,</w:t>
      </w:r>
      <w:r w:rsidR="00353A76">
        <w:t xml:space="preserve"> and the mechanism of induction has been researched thoroughly. </w:t>
      </w:r>
      <w:r w:rsidR="00C05CAA">
        <w:t xml:space="preserve">The promoter </w:t>
      </w:r>
      <w:r w:rsidR="004D2EF5">
        <w:t>is activated by the complex of ACE1 and copper ions. There exist 5 ACE1 binding sites, 2 TATA bo</w:t>
      </w:r>
      <w:r w:rsidR="006426EB">
        <w:t>xes, and one initiation element</w:t>
      </w:r>
      <w:r w:rsidR="00411932">
        <w:rPr>
          <w:rFonts w:hint="eastAsia"/>
        </w:rPr>
        <w:t xml:space="preserve"> in the promoter. </w:t>
      </w:r>
      <w:r w:rsidR="00411932">
        <w:t>The complex of ACE1 and copper ions will bind the promoter, which causes</w:t>
      </w:r>
      <w:r w:rsidR="00FD2A56">
        <w:t xml:space="preserve"> the activation of CUP1 promoter</w:t>
      </w:r>
      <w:r w:rsidR="00411932">
        <w:t xml:space="preserve"> with TATA boxes’</w:t>
      </w:r>
      <w:r w:rsidR="00FD2A56">
        <w:t xml:space="preserve"> help. ACE1 complex’s binding </w:t>
      </w:r>
      <w:r w:rsidR="00CE2874">
        <w:t>directly increases the possibility for TBP (TATA-Box Binding Protein)</w:t>
      </w:r>
      <w:r w:rsidR="00FD2A56">
        <w:t xml:space="preserve"> to bind the promoter, which can enhance the expression</w:t>
      </w:r>
      <w:r w:rsidR="00CE2874">
        <w:t>.</w:t>
      </w:r>
    </w:p>
    <w:p w:rsidR="009F61C8" w:rsidRDefault="009F61C8" w:rsidP="009F61C8">
      <w:pPr>
        <w:ind w:firstLineChars="200" w:firstLine="420"/>
        <w:jc w:val="center"/>
      </w:pPr>
      <w:r>
        <w:rPr>
          <w:noProof/>
        </w:rPr>
        <w:drawing>
          <wp:inline distT="0" distB="0" distL="0" distR="0" wp14:anchorId="69E9B8C4" wp14:editId="466214CA">
            <wp:extent cx="6916049" cy="40290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19765" cy="4031240"/>
                    </a:xfrm>
                    <a:prstGeom prst="rect">
                      <a:avLst/>
                    </a:prstGeom>
                  </pic:spPr>
                </pic:pic>
              </a:graphicData>
            </a:graphic>
          </wp:inline>
        </w:drawing>
      </w:r>
    </w:p>
    <w:p w:rsidR="009F61C8" w:rsidRPr="00216409" w:rsidRDefault="009F61C8" w:rsidP="009F61C8">
      <w:pPr>
        <w:ind w:firstLineChars="200" w:firstLine="420"/>
        <w:jc w:val="center"/>
      </w:pPr>
      <w:r>
        <w:rPr>
          <w:rFonts w:hint="eastAsia"/>
        </w:rPr>
        <w:t>Fig.</w:t>
      </w:r>
      <w:r>
        <w:t xml:space="preserve"> 3-3</w:t>
      </w:r>
      <w:r w:rsidR="009211C7">
        <w:t>.</w:t>
      </w:r>
      <w:r>
        <w:t xml:space="preserve"> structure of redesigned CUP1 promoter used in our project, based on BBa_K21650</w:t>
      </w:r>
      <w:r w:rsidR="00432A30">
        <w:t>04</w:t>
      </w:r>
    </w:p>
    <w:p w:rsidR="009F61C8" w:rsidRPr="009F61C8" w:rsidRDefault="009F61C8" w:rsidP="009F61C8"/>
    <w:p w:rsidR="009F61C8" w:rsidRDefault="009F61C8" w:rsidP="00411932">
      <w:pPr>
        <w:ind w:firstLineChars="200" w:firstLine="420"/>
      </w:pPr>
    </w:p>
    <w:p w:rsidR="00411932" w:rsidRPr="00CE2874" w:rsidRDefault="00CE2874" w:rsidP="00411932">
      <w:pPr>
        <w:ind w:firstLineChars="200" w:firstLine="420"/>
      </w:pPr>
      <w:r>
        <w:rPr>
          <w:rFonts w:hint="eastAsia"/>
        </w:rPr>
        <w:t xml:space="preserve">Based on this mechanism, </w:t>
      </w:r>
      <w:r>
        <w:t>we redesigned the part sequence provided by iGEM16_Washington. We deleted irrelevant bases on the two ends of this promoter and retained the core sequence</w:t>
      </w:r>
      <w:r w:rsidR="00FD2A56">
        <w:t>. In this way, this promoter played its key role with less bases.</w:t>
      </w:r>
    </w:p>
    <w:p w:rsidR="009F61C8" w:rsidRDefault="009F61C8" w:rsidP="009F61C8">
      <w:pPr>
        <w:pStyle w:val="a"/>
      </w:pPr>
      <w:r>
        <w:rPr>
          <w:rFonts w:hint="eastAsia"/>
        </w:rPr>
        <w:t>Error-Prone PCR</w:t>
      </w:r>
    </w:p>
    <w:p w:rsidR="006426EB" w:rsidRDefault="00EB53F9" w:rsidP="003B6588">
      <w:pPr>
        <w:ind w:firstLineChars="200" w:firstLine="420"/>
      </w:pPr>
      <w:r>
        <w:rPr>
          <w:rFonts w:hint="eastAsia"/>
        </w:rPr>
        <w:t xml:space="preserve">In our experiment, </w:t>
      </w:r>
      <w:r>
        <w:t xml:space="preserve">we noticed that CUP1 promoter still </w:t>
      </w:r>
      <w:r w:rsidR="00032E47">
        <w:t xml:space="preserve">has a </w:t>
      </w:r>
      <w:r w:rsidR="005A2BBD">
        <w:t xml:space="preserve">certain degree of </w:t>
      </w:r>
      <w:r w:rsidR="00032E47">
        <w:t>leakage</w:t>
      </w:r>
      <w:r w:rsidR="005A2BBD">
        <w:t xml:space="preserve"> expression</w:t>
      </w:r>
      <w:r>
        <w:t xml:space="preserve">. To make a better biosensor, we planned to </w:t>
      </w:r>
      <w:r w:rsidR="005A2BBD">
        <w:t xml:space="preserve">reduce the </w:t>
      </w:r>
      <w:r w:rsidR="00032E47">
        <w:t xml:space="preserve">leakage </w:t>
      </w:r>
      <w:r w:rsidR="005A2BBD">
        <w:t xml:space="preserve">expression </w:t>
      </w:r>
      <w:r w:rsidR="00032E47">
        <w:t>and increase the sensitivity. To reach this goal, we took the fluorescence intensity at both induction or not into evaluation indexes.</w:t>
      </w:r>
    </w:p>
    <w:p w:rsidR="00D05B72" w:rsidRPr="00CE2874" w:rsidRDefault="00D05B72" w:rsidP="003B6588">
      <w:pPr>
        <w:ind w:firstLineChars="200" w:firstLine="420"/>
      </w:pPr>
      <w:r>
        <w:t>The technology of Error-Prone PCR was taken into our experiment. Although there are many method</w:t>
      </w:r>
      <w:r w:rsidRPr="00D05B72">
        <w:t>s to introduce genetic diversity in</w:t>
      </w:r>
      <w:r>
        <w:t xml:space="preserve">to a parent sequence, error-prone PCR </w:t>
      </w:r>
      <w:r w:rsidRPr="00D05B72">
        <w:t>is</w:t>
      </w:r>
      <w:r>
        <w:t xml:space="preserve"> the most common way of</w:t>
      </w:r>
      <w:r w:rsidRPr="00D05B72">
        <w:t xml:space="preserve"> creating a combinatoria</w:t>
      </w:r>
      <w:r>
        <w:t xml:space="preserve">l library based on a single sequence. By adding some heavy metal ions into the PCR buffer and preparing dNTPs with different composition, </w:t>
      </w:r>
      <w:r w:rsidR="00DB2B8F">
        <w:t>new mutants were introduced into CUP1 promoter</w:t>
      </w:r>
      <w:r w:rsidR="00CE4AF7">
        <w:t xml:space="preserve">. The protocol </w:t>
      </w:r>
      <w:r w:rsidR="000E1D4E">
        <w:t>is shown as the following table.</w:t>
      </w:r>
      <w:r w:rsidR="00CE4AF7">
        <w:t xml:space="preserve"> </w:t>
      </w:r>
    </w:p>
    <w:p w:rsidR="006426EB" w:rsidRDefault="006426EB" w:rsidP="003B6588">
      <w:pPr>
        <w:ind w:firstLineChars="200" w:firstLine="420"/>
      </w:pPr>
    </w:p>
    <w:p w:rsidR="009211C7" w:rsidRDefault="009211C7" w:rsidP="009211C7">
      <w:pPr>
        <w:jc w:val="center"/>
      </w:pPr>
    </w:p>
    <w:p w:rsidR="009211C7" w:rsidRDefault="009211C7" w:rsidP="009211C7">
      <w:pPr>
        <w:jc w:val="center"/>
      </w:pPr>
      <w:r>
        <w:rPr>
          <w:rFonts w:hint="eastAsia"/>
        </w:rPr>
        <w:t>Fig. 3-</w:t>
      </w:r>
      <w:r>
        <w:t>4. The procedure for error-prone PCR expriment</w:t>
      </w:r>
    </w:p>
    <w:p w:rsidR="000E1D4E" w:rsidRDefault="000E1D4E" w:rsidP="003B6588">
      <w:pPr>
        <w:ind w:firstLineChars="200" w:firstLine="420"/>
      </w:pPr>
    </w:p>
    <w:p w:rsidR="00C1508A" w:rsidRDefault="000E1D4E" w:rsidP="00C1508A">
      <w:pPr>
        <w:ind w:firstLineChars="200" w:firstLine="420"/>
      </w:pPr>
      <w:r>
        <w:t>T</w:t>
      </w:r>
      <w:r>
        <w:rPr>
          <w:rFonts w:hint="eastAsia"/>
        </w:rPr>
        <w:t xml:space="preserve">he library of </w:t>
      </w:r>
      <w:r>
        <w:t xml:space="preserve">promoter </w:t>
      </w:r>
      <w:r>
        <w:rPr>
          <w:rFonts w:hint="eastAsia"/>
        </w:rPr>
        <w:t xml:space="preserve">mutants </w:t>
      </w:r>
      <w:r>
        <w:t xml:space="preserve">obtained from error-prone PCR were ligated into plasmid pRS416 with two restriction sites (BamHI and XbaI). </w:t>
      </w:r>
      <w:r w:rsidR="00C1508A">
        <w:t>After that, we enriched different plasmids from E.coli and established the plasmid library with 132 samples. Then, different plasmids were transferred into S.cerevisiae BY4742</w:t>
      </w:r>
      <w:r w:rsidR="00633033">
        <w:t xml:space="preserve"> to test the fluorescence intensity under different conditions.</w:t>
      </w:r>
    </w:p>
    <w:p w:rsidR="00633033" w:rsidRDefault="00633033" w:rsidP="00C1508A">
      <w:pPr>
        <w:ind w:firstLineChars="200" w:firstLine="420"/>
      </w:pPr>
    </w:p>
    <w:p w:rsidR="00633033" w:rsidRDefault="00633033" w:rsidP="00C1508A">
      <w:pPr>
        <w:ind w:firstLineChars="200" w:firstLine="420"/>
      </w:pPr>
      <w:r>
        <w:t>First, we tested and selected mutants with less leakage. Compared with control group, we test the fluorescence intensity with no induction an</w:t>
      </w:r>
      <w:r w:rsidR="005A2BBD">
        <w:t>d selected two mutants with</w:t>
      </w:r>
      <w:r>
        <w:t xml:space="preserve"> lower fluorescence intensity.</w:t>
      </w:r>
      <w:r w:rsidR="00BC2393">
        <w:t xml:space="preserve"> Actually, </w:t>
      </w:r>
      <w:r w:rsidR="005A2BBD">
        <w:t xml:space="preserve">we test a lot of mutants, but most of them were not </w:t>
      </w:r>
      <w:r w:rsidR="00BC2393">
        <w:t>positive result. We picked EP-3, EP-5, EP-9, and EP-28 whose fluorescence intensity was less or close to the control group, and sequenced them. The sequencing result can be found in the part information: BBa_K2407013 (EP-3), BBa_K2407014 (EP-5), BBa_K2407015 (EP-9), BBa_K2407016 (EP-28).</w:t>
      </w:r>
    </w:p>
    <w:p w:rsidR="00AF7678" w:rsidRDefault="00AF7678" w:rsidP="00AF7678">
      <w:pPr>
        <w:jc w:val="center"/>
      </w:pPr>
      <w:r>
        <w:rPr>
          <w:noProof/>
        </w:rPr>
        <w:drawing>
          <wp:inline distT="0" distB="0" distL="0" distR="0" wp14:anchorId="467AC988" wp14:editId="5625402C">
            <wp:extent cx="6129338" cy="3567114"/>
            <wp:effectExtent l="0" t="0" r="5080" b="14605"/>
            <wp:docPr id="6" name="图表 6">
              <a:extLst xmlns:a="http://schemas.openxmlformats.org/drawingml/2006/main">
                <a:ext uri="{FF2B5EF4-FFF2-40B4-BE49-F238E27FC236}">
                  <a16:creationId xmlns:a16="http://schemas.microsoft.com/office/drawing/2014/main" id="{4CFCE635-98EF-4960-9434-523F87DD91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A2BBD" w:rsidRDefault="005A2BBD" w:rsidP="00AF7678">
      <w:pPr>
        <w:jc w:val="center"/>
      </w:pPr>
      <w:r>
        <w:rPr>
          <w:rFonts w:hint="eastAsia"/>
        </w:rPr>
        <w:t>Fig. 3-</w:t>
      </w:r>
      <w:r>
        <w:t>5</w:t>
      </w:r>
      <w:r w:rsidR="009211C7">
        <w:t>.</w:t>
      </w:r>
      <w:r>
        <w:t xml:space="preserve"> The leakage expression of different promoters</w:t>
      </w:r>
    </w:p>
    <w:p w:rsidR="00AF7678" w:rsidRDefault="00AF7678" w:rsidP="00AF7678">
      <w:pPr>
        <w:jc w:val="center"/>
      </w:pPr>
    </w:p>
    <w:p w:rsidR="00BC2393" w:rsidRDefault="00A915F2" w:rsidP="00BC2393">
      <w:pPr>
        <w:ind w:firstLineChars="200" w:firstLine="420"/>
      </w:pPr>
      <w:r>
        <w:rPr>
          <w:rFonts w:hint="eastAsia"/>
        </w:rPr>
        <w:t xml:space="preserve">Second, we worked on the sensitivity of biosensor. </w:t>
      </w:r>
      <w:r>
        <w:t xml:space="preserve">Leakage expression was not the only thing needed to be solved, and we also needed to increase the response range when it was induced. A good biosensor needs less leakage and more sensitivity. </w:t>
      </w:r>
    </w:p>
    <w:p w:rsidR="00A915F2" w:rsidRPr="00D05B72" w:rsidRDefault="00A915F2" w:rsidP="00BC2393">
      <w:pPr>
        <w:ind w:firstLineChars="200" w:firstLine="420"/>
      </w:pPr>
      <w:r>
        <w:t>We tested the 4 selected biosensor</w:t>
      </w:r>
      <w:r w:rsidR="0047194C">
        <w:t>s</w:t>
      </w:r>
      <w:r>
        <w:t xml:space="preserve"> and control group with </w:t>
      </w:r>
      <w:r w:rsidR="00FC3599">
        <w:t xml:space="preserve">0, 10, 100, 500, and 1000 </w:t>
      </w:r>
      <w:r w:rsidR="00FC3599" w:rsidRPr="00FC3599">
        <w:t>μ</w:t>
      </w:r>
      <w:r w:rsidR="00FC3599">
        <w:t xml:space="preserve">M Cu for 20 min, and the result is shown below with logarithmic coordinates. </w:t>
      </w:r>
    </w:p>
    <w:p w:rsidR="00AA4C98" w:rsidRDefault="00E66989" w:rsidP="00957004">
      <w:pPr>
        <w:jc w:val="center"/>
      </w:pPr>
      <w:r>
        <w:rPr>
          <w:noProof/>
        </w:rPr>
        <w:drawing>
          <wp:inline distT="0" distB="0" distL="0" distR="0" wp14:anchorId="40CDF9BF" wp14:editId="5B453D39">
            <wp:extent cx="7195820" cy="3781425"/>
            <wp:effectExtent l="0" t="0" r="5080" b="9525"/>
            <wp:docPr id="1" name="图表 1">
              <a:extLst xmlns:a="http://schemas.openxmlformats.org/drawingml/2006/main">
                <a:ext uri="{FF2B5EF4-FFF2-40B4-BE49-F238E27FC236}">
                  <a16:creationId xmlns:a16="http://schemas.microsoft.com/office/drawing/2014/main" id="{0B3C50FD-0AB1-41CC-B4D5-C31F1F0D7D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16409" w:rsidRDefault="00216409" w:rsidP="00957004">
      <w:pPr>
        <w:jc w:val="center"/>
      </w:pPr>
      <w:r>
        <w:rPr>
          <w:rFonts w:hint="eastAsia"/>
        </w:rPr>
        <w:t>Fig. 3</w:t>
      </w:r>
      <w:r w:rsidR="005A2BBD">
        <w:t>-6</w:t>
      </w:r>
      <w:r w:rsidR="009211C7">
        <w:t>.</w:t>
      </w:r>
      <w:r w:rsidR="009F61C8">
        <w:t xml:space="preserve"> </w:t>
      </w:r>
      <w:r w:rsidR="009211C7">
        <w:t>Different biosensors showed different sensitivities and response rages</w:t>
      </w:r>
      <w:r>
        <w:rPr>
          <w:rFonts w:hint="eastAsia"/>
        </w:rPr>
        <w:t xml:space="preserve"> </w:t>
      </w:r>
    </w:p>
    <w:p w:rsidR="006C0C82" w:rsidRDefault="0047194C" w:rsidP="0047194C">
      <w:pPr>
        <w:ind w:firstLineChars="200" w:firstLine="420"/>
      </w:pPr>
      <w:r>
        <w:rPr>
          <w:rFonts w:hint="eastAsia"/>
        </w:rPr>
        <w:t>The f</w:t>
      </w:r>
      <w:r>
        <w:t xml:space="preserve">igure shows the response rages of biosensors with </w:t>
      </w:r>
      <w:r w:rsidR="00506623">
        <w:t xml:space="preserve">different promoters within 20 min. For most biosensors, the fluorescence intensity increases as copper ion’s concentration increases from 0 to 100 </w:t>
      </w:r>
      <w:r w:rsidR="00506623" w:rsidRPr="00183B24">
        <w:t>μ</w:t>
      </w:r>
      <w:r w:rsidR="00506623">
        <w:t xml:space="preserve">M. However, when the concentration exceeds 100 </w:t>
      </w:r>
      <w:r w:rsidR="00506623" w:rsidRPr="00183B24">
        <w:t>μ</w:t>
      </w:r>
      <w:r w:rsidR="00183B24">
        <w:t>M,</w:t>
      </w:r>
      <w:r w:rsidR="00506623">
        <w:t xml:space="preserve"> </w:t>
      </w:r>
      <w:r w:rsidR="00183B24">
        <w:t xml:space="preserve">the responses of most biosensor become slow, and the fluorescence intensity decreases. </w:t>
      </w:r>
      <w:r w:rsidR="00183B24" w:rsidRPr="00183B24">
        <w:t>A reasonable explanation is that high concentrations of copper can inhibit the biosensor's response within a short time</w:t>
      </w:r>
      <w:r w:rsidR="00183B24">
        <w:t>.</w:t>
      </w:r>
      <w:r w:rsidR="006C0C82">
        <w:t xml:space="preserve"> </w:t>
      </w:r>
    </w:p>
    <w:p w:rsidR="00E66989" w:rsidRDefault="006C0C82" w:rsidP="0047194C">
      <w:pPr>
        <w:ind w:firstLineChars="200" w:firstLine="420"/>
      </w:pPr>
      <w:r>
        <w:t xml:space="preserve">Fortunately, we still found a biosensor who </w:t>
      </w:r>
      <w:r w:rsidRPr="006C0C82">
        <w:t>met the requirements of an excellent biosensor</w:t>
      </w:r>
      <w:r>
        <w:t>. EP-5 has a less leakage and a higher sensitivity. Its fluorescence intensity is lower than the control group by 17 units with no induction and is higher by 21 units with 100-</w:t>
      </w:r>
      <w:r w:rsidRPr="00183B24">
        <w:t>μ</w:t>
      </w:r>
      <w:r>
        <w:t>M-Cu induction.</w:t>
      </w:r>
      <w:r w:rsidR="00842786">
        <w:t xml:space="preserve"> By aligning the sequence with CUP1 promoter, we found altered bases mainly located at the both sides of UASs and a deletion of one base even </w:t>
      </w:r>
      <w:r w:rsidR="00A02D5E">
        <w:t>occurred between two UASs. We suspected that the change of sensitivity and leakage expression mainly due to the change of space distribution and the increase of A/T concentration, which both could influence the binding procedure of transcription factors.</w:t>
      </w:r>
    </w:p>
    <w:p w:rsidR="00A02D5E" w:rsidRDefault="00A02D5E" w:rsidP="00A02D5E"/>
    <w:p w:rsidR="00A02D5E" w:rsidRDefault="00AF3CD2" w:rsidP="00A02D5E">
      <w:pPr>
        <w:jc w:val="center"/>
      </w:pPr>
      <w:r>
        <w:rPr>
          <w:noProof/>
        </w:rPr>
        <w:drawing>
          <wp:inline distT="0" distB="0" distL="0" distR="0" wp14:anchorId="243C8BF2" wp14:editId="6FD1E0F6">
            <wp:extent cx="7362343" cy="383202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367451" cy="3834684"/>
                    </a:xfrm>
                    <a:prstGeom prst="rect">
                      <a:avLst/>
                    </a:prstGeom>
                  </pic:spPr>
                </pic:pic>
              </a:graphicData>
            </a:graphic>
          </wp:inline>
        </w:drawing>
      </w:r>
    </w:p>
    <w:p w:rsidR="009211C7" w:rsidRDefault="00AF3CD2" w:rsidP="003A1430">
      <w:pPr>
        <w:jc w:val="center"/>
      </w:pPr>
      <w:r>
        <w:rPr>
          <w:rFonts w:hint="eastAsia"/>
        </w:rPr>
        <w:t>Fi</w:t>
      </w:r>
      <w:r>
        <w:t>g. 3-7</w:t>
      </w:r>
      <w:r w:rsidR="009211C7">
        <w:t xml:space="preserve">. </w:t>
      </w:r>
      <w:bookmarkStart w:id="0" w:name="_GoBack"/>
      <w:r w:rsidR="009211C7">
        <w:t>The base changes in EP-5</w:t>
      </w:r>
      <w:bookmarkEnd w:id="0"/>
    </w:p>
    <w:p w:rsidR="003A1430" w:rsidRPr="003A1430" w:rsidRDefault="003A1430" w:rsidP="003A1430">
      <w:pPr>
        <w:pStyle w:val="a6"/>
        <w:rPr>
          <w:rFonts w:eastAsiaTheme="minorEastAsia"/>
        </w:rPr>
      </w:pPr>
      <w:r w:rsidRPr="003A1430">
        <w:rPr>
          <w:rFonts w:eastAsiaTheme="minorEastAsia"/>
        </w:rPr>
        <w:t>Discussion</w:t>
      </w:r>
      <w:r>
        <w:rPr>
          <w:rFonts w:eastAsiaTheme="minorEastAsia"/>
        </w:rPr>
        <w:t xml:space="preserve"> and Future Work</w:t>
      </w:r>
    </w:p>
    <w:p w:rsidR="003A1430" w:rsidRDefault="003A1430" w:rsidP="003A1430">
      <w:pPr>
        <w:ind w:firstLineChars="200" w:firstLine="420"/>
      </w:pPr>
      <w:r>
        <w:rPr>
          <w:rFonts w:hint="eastAsia"/>
        </w:rPr>
        <w:t xml:space="preserve">In our characterization of both </w:t>
      </w:r>
      <w:r>
        <w:t>primary and improved promoters, we found the effect of induction is not as obvious as expected</w:t>
      </w:r>
      <w:r w:rsidR="00C10ADD">
        <w:t xml:space="preserve"> (Previous iGEM team’s results)</w:t>
      </w:r>
      <w:r>
        <w:t xml:space="preserve">. After reading some references, we found the activation process is related to the </w:t>
      </w:r>
      <w:r w:rsidRPr="003A1430">
        <w:t>acetylation of H3 and H4</w:t>
      </w:r>
      <w:r>
        <w:t xml:space="preserve"> located at CUP1 promoter, which showed nucleosome reposition </w:t>
      </w:r>
      <w:r w:rsidR="004401B7">
        <w:t xml:space="preserve">and transcription factors binding </w:t>
      </w:r>
      <w:r>
        <w:t xml:space="preserve">might be </w:t>
      </w:r>
      <w:r w:rsidR="004401B7">
        <w:t xml:space="preserve">the main reason for the activation. However, our biosensors were ligated on plasmid pRS416, which usually exists in the nucleus in a supercoiled state. There is only little possibility for a plasmid to binds to histones, so the transcription process shows </w:t>
      </w:r>
      <w:r w:rsidR="00A14DA3">
        <w:t>less activation than that on a chromosome.</w:t>
      </w:r>
    </w:p>
    <w:p w:rsidR="00A14DA3" w:rsidRDefault="00105A9A" w:rsidP="003A1430">
      <w:pPr>
        <w:ind w:firstLineChars="200" w:firstLine="420"/>
      </w:pPr>
      <w:r>
        <w:t xml:space="preserve">In the future, we plan to construct this biosensor on chromosomes to see whether the result will be more positive. Meanwhile, we will </w:t>
      </w:r>
      <w:r w:rsidR="00C10ADD">
        <w:t>continue enlarging the response peak and rage to improve this biosensor.</w:t>
      </w:r>
    </w:p>
    <w:p w:rsidR="00105A9A" w:rsidRPr="00C10ADD" w:rsidRDefault="00105A9A" w:rsidP="003A1430">
      <w:pPr>
        <w:ind w:firstLineChars="200" w:firstLine="420"/>
      </w:pPr>
    </w:p>
    <w:p w:rsidR="00105A9A" w:rsidRPr="00C10ADD" w:rsidRDefault="00C10ADD" w:rsidP="00C10ADD">
      <w:pPr>
        <w:pStyle w:val="a6"/>
        <w:rPr>
          <w:rFonts w:eastAsiaTheme="minorEastAsia"/>
        </w:rPr>
      </w:pPr>
      <w:r w:rsidRPr="00C10ADD">
        <w:rPr>
          <w:rFonts w:eastAsiaTheme="minorEastAsia" w:hint="eastAsia"/>
        </w:rPr>
        <w:t>Reference</w:t>
      </w:r>
    </w:p>
    <w:p w:rsidR="00105A9A" w:rsidRDefault="005A744B" w:rsidP="003A1430">
      <w:pPr>
        <w:ind w:firstLineChars="200" w:firstLine="400"/>
        <w:rPr>
          <w:rFonts w:ascii="Arial" w:hAnsi="Arial" w:cs="Arial"/>
          <w:color w:val="222222"/>
          <w:sz w:val="20"/>
          <w:szCs w:val="20"/>
          <w:shd w:val="clear" w:color="auto" w:fill="FFFFFF"/>
        </w:rPr>
      </w:pPr>
      <w:r>
        <w:rPr>
          <w:rFonts w:ascii="Arial" w:hAnsi="Arial" w:cs="Arial"/>
          <w:color w:val="222222"/>
          <w:sz w:val="20"/>
          <w:szCs w:val="20"/>
          <w:shd w:val="clear" w:color="auto" w:fill="FFFFFF"/>
        </w:rPr>
        <w:t>Badi, L., &amp; Barberis, A. (2002). The CUP1 upstream repeated element renders CUP1 promoter activation insensitive to mutations in the RNA polymerase II transcription complex. </w:t>
      </w:r>
      <w:r>
        <w:rPr>
          <w:rFonts w:ascii="Arial" w:hAnsi="Arial" w:cs="Arial"/>
          <w:i/>
          <w:iCs/>
          <w:color w:val="222222"/>
          <w:sz w:val="20"/>
          <w:szCs w:val="20"/>
          <w:shd w:val="clear" w:color="auto" w:fill="FFFFFF"/>
        </w:rPr>
        <w:t>Nucleic acids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30</w:t>
      </w:r>
      <w:r>
        <w:rPr>
          <w:rFonts w:ascii="Arial" w:hAnsi="Arial" w:cs="Arial"/>
          <w:color w:val="222222"/>
          <w:sz w:val="20"/>
          <w:szCs w:val="20"/>
          <w:shd w:val="clear" w:color="auto" w:fill="FFFFFF"/>
        </w:rPr>
        <w:t>(6), 1306-1315.</w:t>
      </w:r>
    </w:p>
    <w:p w:rsidR="00F32BAA" w:rsidRDefault="00F32BAA" w:rsidP="00F32BAA">
      <w:pPr>
        <w:ind w:firstLineChars="200" w:firstLine="400"/>
      </w:pPr>
      <w:r>
        <w:rPr>
          <w:rFonts w:ascii="Arial" w:hAnsi="Arial" w:cs="Arial"/>
          <w:color w:val="222222"/>
          <w:sz w:val="20"/>
          <w:szCs w:val="20"/>
          <w:shd w:val="clear" w:color="auto" w:fill="FFFFFF"/>
        </w:rPr>
        <w:t>Koller, A., Valesco, J., &amp; Subramani, S. (2000). The CUP1 promoter of Saccharomyces cerevisiae is inducible by copper in Pichia pastoris. </w:t>
      </w:r>
      <w:r>
        <w:rPr>
          <w:rFonts w:ascii="Arial" w:hAnsi="Arial" w:cs="Arial"/>
          <w:i/>
          <w:iCs/>
          <w:color w:val="222222"/>
          <w:sz w:val="20"/>
          <w:szCs w:val="20"/>
          <w:shd w:val="clear" w:color="auto" w:fill="FFFFFF"/>
        </w:rPr>
        <w:t>Yeast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16</w:t>
      </w:r>
      <w:r>
        <w:rPr>
          <w:rFonts w:ascii="Arial" w:hAnsi="Arial" w:cs="Arial"/>
          <w:color w:val="222222"/>
          <w:sz w:val="20"/>
          <w:szCs w:val="20"/>
          <w:shd w:val="clear" w:color="auto" w:fill="FFFFFF"/>
        </w:rPr>
        <w:t>(7), 651-656.</w:t>
      </w:r>
    </w:p>
    <w:p w:rsidR="00105A9A" w:rsidRPr="00F32BAA" w:rsidRDefault="005A744B" w:rsidP="00F32BAA">
      <w:pPr>
        <w:ind w:firstLineChars="200" w:firstLine="400"/>
      </w:pPr>
      <w:r>
        <w:rPr>
          <w:rFonts w:ascii="Arial" w:hAnsi="Arial" w:cs="Arial"/>
          <w:color w:val="222222"/>
          <w:sz w:val="20"/>
          <w:szCs w:val="20"/>
          <w:shd w:val="clear" w:color="auto" w:fill="FFFFFF"/>
        </w:rPr>
        <w:t>Labbé, S., &amp; Thiele, D. J. (1999). [8] Copper ion inducible and repressible promoter systems in yeast. </w:t>
      </w:r>
      <w:r>
        <w:rPr>
          <w:rFonts w:ascii="Arial" w:hAnsi="Arial" w:cs="Arial"/>
          <w:i/>
          <w:iCs/>
          <w:color w:val="222222"/>
          <w:sz w:val="20"/>
          <w:szCs w:val="20"/>
          <w:shd w:val="clear" w:color="auto" w:fill="FFFFFF"/>
        </w:rPr>
        <w:t>Methods in enzymology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306</w:t>
      </w:r>
      <w:r>
        <w:rPr>
          <w:rFonts w:ascii="Arial" w:hAnsi="Arial" w:cs="Arial"/>
          <w:color w:val="222222"/>
          <w:sz w:val="20"/>
          <w:szCs w:val="20"/>
          <w:shd w:val="clear" w:color="auto" w:fill="FFFFFF"/>
        </w:rPr>
        <w:t>, 145-153.</w:t>
      </w:r>
    </w:p>
    <w:p w:rsidR="00F32BAA" w:rsidRDefault="00F32BAA" w:rsidP="003A1430">
      <w:pPr>
        <w:ind w:firstLineChars="200" w:firstLine="400"/>
        <w:rPr>
          <w:rFonts w:ascii="Arial" w:hAnsi="Arial" w:cs="Arial"/>
          <w:color w:val="222222"/>
          <w:sz w:val="20"/>
          <w:szCs w:val="20"/>
          <w:shd w:val="clear" w:color="auto" w:fill="FFFFFF"/>
        </w:rPr>
      </w:pPr>
      <w:r>
        <w:rPr>
          <w:rFonts w:ascii="Arial" w:hAnsi="Arial" w:cs="Arial"/>
          <w:color w:val="222222"/>
          <w:sz w:val="20"/>
          <w:szCs w:val="20"/>
          <w:shd w:val="clear" w:color="auto" w:fill="FFFFFF"/>
        </w:rPr>
        <w:t>Leblanc, B. P., Benham, C. J., &amp; Clark, D. J. (2000). An initiation element in the yeast CUP1 promoter is recognized by RNA polymerase II in the absence of TATA box-binding protein if the DNA is negatively supercoiled. </w:t>
      </w:r>
      <w:r>
        <w:rPr>
          <w:rFonts w:ascii="Arial" w:hAnsi="Arial" w:cs="Arial"/>
          <w:i/>
          <w:iCs/>
          <w:color w:val="222222"/>
          <w:sz w:val="20"/>
          <w:szCs w:val="20"/>
          <w:shd w:val="clear" w:color="auto" w:fill="FFFFFF"/>
        </w:rPr>
        <w:t>Proceedings of the National Academy of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97</w:t>
      </w:r>
      <w:r>
        <w:rPr>
          <w:rFonts w:ascii="Arial" w:hAnsi="Arial" w:cs="Arial"/>
          <w:color w:val="222222"/>
          <w:sz w:val="20"/>
          <w:szCs w:val="20"/>
          <w:shd w:val="clear" w:color="auto" w:fill="FFFFFF"/>
        </w:rPr>
        <w:t>(20), 10745-10750.</w:t>
      </w:r>
    </w:p>
    <w:p w:rsidR="00F32BAA" w:rsidRDefault="00F32BAA" w:rsidP="003A1430">
      <w:pPr>
        <w:ind w:firstLineChars="200" w:firstLine="400"/>
      </w:pPr>
      <w:r>
        <w:rPr>
          <w:rFonts w:ascii="Arial" w:hAnsi="Arial" w:cs="Arial"/>
          <w:color w:val="222222"/>
          <w:sz w:val="20"/>
          <w:szCs w:val="20"/>
          <w:shd w:val="clear" w:color="auto" w:fill="FFFFFF"/>
        </w:rPr>
        <w:t>Shen, C. H., Leblanc, B. P., Neal, C., Akhavan, R., &amp; Clark, D. J. (2002). Targeted histone acetylation at the yeast CUP1 promoter requires the transcriptional activator, the TATA boxes, and the putative histone acetylase encoded by SPT10. </w:t>
      </w:r>
      <w:r>
        <w:rPr>
          <w:rFonts w:ascii="Arial" w:hAnsi="Arial" w:cs="Arial"/>
          <w:i/>
          <w:iCs/>
          <w:color w:val="222222"/>
          <w:sz w:val="20"/>
          <w:szCs w:val="20"/>
          <w:shd w:val="clear" w:color="auto" w:fill="FFFFFF"/>
        </w:rPr>
        <w:t>Molecular and cellular biology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22</w:t>
      </w:r>
      <w:r>
        <w:rPr>
          <w:rFonts w:ascii="Arial" w:hAnsi="Arial" w:cs="Arial"/>
          <w:color w:val="222222"/>
          <w:sz w:val="20"/>
          <w:szCs w:val="20"/>
          <w:shd w:val="clear" w:color="auto" w:fill="FFFFFF"/>
        </w:rPr>
        <w:t>(18), 6406-6416.</w:t>
      </w:r>
    </w:p>
    <w:p w:rsidR="00105A9A" w:rsidRDefault="00105A9A" w:rsidP="00531F9E">
      <w:pPr>
        <w:jc w:val="center"/>
      </w:pPr>
      <w:r>
        <w:rPr>
          <w:noProof/>
        </w:rPr>
        <w:drawing>
          <wp:inline distT="0" distB="0" distL="0" distR="0" wp14:anchorId="70004093" wp14:editId="099ED3F5">
            <wp:extent cx="7343775" cy="4067175"/>
            <wp:effectExtent l="0" t="0" r="9525" b="9525"/>
            <wp:docPr id="8" name="图表 8">
              <a:extLst xmlns:a="http://schemas.openxmlformats.org/drawingml/2006/main">
                <a:ext uri="{FF2B5EF4-FFF2-40B4-BE49-F238E27FC236}">
                  <a16:creationId xmlns:a16="http://schemas.microsoft.com/office/drawing/2014/main" id="{FE95FB3D-AB96-4096-817E-4E5E097535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ectPr w:rsidR="00105A9A" w:rsidSect="00E66989">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2D19" w:rsidRDefault="00C02D19" w:rsidP="00E66989">
      <w:r>
        <w:separator/>
      </w:r>
    </w:p>
  </w:endnote>
  <w:endnote w:type="continuationSeparator" w:id="0">
    <w:p w:rsidR="00C02D19" w:rsidRDefault="00C02D19" w:rsidP="00E66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2D19" w:rsidRDefault="00C02D19" w:rsidP="00E66989">
      <w:r>
        <w:separator/>
      </w:r>
    </w:p>
  </w:footnote>
  <w:footnote w:type="continuationSeparator" w:id="0">
    <w:p w:rsidR="00C02D19" w:rsidRDefault="00C02D19" w:rsidP="00E669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455BC"/>
    <w:multiLevelType w:val="hybridMultilevel"/>
    <w:tmpl w:val="638ECB94"/>
    <w:lvl w:ilvl="0" w:tplc="71F2C576">
      <w:start w:val="1"/>
      <w:numFmt w:val="decimal"/>
      <w:pStyle w:val="a"/>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989"/>
    <w:rsid w:val="00032E47"/>
    <w:rsid w:val="00097CC5"/>
    <w:rsid w:val="000E1D4E"/>
    <w:rsid w:val="000F6C09"/>
    <w:rsid w:val="00105A9A"/>
    <w:rsid w:val="00183B24"/>
    <w:rsid w:val="00187D1F"/>
    <w:rsid w:val="001B1850"/>
    <w:rsid w:val="001F607E"/>
    <w:rsid w:val="002158F9"/>
    <w:rsid w:val="00216409"/>
    <w:rsid w:val="0025474B"/>
    <w:rsid w:val="00341544"/>
    <w:rsid w:val="00353A76"/>
    <w:rsid w:val="00361CFC"/>
    <w:rsid w:val="00377870"/>
    <w:rsid w:val="003A1430"/>
    <w:rsid w:val="003B6588"/>
    <w:rsid w:val="003E4EDB"/>
    <w:rsid w:val="00411932"/>
    <w:rsid w:val="00432A30"/>
    <w:rsid w:val="004401B7"/>
    <w:rsid w:val="004439A5"/>
    <w:rsid w:val="00445488"/>
    <w:rsid w:val="0047194C"/>
    <w:rsid w:val="004B715F"/>
    <w:rsid w:val="004D2EF5"/>
    <w:rsid w:val="00506623"/>
    <w:rsid w:val="00531F9E"/>
    <w:rsid w:val="005A2BBD"/>
    <w:rsid w:val="005A744B"/>
    <w:rsid w:val="005E5846"/>
    <w:rsid w:val="00633033"/>
    <w:rsid w:val="006426EB"/>
    <w:rsid w:val="0066207C"/>
    <w:rsid w:val="006C0C82"/>
    <w:rsid w:val="006E1D98"/>
    <w:rsid w:val="0073526A"/>
    <w:rsid w:val="007B102D"/>
    <w:rsid w:val="00842786"/>
    <w:rsid w:val="00894127"/>
    <w:rsid w:val="008955C9"/>
    <w:rsid w:val="008C0E2D"/>
    <w:rsid w:val="009159D2"/>
    <w:rsid w:val="009211C7"/>
    <w:rsid w:val="00957004"/>
    <w:rsid w:val="009A1FC4"/>
    <w:rsid w:val="009C5740"/>
    <w:rsid w:val="009F61C8"/>
    <w:rsid w:val="00A02D5E"/>
    <w:rsid w:val="00A14DA3"/>
    <w:rsid w:val="00A523FE"/>
    <w:rsid w:val="00A904E9"/>
    <w:rsid w:val="00A915F2"/>
    <w:rsid w:val="00AA4C98"/>
    <w:rsid w:val="00AB2ACF"/>
    <w:rsid w:val="00AD480C"/>
    <w:rsid w:val="00AF3CD2"/>
    <w:rsid w:val="00AF7678"/>
    <w:rsid w:val="00B153F7"/>
    <w:rsid w:val="00B6252E"/>
    <w:rsid w:val="00B7156C"/>
    <w:rsid w:val="00B91F2D"/>
    <w:rsid w:val="00BC2393"/>
    <w:rsid w:val="00C02D19"/>
    <w:rsid w:val="00C05CAA"/>
    <w:rsid w:val="00C10ADD"/>
    <w:rsid w:val="00C13E4B"/>
    <w:rsid w:val="00C1508A"/>
    <w:rsid w:val="00C30164"/>
    <w:rsid w:val="00CE2874"/>
    <w:rsid w:val="00CE4AF7"/>
    <w:rsid w:val="00D05B72"/>
    <w:rsid w:val="00D24378"/>
    <w:rsid w:val="00D304A7"/>
    <w:rsid w:val="00D57B23"/>
    <w:rsid w:val="00D83D10"/>
    <w:rsid w:val="00DB2B8F"/>
    <w:rsid w:val="00DC335F"/>
    <w:rsid w:val="00E66989"/>
    <w:rsid w:val="00E9745F"/>
    <w:rsid w:val="00EB53F9"/>
    <w:rsid w:val="00F15044"/>
    <w:rsid w:val="00F32BAA"/>
    <w:rsid w:val="00F9735A"/>
    <w:rsid w:val="00FC3599"/>
    <w:rsid w:val="00FD2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0B04D"/>
  <w15:chartTrackingRefBased/>
  <w15:docId w15:val="{3325F091-9EE8-4276-9763-8E449A035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C13E4B"/>
    <w:pPr>
      <w:keepNext/>
      <w:keepLines/>
      <w:spacing w:before="340" w:after="330" w:line="578" w:lineRule="auto"/>
      <w:outlineLvl w:val="0"/>
    </w:pPr>
    <w:rPr>
      <w:b/>
      <w:bCs/>
      <w:kern w:val="44"/>
      <w:sz w:val="44"/>
      <w:szCs w:val="44"/>
    </w:rPr>
  </w:style>
  <w:style w:type="paragraph" w:styleId="2">
    <w:name w:val="heading 2"/>
    <w:basedOn w:val="a0"/>
    <w:link w:val="20"/>
    <w:uiPriority w:val="9"/>
    <w:qFormat/>
    <w:rsid w:val="00C13E4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0"/>
    <w:next w:val="a0"/>
    <w:link w:val="30"/>
    <w:uiPriority w:val="9"/>
    <w:unhideWhenUsed/>
    <w:qFormat/>
    <w:rsid w:val="009159D2"/>
    <w:pPr>
      <w:keepNext/>
      <w:keepLines/>
      <w:spacing w:before="260" w:after="260" w:line="416" w:lineRule="auto"/>
      <w:outlineLvl w:val="2"/>
    </w:pPr>
    <w:rPr>
      <w:b/>
      <w:bCs/>
      <w:sz w:val="32"/>
      <w:szCs w:val="32"/>
    </w:rPr>
  </w:style>
  <w:style w:type="paragraph" w:styleId="9">
    <w:name w:val="heading 9"/>
    <w:basedOn w:val="a0"/>
    <w:next w:val="a0"/>
    <w:link w:val="90"/>
    <w:uiPriority w:val="9"/>
    <w:semiHidden/>
    <w:unhideWhenUsed/>
    <w:qFormat/>
    <w:rsid w:val="009159D2"/>
    <w:pPr>
      <w:keepNext/>
      <w:keepLines/>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主标题"/>
    <w:basedOn w:val="3"/>
    <w:link w:val="a5"/>
    <w:qFormat/>
    <w:rsid w:val="009159D2"/>
    <w:pPr>
      <w:spacing w:before="140" w:after="140"/>
      <w:jc w:val="center"/>
    </w:pPr>
    <w:rPr>
      <w:rFonts w:ascii="Times New Roman" w:eastAsia="Times New Roman" w:hAnsi="Times New Roman" w:cs="Times New Roman"/>
      <w:sz w:val="28"/>
    </w:rPr>
  </w:style>
  <w:style w:type="character" w:customStyle="1" w:styleId="a5">
    <w:name w:val="主标题 字符"/>
    <w:basedOn w:val="30"/>
    <w:link w:val="a4"/>
    <w:rsid w:val="009159D2"/>
    <w:rPr>
      <w:rFonts w:ascii="Times New Roman" w:eastAsia="Times New Roman" w:hAnsi="Times New Roman" w:cs="Times New Roman"/>
      <w:b/>
      <w:bCs/>
      <w:sz w:val="28"/>
      <w:szCs w:val="32"/>
    </w:rPr>
  </w:style>
  <w:style w:type="character" w:customStyle="1" w:styleId="30">
    <w:name w:val="标题 3 字符"/>
    <w:basedOn w:val="a1"/>
    <w:link w:val="3"/>
    <w:uiPriority w:val="9"/>
    <w:rsid w:val="009159D2"/>
    <w:rPr>
      <w:b/>
      <w:bCs/>
      <w:sz w:val="32"/>
      <w:szCs w:val="32"/>
    </w:rPr>
  </w:style>
  <w:style w:type="paragraph" w:customStyle="1" w:styleId="a6">
    <w:name w:val="分标题"/>
    <w:basedOn w:val="a7"/>
    <w:next w:val="a0"/>
    <w:link w:val="a8"/>
    <w:qFormat/>
    <w:rsid w:val="009159D2"/>
    <w:pPr>
      <w:spacing w:before="360" w:after="180"/>
      <w:jc w:val="left"/>
    </w:pPr>
    <w:rPr>
      <w:rFonts w:ascii="Times New Roman" w:eastAsia="Times New Roman" w:hAnsi="Times New Roman" w:cs="Times New Roman"/>
      <w:sz w:val="24"/>
    </w:rPr>
  </w:style>
  <w:style w:type="character" w:customStyle="1" w:styleId="a8">
    <w:name w:val="分标题 字符"/>
    <w:basedOn w:val="a1"/>
    <w:link w:val="a6"/>
    <w:rsid w:val="009159D2"/>
    <w:rPr>
      <w:rFonts w:ascii="Times New Roman" w:eastAsia="Times New Roman" w:hAnsi="Times New Roman" w:cs="Times New Roman"/>
      <w:b/>
      <w:bCs/>
      <w:kern w:val="28"/>
      <w:sz w:val="24"/>
      <w:szCs w:val="32"/>
    </w:rPr>
  </w:style>
  <w:style w:type="paragraph" w:styleId="a7">
    <w:name w:val="Subtitle"/>
    <w:basedOn w:val="a0"/>
    <w:next w:val="a0"/>
    <w:link w:val="a9"/>
    <w:uiPriority w:val="11"/>
    <w:qFormat/>
    <w:rsid w:val="009159D2"/>
    <w:pPr>
      <w:spacing w:before="240" w:after="60" w:line="312" w:lineRule="auto"/>
      <w:jc w:val="center"/>
      <w:outlineLvl w:val="1"/>
    </w:pPr>
    <w:rPr>
      <w:b/>
      <w:bCs/>
      <w:kern w:val="28"/>
      <w:sz w:val="32"/>
      <w:szCs w:val="32"/>
    </w:rPr>
  </w:style>
  <w:style w:type="character" w:customStyle="1" w:styleId="a9">
    <w:name w:val="副标题 字符"/>
    <w:basedOn w:val="a1"/>
    <w:link w:val="a7"/>
    <w:uiPriority w:val="11"/>
    <w:rsid w:val="009159D2"/>
    <w:rPr>
      <w:b/>
      <w:bCs/>
      <w:kern w:val="28"/>
      <w:sz w:val="32"/>
      <w:szCs w:val="32"/>
    </w:rPr>
  </w:style>
  <w:style w:type="paragraph" w:customStyle="1" w:styleId="a">
    <w:name w:val="小标题"/>
    <w:basedOn w:val="9"/>
    <w:link w:val="aa"/>
    <w:qFormat/>
    <w:rsid w:val="009159D2"/>
    <w:pPr>
      <w:numPr>
        <w:numId w:val="1"/>
      </w:numPr>
      <w:spacing w:before="120" w:after="120" w:line="360" w:lineRule="auto"/>
      <w:jc w:val="left"/>
    </w:pPr>
    <w:rPr>
      <w:rFonts w:ascii="Times New Roman" w:eastAsia="Times New Roman" w:hAnsi="Times New Roman" w:cs="Times New Roman"/>
    </w:rPr>
  </w:style>
  <w:style w:type="character" w:customStyle="1" w:styleId="aa">
    <w:name w:val="小标题 字符"/>
    <w:basedOn w:val="a1"/>
    <w:link w:val="a"/>
    <w:rsid w:val="009159D2"/>
    <w:rPr>
      <w:rFonts w:ascii="Times New Roman" w:eastAsia="Times New Roman" w:hAnsi="Times New Roman" w:cs="Times New Roman"/>
      <w:szCs w:val="21"/>
    </w:rPr>
  </w:style>
  <w:style w:type="character" w:customStyle="1" w:styleId="90">
    <w:name w:val="标题 9 字符"/>
    <w:basedOn w:val="a1"/>
    <w:link w:val="9"/>
    <w:uiPriority w:val="9"/>
    <w:semiHidden/>
    <w:rsid w:val="009159D2"/>
    <w:rPr>
      <w:rFonts w:asciiTheme="majorHAnsi" w:eastAsiaTheme="majorEastAsia" w:hAnsiTheme="majorHAnsi" w:cstheme="majorBidi"/>
      <w:szCs w:val="21"/>
    </w:rPr>
  </w:style>
  <w:style w:type="paragraph" w:styleId="ab">
    <w:name w:val="header"/>
    <w:basedOn w:val="a0"/>
    <w:link w:val="ac"/>
    <w:uiPriority w:val="99"/>
    <w:unhideWhenUsed/>
    <w:rsid w:val="00E66989"/>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1"/>
    <w:link w:val="ab"/>
    <w:uiPriority w:val="99"/>
    <w:rsid w:val="00E66989"/>
    <w:rPr>
      <w:sz w:val="18"/>
      <w:szCs w:val="18"/>
    </w:rPr>
  </w:style>
  <w:style w:type="paragraph" w:styleId="ad">
    <w:name w:val="footer"/>
    <w:basedOn w:val="a0"/>
    <w:link w:val="ae"/>
    <w:uiPriority w:val="99"/>
    <w:unhideWhenUsed/>
    <w:rsid w:val="00E66989"/>
    <w:pPr>
      <w:tabs>
        <w:tab w:val="center" w:pos="4153"/>
        <w:tab w:val="right" w:pos="8306"/>
      </w:tabs>
      <w:snapToGrid w:val="0"/>
      <w:jc w:val="left"/>
    </w:pPr>
    <w:rPr>
      <w:sz w:val="18"/>
      <w:szCs w:val="18"/>
    </w:rPr>
  </w:style>
  <w:style w:type="character" w:customStyle="1" w:styleId="ae">
    <w:name w:val="页脚 字符"/>
    <w:basedOn w:val="a1"/>
    <w:link w:val="ad"/>
    <w:uiPriority w:val="99"/>
    <w:rsid w:val="00E66989"/>
    <w:rPr>
      <w:sz w:val="18"/>
      <w:szCs w:val="18"/>
    </w:rPr>
  </w:style>
  <w:style w:type="paragraph" w:styleId="af">
    <w:name w:val="Normal (Web)"/>
    <w:basedOn w:val="a0"/>
    <w:uiPriority w:val="99"/>
    <w:semiHidden/>
    <w:unhideWhenUsed/>
    <w:rsid w:val="000F6C09"/>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1"/>
    <w:link w:val="2"/>
    <w:uiPriority w:val="9"/>
    <w:rsid w:val="00C13E4B"/>
    <w:rPr>
      <w:rFonts w:ascii="宋体" w:eastAsia="宋体" w:hAnsi="宋体" w:cs="宋体"/>
      <w:b/>
      <w:bCs/>
      <w:kern w:val="0"/>
      <w:sz w:val="36"/>
      <w:szCs w:val="36"/>
    </w:rPr>
  </w:style>
  <w:style w:type="character" w:customStyle="1" w:styleId="10">
    <w:name w:val="标题 1 字符"/>
    <w:basedOn w:val="a1"/>
    <w:link w:val="1"/>
    <w:uiPriority w:val="9"/>
    <w:rsid w:val="00C13E4B"/>
    <w:rPr>
      <w:b/>
      <w:bCs/>
      <w:kern w:val="44"/>
      <w:sz w:val="44"/>
      <w:szCs w:val="44"/>
    </w:rPr>
  </w:style>
  <w:style w:type="character" w:styleId="af0">
    <w:name w:val="Hyperlink"/>
    <w:basedOn w:val="a1"/>
    <w:uiPriority w:val="99"/>
    <w:semiHidden/>
    <w:unhideWhenUsed/>
    <w:rsid w:val="00D05B72"/>
    <w:rPr>
      <w:color w:val="0000FF"/>
      <w:u w:val="single"/>
    </w:rPr>
  </w:style>
  <w:style w:type="character" w:customStyle="1" w:styleId="shorttext">
    <w:name w:val="short_text"/>
    <w:basedOn w:val="a1"/>
    <w:rsid w:val="00FC3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761974">
      <w:bodyDiv w:val="1"/>
      <w:marLeft w:val="0"/>
      <w:marRight w:val="0"/>
      <w:marTop w:val="0"/>
      <w:marBottom w:val="0"/>
      <w:divBdr>
        <w:top w:val="none" w:sz="0" w:space="0" w:color="auto"/>
        <w:left w:val="none" w:sz="0" w:space="0" w:color="auto"/>
        <w:bottom w:val="none" w:sz="0" w:space="0" w:color="auto"/>
        <w:right w:val="none" w:sz="0" w:space="0" w:color="auto"/>
      </w:divBdr>
    </w:div>
    <w:div w:id="76226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ickeyHan\Desktop\10.3&#27979;&#37327;&#32467;&#2652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ickeyHan\Desktop\&#33639;&#20809;\10.22&#27979;&#37327;&#32467;&#2652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MickeyHan\Documents\EP&#21463;&#27987;&#24230;&#21464;&#21270;&#26354;&#32447;.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ickeyHan\Desktop\&#33639;&#20809;\10.17&#12289;18&#22825;&#27941;&#31185;&#25216;&#22823;&#23398;&#27979;&#37327;&#32467;&#26524;new&#26657;&#2749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035870516185478"/>
          <c:y val="9.8535641420384346E-2"/>
          <c:w val="0.81641907261592306"/>
          <c:h val="0.74661012689997697"/>
        </c:manualLayout>
      </c:layout>
      <c:scatterChart>
        <c:scatterStyle val="smoothMarker"/>
        <c:varyColors val="0"/>
        <c:ser>
          <c:idx val="0"/>
          <c:order val="0"/>
          <c:tx>
            <c:v>No induction</c:v>
          </c:tx>
          <c:spPr>
            <a:ln w="19050" cap="rnd">
              <a:solidFill>
                <a:schemeClr val="accent1"/>
              </a:solidFill>
              <a:round/>
            </a:ln>
            <a:effectLst/>
          </c:spPr>
          <c:marker>
            <c:symbol val="circle"/>
            <c:size val="5"/>
            <c:spPr>
              <a:solidFill>
                <a:schemeClr val="accent1"/>
              </a:solidFill>
              <a:ln w="9525">
                <a:solidFill>
                  <a:schemeClr val="accent1"/>
                </a:solidFill>
              </a:ln>
              <a:effectLst/>
            </c:spPr>
          </c:marker>
          <c:errBars>
            <c:errDir val="x"/>
            <c:errBarType val="both"/>
            <c:errValType val="fixedVal"/>
            <c:noEndCap val="0"/>
            <c:val val="0"/>
            <c:spPr>
              <a:noFill/>
              <a:ln w="9525" cap="flat" cmpd="sng" algn="ctr">
                <a:solidFill>
                  <a:schemeClr val="tx1">
                    <a:lumMod val="65000"/>
                    <a:lumOff val="35000"/>
                  </a:schemeClr>
                </a:solidFill>
                <a:round/>
              </a:ln>
              <a:effectLst/>
            </c:spPr>
          </c:errBars>
          <c:errBars>
            <c:errDir val="y"/>
            <c:errBarType val="both"/>
            <c:errValType val="percentage"/>
            <c:noEndCap val="0"/>
            <c:val val="20"/>
            <c:spPr>
              <a:noFill/>
              <a:ln w="9525" cap="flat" cmpd="sng" algn="ctr">
                <a:solidFill>
                  <a:schemeClr val="tx1">
                    <a:lumMod val="65000"/>
                    <a:lumOff val="35000"/>
                  </a:schemeClr>
                </a:solidFill>
                <a:round/>
              </a:ln>
              <a:effectLst/>
            </c:spPr>
          </c:errBars>
          <c:xVal>
            <c:numRef>
              <c:f>Sheet1!$B$15:$F$15</c:f>
              <c:numCache>
                <c:formatCode>General</c:formatCode>
                <c:ptCount val="5"/>
                <c:pt idx="0">
                  <c:v>0</c:v>
                </c:pt>
                <c:pt idx="1">
                  <c:v>1</c:v>
                </c:pt>
                <c:pt idx="2">
                  <c:v>6</c:v>
                </c:pt>
                <c:pt idx="3">
                  <c:v>12</c:v>
                </c:pt>
                <c:pt idx="4">
                  <c:v>24</c:v>
                </c:pt>
              </c:numCache>
            </c:numRef>
          </c:xVal>
          <c:yVal>
            <c:numRef>
              <c:f>Sheet1!$B$16:$F$16</c:f>
              <c:numCache>
                <c:formatCode>General</c:formatCode>
                <c:ptCount val="5"/>
                <c:pt idx="0">
                  <c:v>0</c:v>
                </c:pt>
                <c:pt idx="1">
                  <c:v>106.86265636831999</c:v>
                </c:pt>
                <c:pt idx="2">
                  <c:v>104.77395844601904</c:v>
                </c:pt>
                <c:pt idx="3">
                  <c:v>105.81830740716951</c:v>
                </c:pt>
                <c:pt idx="4">
                  <c:v>97.818307407169513</c:v>
                </c:pt>
              </c:numCache>
            </c:numRef>
          </c:yVal>
          <c:smooth val="1"/>
          <c:extLst>
            <c:ext xmlns:c16="http://schemas.microsoft.com/office/drawing/2014/chart" uri="{C3380CC4-5D6E-409C-BE32-E72D297353CC}">
              <c16:uniqueId val="{00000000-5206-450E-A6C5-86E094F79755}"/>
            </c:ext>
          </c:extLst>
        </c:ser>
        <c:ser>
          <c:idx val="1"/>
          <c:order val="1"/>
          <c:tx>
            <c:v>0.1 mM CuSO4 induction</c:v>
          </c:tx>
          <c:spPr>
            <a:ln w="19050" cap="rnd">
              <a:solidFill>
                <a:schemeClr val="accent2"/>
              </a:solidFill>
              <a:round/>
            </a:ln>
            <a:effectLst/>
          </c:spPr>
          <c:marker>
            <c:symbol val="circle"/>
            <c:size val="5"/>
            <c:spPr>
              <a:solidFill>
                <a:schemeClr val="accent2"/>
              </a:solidFill>
              <a:ln w="9525">
                <a:solidFill>
                  <a:schemeClr val="accent2"/>
                </a:solidFill>
              </a:ln>
              <a:effectLst/>
            </c:spPr>
          </c:marker>
          <c:errBars>
            <c:errDir val="x"/>
            <c:errBarType val="both"/>
            <c:errValType val="fixedVal"/>
            <c:noEndCap val="0"/>
            <c:val val="0"/>
            <c:spPr>
              <a:noFill/>
              <a:ln w="9525" cap="flat" cmpd="sng" algn="ctr">
                <a:solidFill>
                  <a:schemeClr val="tx1">
                    <a:lumMod val="65000"/>
                    <a:lumOff val="35000"/>
                  </a:schemeClr>
                </a:solidFill>
                <a:round/>
              </a:ln>
              <a:effectLst/>
            </c:spPr>
          </c:errBars>
          <c:errBars>
            <c:errDir val="y"/>
            <c:errBarType val="both"/>
            <c:errValType val="percentage"/>
            <c:noEndCap val="0"/>
            <c:val val="10"/>
            <c:spPr>
              <a:noFill/>
              <a:ln w="9525" cap="flat" cmpd="sng" algn="ctr">
                <a:solidFill>
                  <a:schemeClr val="tx1">
                    <a:lumMod val="65000"/>
                    <a:lumOff val="35000"/>
                  </a:schemeClr>
                </a:solidFill>
                <a:round/>
              </a:ln>
              <a:effectLst/>
            </c:spPr>
          </c:errBars>
          <c:xVal>
            <c:numRef>
              <c:f>Sheet1!$B$15:$F$15</c:f>
              <c:numCache>
                <c:formatCode>General</c:formatCode>
                <c:ptCount val="5"/>
                <c:pt idx="0">
                  <c:v>0</c:v>
                </c:pt>
                <c:pt idx="1">
                  <c:v>1</c:v>
                </c:pt>
                <c:pt idx="2">
                  <c:v>6</c:v>
                </c:pt>
                <c:pt idx="3">
                  <c:v>12</c:v>
                </c:pt>
                <c:pt idx="4">
                  <c:v>24</c:v>
                </c:pt>
              </c:numCache>
            </c:numRef>
          </c:xVal>
          <c:yVal>
            <c:numRef>
              <c:f>Sheet1!$B$17:$F$17</c:f>
              <c:numCache>
                <c:formatCode>General</c:formatCode>
                <c:ptCount val="5"/>
                <c:pt idx="0">
                  <c:v>0</c:v>
                </c:pt>
                <c:pt idx="1">
                  <c:v>204.77942391641363</c:v>
                </c:pt>
                <c:pt idx="2">
                  <c:v>196.34879477268419</c:v>
                </c:pt>
                <c:pt idx="3">
                  <c:v>186.51052912562648</c:v>
                </c:pt>
                <c:pt idx="4">
                  <c:v>156.51052912562648</c:v>
                </c:pt>
              </c:numCache>
            </c:numRef>
          </c:yVal>
          <c:smooth val="1"/>
          <c:extLst>
            <c:ext xmlns:c16="http://schemas.microsoft.com/office/drawing/2014/chart" uri="{C3380CC4-5D6E-409C-BE32-E72D297353CC}">
              <c16:uniqueId val="{00000001-5206-450E-A6C5-86E094F79755}"/>
            </c:ext>
          </c:extLst>
        </c:ser>
        <c:ser>
          <c:idx val="2"/>
          <c:order val="2"/>
          <c:tx>
            <c:v>1 mM CuSO4 induction</c:v>
          </c:tx>
          <c:spPr>
            <a:ln w="19050" cap="rnd">
              <a:solidFill>
                <a:schemeClr val="accent3"/>
              </a:solidFill>
              <a:round/>
            </a:ln>
            <a:effectLst/>
          </c:spPr>
          <c:marker>
            <c:symbol val="circle"/>
            <c:size val="5"/>
            <c:spPr>
              <a:solidFill>
                <a:schemeClr val="accent3"/>
              </a:solidFill>
              <a:ln w="9525">
                <a:solidFill>
                  <a:schemeClr val="accent3"/>
                </a:solidFill>
              </a:ln>
              <a:effectLst/>
            </c:spPr>
          </c:marker>
          <c:errBars>
            <c:errDir val="x"/>
            <c:errBarType val="both"/>
            <c:errValType val="fixedVal"/>
            <c:noEndCap val="0"/>
            <c:val val="0"/>
            <c:spPr>
              <a:noFill/>
              <a:ln w="9525" cap="flat" cmpd="sng" algn="ctr">
                <a:solidFill>
                  <a:schemeClr val="tx1">
                    <a:lumMod val="65000"/>
                    <a:lumOff val="35000"/>
                  </a:schemeClr>
                </a:solidFill>
                <a:round/>
              </a:ln>
              <a:effectLst/>
            </c:spPr>
          </c:errBars>
          <c:errBars>
            <c:errDir val="y"/>
            <c:errBarType val="both"/>
            <c:errValType val="percentage"/>
            <c:noEndCap val="0"/>
            <c:val val="10"/>
            <c:spPr>
              <a:noFill/>
              <a:ln w="9525" cap="flat" cmpd="sng" algn="ctr">
                <a:solidFill>
                  <a:schemeClr val="tx1">
                    <a:lumMod val="65000"/>
                    <a:lumOff val="35000"/>
                  </a:schemeClr>
                </a:solidFill>
                <a:round/>
              </a:ln>
              <a:effectLst/>
            </c:spPr>
          </c:errBars>
          <c:xVal>
            <c:numRef>
              <c:f>Sheet1!$B$15:$F$15</c:f>
              <c:numCache>
                <c:formatCode>General</c:formatCode>
                <c:ptCount val="5"/>
                <c:pt idx="0">
                  <c:v>0</c:v>
                </c:pt>
                <c:pt idx="1">
                  <c:v>1</c:v>
                </c:pt>
                <c:pt idx="2">
                  <c:v>6</c:v>
                </c:pt>
                <c:pt idx="3">
                  <c:v>12</c:v>
                </c:pt>
                <c:pt idx="4">
                  <c:v>24</c:v>
                </c:pt>
              </c:numCache>
            </c:numRef>
          </c:xVal>
          <c:yVal>
            <c:numRef>
              <c:f>Sheet1!$B$18:$F$18</c:f>
              <c:numCache>
                <c:formatCode>General</c:formatCode>
                <c:ptCount val="5"/>
                <c:pt idx="0">
                  <c:v>0</c:v>
                </c:pt>
                <c:pt idx="1">
                  <c:v>117.75918140643428</c:v>
                </c:pt>
                <c:pt idx="2">
                  <c:v>126.87091259727896</c:v>
                </c:pt>
                <c:pt idx="3">
                  <c:v>115.72357208628739</c:v>
                </c:pt>
                <c:pt idx="4">
                  <c:v>105.72357208628739</c:v>
                </c:pt>
              </c:numCache>
            </c:numRef>
          </c:yVal>
          <c:smooth val="1"/>
          <c:extLst>
            <c:ext xmlns:c16="http://schemas.microsoft.com/office/drawing/2014/chart" uri="{C3380CC4-5D6E-409C-BE32-E72D297353CC}">
              <c16:uniqueId val="{00000002-5206-450E-A6C5-86E094F79755}"/>
            </c:ext>
          </c:extLst>
        </c:ser>
        <c:ser>
          <c:idx val="3"/>
          <c:order val="3"/>
          <c:tx>
            <c:v>2 mM CuSO4 induction</c:v>
          </c:tx>
          <c:spPr>
            <a:ln w="19050" cap="rnd">
              <a:solidFill>
                <a:schemeClr val="accent4"/>
              </a:solidFill>
              <a:round/>
            </a:ln>
            <a:effectLst/>
          </c:spPr>
          <c:marker>
            <c:symbol val="circle"/>
            <c:size val="5"/>
            <c:spPr>
              <a:solidFill>
                <a:schemeClr val="accent4"/>
              </a:solidFill>
              <a:ln w="9525">
                <a:solidFill>
                  <a:schemeClr val="accent4"/>
                </a:solidFill>
              </a:ln>
              <a:effectLst/>
            </c:spPr>
          </c:marker>
          <c:errBars>
            <c:errDir val="x"/>
            <c:errBarType val="both"/>
            <c:errValType val="fixedVal"/>
            <c:noEndCap val="0"/>
            <c:val val="0"/>
            <c:spPr>
              <a:noFill/>
              <a:ln w="9525" cap="flat" cmpd="sng" algn="ctr">
                <a:solidFill>
                  <a:schemeClr val="tx1">
                    <a:lumMod val="65000"/>
                    <a:lumOff val="35000"/>
                  </a:schemeClr>
                </a:solidFill>
                <a:round/>
              </a:ln>
              <a:effectLst/>
            </c:spPr>
          </c:errBars>
          <c:errBars>
            <c:errDir val="y"/>
            <c:errBarType val="both"/>
            <c:errValType val="percentage"/>
            <c:noEndCap val="0"/>
            <c:val val="10"/>
            <c:spPr>
              <a:noFill/>
              <a:ln w="9525" cap="flat" cmpd="sng" algn="ctr">
                <a:solidFill>
                  <a:schemeClr val="tx1">
                    <a:lumMod val="65000"/>
                    <a:lumOff val="35000"/>
                  </a:schemeClr>
                </a:solidFill>
                <a:round/>
              </a:ln>
              <a:effectLst/>
            </c:spPr>
          </c:errBars>
          <c:xVal>
            <c:numRef>
              <c:f>Sheet1!$B$15:$F$15</c:f>
              <c:numCache>
                <c:formatCode>General</c:formatCode>
                <c:ptCount val="5"/>
                <c:pt idx="0">
                  <c:v>0</c:v>
                </c:pt>
                <c:pt idx="1">
                  <c:v>1</c:v>
                </c:pt>
                <c:pt idx="2">
                  <c:v>6</c:v>
                </c:pt>
                <c:pt idx="3">
                  <c:v>12</c:v>
                </c:pt>
                <c:pt idx="4">
                  <c:v>24</c:v>
                </c:pt>
              </c:numCache>
            </c:numRef>
          </c:xVal>
          <c:yVal>
            <c:numRef>
              <c:f>Sheet1!$B$19:$F$19</c:f>
              <c:numCache>
                <c:formatCode>General</c:formatCode>
                <c:ptCount val="5"/>
                <c:pt idx="0">
                  <c:v>0</c:v>
                </c:pt>
                <c:pt idx="1">
                  <c:v>41.026176394516334</c:v>
                </c:pt>
                <c:pt idx="2">
                  <c:v>71.614308271140601</c:v>
                </c:pt>
                <c:pt idx="3">
                  <c:v>63.916287288697823</c:v>
                </c:pt>
                <c:pt idx="4">
                  <c:v>58.916287288697823</c:v>
                </c:pt>
              </c:numCache>
            </c:numRef>
          </c:yVal>
          <c:smooth val="1"/>
          <c:extLst>
            <c:ext xmlns:c16="http://schemas.microsoft.com/office/drawing/2014/chart" uri="{C3380CC4-5D6E-409C-BE32-E72D297353CC}">
              <c16:uniqueId val="{00000003-5206-450E-A6C5-86E094F79755}"/>
            </c:ext>
          </c:extLst>
        </c:ser>
        <c:dLbls>
          <c:showLegendKey val="0"/>
          <c:showVal val="0"/>
          <c:showCatName val="0"/>
          <c:showSerName val="0"/>
          <c:showPercent val="0"/>
          <c:showBubbleSize val="0"/>
        </c:dLbls>
        <c:axId val="645861192"/>
        <c:axId val="645861520"/>
      </c:scatterChart>
      <c:valAx>
        <c:axId val="645861192"/>
        <c:scaling>
          <c:orientation val="minMax"/>
          <c:max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Time/hour</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5861520"/>
        <c:crosses val="autoZero"/>
        <c:crossBetween val="midCat"/>
      </c:valAx>
      <c:valAx>
        <c:axId val="645861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100" b="0" i="0" baseline="0">
                    <a:effectLst/>
                  </a:rPr>
                  <a:t>Fluorescence intensity/OD</a:t>
                </a:r>
                <a:r>
                  <a:rPr lang="en-US" altLang="zh-CN" sz="1100" b="0" i="0" baseline="-25000">
                    <a:effectLst/>
                  </a:rPr>
                  <a:t>600</a:t>
                </a:r>
                <a:r>
                  <a:rPr lang="en-US" altLang="zh-CN" sz="1200" b="0" i="0" baseline="0">
                    <a:effectLst/>
                  </a:rPr>
                  <a:t> </a:t>
                </a:r>
                <a:endParaRPr lang="zh-CN" altLang="zh-CN" sz="700">
                  <a:effectLst/>
                </a:endParaRPr>
              </a:p>
              <a:p>
                <a:pPr>
                  <a:defRPr/>
                </a:pPr>
                <a:endParaRPr lang="zh-CN" altLang="zh-CN">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5861192"/>
        <c:crosses val="autoZero"/>
        <c:crossBetween val="midCat"/>
      </c:valAx>
      <c:spPr>
        <a:noFill/>
        <a:ln>
          <a:noFill/>
        </a:ln>
        <a:effectLst/>
      </c:spPr>
    </c:plotArea>
    <c:legend>
      <c:legendPos val="b"/>
      <c:layout>
        <c:manualLayout>
          <c:xMode val="edge"/>
          <c:yMode val="edge"/>
          <c:x val="0.58229534819147499"/>
          <c:y val="0.11603036818167382"/>
          <c:w val="0.3750578470425544"/>
          <c:h val="0.163974984452386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Sheet1!$G$1</c:f>
              <c:strCache>
                <c:ptCount val="1"/>
                <c:pt idx="0">
                  <c:v>Fluorescence Intensity/OD600</c:v>
                </c:pt>
              </c:strCache>
            </c:strRef>
          </c:tx>
          <c:spPr>
            <a:solidFill>
              <a:schemeClr val="accent1"/>
            </a:solidFill>
            <a:ln>
              <a:noFill/>
            </a:ln>
            <a:effectLst/>
          </c:spPr>
          <c:invertIfNegative val="0"/>
          <c:errBars>
            <c:errBarType val="both"/>
            <c:errValType val="cust"/>
            <c:noEndCap val="0"/>
            <c:plus>
              <c:numRef>
                <c:f>Sheet1!$H$2:$H$7</c:f>
                <c:numCache>
                  <c:formatCode>General</c:formatCode>
                  <c:ptCount val="6"/>
                  <c:pt idx="0">
                    <c:v>6.8</c:v>
                  </c:pt>
                  <c:pt idx="1">
                    <c:v>5.4</c:v>
                  </c:pt>
                  <c:pt idx="2">
                    <c:v>7.8</c:v>
                  </c:pt>
                  <c:pt idx="3">
                    <c:v>10.1</c:v>
                  </c:pt>
                  <c:pt idx="4">
                    <c:v>13.4</c:v>
                  </c:pt>
                  <c:pt idx="5">
                    <c:v>5.0999999999999996</c:v>
                  </c:pt>
                </c:numCache>
              </c:numRef>
            </c:plus>
            <c:minus>
              <c:numRef>
                <c:f>Sheet1!$H$2:$H$8</c:f>
                <c:numCache>
                  <c:formatCode>General</c:formatCode>
                  <c:ptCount val="7"/>
                  <c:pt idx="0">
                    <c:v>6.8</c:v>
                  </c:pt>
                  <c:pt idx="1">
                    <c:v>5.4</c:v>
                  </c:pt>
                  <c:pt idx="2">
                    <c:v>7.8</c:v>
                  </c:pt>
                  <c:pt idx="3">
                    <c:v>10.1</c:v>
                  </c:pt>
                  <c:pt idx="4">
                    <c:v>13.4</c:v>
                  </c:pt>
                  <c:pt idx="5">
                    <c:v>5.0999999999999996</c:v>
                  </c:pt>
                </c:numCache>
              </c:numRef>
            </c:minus>
            <c:spPr>
              <a:noFill/>
              <a:ln w="9525">
                <a:solidFill>
                  <a:schemeClr val="tx1">
                    <a:lumMod val="50000"/>
                    <a:lumOff val="50000"/>
                  </a:schemeClr>
                </a:solidFill>
                <a:round/>
              </a:ln>
              <a:effectLst/>
            </c:spPr>
          </c:errBars>
          <c:cat>
            <c:strRef>
              <c:f>Sheet1!$F$2:$F$7</c:f>
              <c:strCache>
                <c:ptCount val="6"/>
                <c:pt idx="0">
                  <c:v>EP3</c:v>
                </c:pt>
                <c:pt idx="1">
                  <c:v>EP5</c:v>
                </c:pt>
                <c:pt idx="2">
                  <c:v>EP9</c:v>
                </c:pt>
                <c:pt idx="3">
                  <c:v>EP28</c:v>
                </c:pt>
                <c:pt idx="4">
                  <c:v>EP48</c:v>
                </c:pt>
                <c:pt idx="5">
                  <c:v>CUP1 Promoter</c:v>
                </c:pt>
              </c:strCache>
            </c:strRef>
          </c:cat>
          <c:val>
            <c:numRef>
              <c:f>Sheet1!$G$2:$G$7</c:f>
              <c:numCache>
                <c:formatCode>General</c:formatCode>
                <c:ptCount val="6"/>
                <c:pt idx="0">
                  <c:v>110.71347769877181</c:v>
                </c:pt>
                <c:pt idx="1">
                  <c:v>95.105468449280195</c:v>
                </c:pt>
                <c:pt idx="2">
                  <c:v>86.113360323886639</c:v>
                </c:pt>
                <c:pt idx="3">
                  <c:v>116.39461856031988</c:v>
                </c:pt>
                <c:pt idx="4">
                  <c:v>123.04686282399705</c:v>
                </c:pt>
                <c:pt idx="5">
                  <c:v>113.1776425013835</c:v>
                </c:pt>
              </c:numCache>
            </c:numRef>
          </c:val>
          <c:extLst>
            <c:ext xmlns:c16="http://schemas.microsoft.com/office/drawing/2014/chart" uri="{C3380CC4-5D6E-409C-BE32-E72D297353CC}">
              <c16:uniqueId val="{00000000-DA66-4E36-82AD-B88C7C6348F0}"/>
            </c:ext>
          </c:extLst>
        </c:ser>
        <c:dLbls>
          <c:showLegendKey val="0"/>
          <c:showVal val="0"/>
          <c:showCatName val="0"/>
          <c:showSerName val="0"/>
          <c:showPercent val="0"/>
          <c:showBubbleSize val="0"/>
        </c:dLbls>
        <c:gapWidth val="199"/>
        <c:axId val="568082064"/>
        <c:axId val="568081408"/>
      </c:barChart>
      <c:catAx>
        <c:axId val="568082064"/>
        <c:scaling>
          <c:orientation val="minMax"/>
        </c:scaling>
        <c:delete val="0"/>
        <c:axPos val="b"/>
        <c:title>
          <c:tx>
            <c:rich>
              <a:bodyPr rot="0" spcFirstLastPara="1" vertOverflow="ellipsis" vert="horz" wrap="square" anchor="ctr" anchorCtr="1"/>
              <a:lstStyle/>
              <a:p>
                <a:pPr>
                  <a:defRPr sz="900" b="0" i="0" u="none" strike="noStrike" kern="1200" cap="none" baseline="0">
                    <a:solidFill>
                      <a:schemeClr val="tx1">
                        <a:lumMod val="65000"/>
                        <a:lumOff val="35000"/>
                      </a:schemeClr>
                    </a:solidFill>
                    <a:latin typeface="+mn-lt"/>
                    <a:ea typeface="+mn-ea"/>
                    <a:cs typeface="+mn-cs"/>
                  </a:defRPr>
                </a:pPr>
                <a:r>
                  <a:rPr lang="en-US" cap="none"/>
                  <a:t>Different promoters</a:t>
                </a:r>
                <a:endParaRPr lang="zh-CN" cap="none"/>
              </a:p>
            </c:rich>
          </c:tx>
          <c:overlay val="0"/>
          <c:spPr>
            <a:noFill/>
            <a:ln>
              <a:noFill/>
            </a:ln>
            <a:effectLst/>
          </c:spPr>
          <c:txPr>
            <a:bodyPr rot="0" spcFirstLastPara="1" vertOverflow="ellipsis" vert="horz" wrap="square" anchor="ctr" anchorCtr="1"/>
            <a:lstStyle/>
            <a:p>
              <a:pPr>
                <a:defRPr sz="900" b="0" i="0" u="none" strike="noStrike" kern="1200" cap="none"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zh-CN"/>
          </a:p>
        </c:txPr>
        <c:crossAx val="568081408"/>
        <c:crosses val="autoZero"/>
        <c:auto val="1"/>
        <c:lblAlgn val="ctr"/>
        <c:lblOffset val="100"/>
        <c:noMultiLvlLbl val="0"/>
      </c:catAx>
      <c:valAx>
        <c:axId val="568081408"/>
        <c:scaling>
          <c:orientation val="minMax"/>
          <c:max val="140"/>
          <c:min val="5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none" baseline="0">
                    <a:solidFill>
                      <a:schemeClr val="tx1">
                        <a:lumMod val="65000"/>
                        <a:lumOff val="35000"/>
                      </a:schemeClr>
                    </a:solidFill>
                    <a:latin typeface="+mn-lt"/>
                    <a:ea typeface="+mn-ea"/>
                    <a:cs typeface="+mn-cs"/>
                  </a:defRPr>
                </a:pPr>
                <a:r>
                  <a:rPr lang="en-US" cap="none"/>
                  <a:t>Fluorescence intensity/OD</a:t>
                </a:r>
                <a:r>
                  <a:rPr lang="en-US" cap="none" baseline="-25000"/>
                  <a:t>600</a:t>
                </a:r>
              </a:p>
              <a:p>
                <a:pPr>
                  <a:defRPr cap="none"/>
                </a:pPr>
                <a:r>
                  <a:rPr lang="en-US" cap="none"/>
                  <a:t>(No induction)</a:t>
                </a:r>
                <a:endParaRPr lang="zh-CN" cap="none"/>
              </a:p>
            </c:rich>
          </c:tx>
          <c:overlay val="0"/>
          <c:spPr>
            <a:noFill/>
            <a:ln>
              <a:noFill/>
            </a:ln>
            <a:effectLst/>
          </c:spPr>
          <c:txPr>
            <a:bodyPr rot="-5400000" spcFirstLastPara="1" vertOverflow="ellipsis" vert="horz" wrap="square" anchor="ctr" anchorCtr="1"/>
            <a:lstStyle/>
            <a:p>
              <a:pPr>
                <a:defRPr sz="900" b="0" i="0" u="none" strike="noStrike" kern="1200" cap="none"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680820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284412339385921"/>
          <c:y val="3.6943744752308987E-2"/>
          <c:w val="0.85031295946813579"/>
          <c:h val="0.81768248742206973"/>
        </c:manualLayout>
      </c:layout>
      <c:scatterChart>
        <c:scatterStyle val="smoothMarker"/>
        <c:varyColors val="0"/>
        <c:ser>
          <c:idx val="0"/>
          <c:order val="0"/>
          <c:tx>
            <c:v>CUP1 promoter</c:v>
          </c:tx>
          <c:spPr>
            <a:ln w="19050" cap="rnd">
              <a:solidFill>
                <a:schemeClr val="accent1"/>
              </a:solidFill>
              <a:round/>
            </a:ln>
            <a:effectLst/>
          </c:spPr>
          <c:marker>
            <c:symbol val="circle"/>
            <c:size val="5"/>
            <c:spPr>
              <a:solidFill>
                <a:schemeClr val="accent1"/>
              </a:solidFill>
              <a:ln w="9525">
                <a:solidFill>
                  <a:schemeClr val="accent1"/>
                </a:solidFill>
              </a:ln>
              <a:effectLst/>
            </c:spPr>
          </c:marker>
          <c:errBars>
            <c:errDir val="x"/>
            <c:errBarType val="both"/>
            <c:errValType val="fixedVal"/>
            <c:noEndCap val="0"/>
            <c:val val="0"/>
            <c:spPr>
              <a:noFill/>
              <a:ln w="9525" cap="flat" cmpd="sng" algn="ctr">
                <a:solidFill>
                  <a:schemeClr val="tx1">
                    <a:lumMod val="65000"/>
                    <a:lumOff val="35000"/>
                  </a:schemeClr>
                </a:solidFill>
                <a:round/>
              </a:ln>
              <a:effectLst/>
            </c:spPr>
          </c:errBars>
          <c:errBars>
            <c:errDir val="y"/>
            <c:errBarType val="both"/>
            <c:errValType val="percentage"/>
            <c:noEndCap val="0"/>
            <c:val val="5"/>
            <c:spPr>
              <a:noFill/>
              <a:ln w="9525" cap="flat" cmpd="sng" algn="ctr">
                <a:solidFill>
                  <a:schemeClr val="tx1">
                    <a:lumMod val="65000"/>
                    <a:lumOff val="35000"/>
                  </a:schemeClr>
                </a:solidFill>
                <a:round/>
              </a:ln>
              <a:effectLst/>
            </c:spPr>
          </c:errBars>
          <c:xVal>
            <c:numRef>
              <c:f>Sheet1!$L$1:$P$1</c:f>
              <c:numCache>
                <c:formatCode>General</c:formatCode>
                <c:ptCount val="5"/>
                <c:pt idx="0">
                  <c:v>1</c:v>
                </c:pt>
                <c:pt idx="1">
                  <c:v>10</c:v>
                </c:pt>
                <c:pt idx="2">
                  <c:v>100</c:v>
                </c:pt>
                <c:pt idx="3">
                  <c:v>500</c:v>
                </c:pt>
                <c:pt idx="4">
                  <c:v>1000</c:v>
                </c:pt>
              </c:numCache>
            </c:numRef>
          </c:xVal>
          <c:yVal>
            <c:numRef>
              <c:f>Sheet1!$L$2:$P$2</c:f>
              <c:numCache>
                <c:formatCode>General</c:formatCode>
                <c:ptCount val="5"/>
                <c:pt idx="0">
                  <c:v>113.1776</c:v>
                </c:pt>
                <c:pt idx="1">
                  <c:v>121.376</c:v>
                </c:pt>
                <c:pt idx="2">
                  <c:v>128.94</c:v>
                </c:pt>
                <c:pt idx="3">
                  <c:v>129.54</c:v>
                </c:pt>
                <c:pt idx="4">
                  <c:v>125.6</c:v>
                </c:pt>
              </c:numCache>
            </c:numRef>
          </c:yVal>
          <c:smooth val="1"/>
          <c:extLst>
            <c:ext xmlns:c16="http://schemas.microsoft.com/office/drawing/2014/chart" uri="{C3380CC4-5D6E-409C-BE32-E72D297353CC}">
              <c16:uniqueId val="{00000000-D42C-4B8F-8D8E-A00D72498DC7}"/>
            </c:ext>
          </c:extLst>
        </c:ser>
        <c:ser>
          <c:idx val="1"/>
          <c:order val="1"/>
          <c:tx>
            <c:v>EP-3</c:v>
          </c:tx>
          <c:spPr>
            <a:ln w="19050" cap="rnd">
              <a:solidFill>
                <a:schemeClr val="accent2"/>
              </a:solidFill>
              <a:round/>
            </a:ln>
            <a:effectLst/>
          </c:spPr>
          <c:marker>
            <c:symbol val="circle"/>
            <c:size val="5"/>
            <c:spPr>
              <a:solidFill>
                <a:schemeClr val="accent2"/>
              </a:solidFill>
              <a:ln w="9525">
                <a:solidFill>
                  <a:schemeClr val="accent2"/>
                </a:solidFill>
              </a:ln>
              <a:effectLst/>
            </c:spPr>
          </c:marker>
          <c:errBars>
            <c:errDir val="x"/>
            <c:errBarType val="both"/>
            <c:errValType val="fixedVal"/>
            <c:noEndCap val="0"/>
            <c:val val="0"/>
            <c:spPr>
              <a:noFill/>
              <a:ln w="9525" cap="flat" cmpd="sng" algn="ctr">
                <a:solidFill>
                  <a:schemeClr val="tx1">
                    <a:lumMod val="65000"/>
                    <a:lumOff val="35000"/>
                  </a:schemeClr>
                </a:solidFill>
                <a:round/>
              </a:ln>
              <a:effectLst/>
            </c:spPr>
          </c:errBars>
          <c:errBars>
            <c:errDir val="y"/>
            <c:errBarType val="both"/>
            <c:errValType val="percentage"/>
            <c:noEndCap val="0"/>
            <c:val val="5"/>
            <c:spPr>
              <a:noFill/>
              <a:ln w="9525" cap="flat" cmpd="sng" algn="ctr">
                <a:solidFill>
                  <a:schemeClr val="tx1">
                    <a:lumMod val="65000"/>
                    <a:lumOff val="35000"/>
                  </a:schemeClr>
                </a:solidFill>
                <a:round/>
              </a:ln>
              <a:effectLst/>
            </c:spPr>
          </c:errBars>
          <c:xVal>
            <c:numRef>
              <c:f>Sheet1!$L$1:$P$1</c:f>
              <c:numCache>
                <c:formatCode>General</c:formatCode>
                <c:ptCount val="5"/>
                <c:pt idx="0">
                  <c:v>1</c:v>
                </c:pt>
                <c:pt idx="1">
                  <c:v>10</c:v>
                </c:pt>
                <c:pt idx="2">
                  <c:v>100</c:v>
                </c:pt>
                <c:pt idx="3">
                  <c:v>500</c:v>
                </c:pt>
                <c:pt idx="4">
                  <c:v>1000</c:v>
                </c:pt>
              </c:numCache>
            </c:numRef>
          </c:xVal>
          <c:yVal>
            <c:numRef>
              <c:f>Sheet1!$L$3:$P$3</c:f>
              <c:numCache>
                <c:formatCode>General</c:formatCode>
                <c:ptCount val="5"/>
                <c:pt idx="0">
                  <c:v>110.7135</c:v>
                </c:pt>
                <c:pt idx="1">
                  <c:v>124.583</c:v>
                </c:pt>
                <c:pt idx="2">
                  <c:v>125.325</c:v>
                </c:pt>
                <c:pt idx="3">
                  <c:v>127.96</c:v>
                </c:pt>
                <c:pt idx="4">
                  <c:v>128.857</c:v>
                </c:pt>
              </c:numCache>
            </c:numRef>
          </c:yVal>
          <c:smooth val="1"/>
          <c:extLst>
            <c:ext xmlns:c16="http://schemas.microsoft.com/office/drawing/2014/chart" uri="{C3380CC4-5D6E-409C-BE32-E72D297353CC}">
              <c16:uniqueId val="{00000001-D42C-4B8F-8D8E-A00D72498DC7}"/>
            </c:ext>
          </c:extLst>
        </c:ser>
        <c:ser>
          <c:idx val="2"/>
          <c:order val="2"/>
          <c:tx>
            <c:v>EP-5</c:v>
          </c:tx>
          <c:spPr>
            <a:ln w="19050" cap="rnd">
              <a:solidFill>
                <a:schemeClr val="accent3"/>
              </a:solidFill>
              <a:round/>
            </a:ln>
            <a:effectLst/>
          </c:spPr>
          <c:marker>
            <c:symbol val="circle"/>
            <c:size val="5"/>
            <c:spPr>
              <a:solidFill>
                <a:schemeClr val="accent3"/>
              </a:solidFill>
              <a:ln w="9525">
                <a:solidFill>
                  <a:schemeClr val="accent3"/>
                </a:solidFill>
              </a:ln>
              <a:effectLst/>
            </c:spPr>
          </c:marker>
          <c:errBars>
            <c:errDir val="x"/>
            <c:errBarType val="both"/>
            <c:errValType val="fixedVal"/>
            <c:noEndCap val="0"/>
            <c:val val="0"/>
            <c:spPr>
              <a:noFill/>
              <a:ln w="9525" cap="flat" cmpd="sng" algn="ctr">
                <a:solidFill>
                  <a:schemeClr val="tx1">
                    <a:lumMod val="65000"/>
                    <a:lumOff val="35000"/>
                  </a:schemeClr>
                </a:solidFill>
                <a:round/>
              </a:ln>
              <a:effectLst/>
            </c:spPr>
          </c:errBars>
          <c:errBars>
            <c:errDir val="y"/>
            <c:errBarType val="both"/>
            <c:errValType val="percentage"/>
            <c:noEndCap val="0"/>
            <c:val val="5"/>
            <c:spPr>
              <a:noFill/>
              <a:ln w="9525" cap="flat" cmpd="sng" algn="ctr">
                <a:solidFill>
                  <a:schemeClr val="tx1">
                    <a:lumMod val="65000"/>
                    <a:lumOff val="35000"/>
                  </a:schemeClr>
                </a:solidFill>
                <a:round/>
              </a:ln>
              <a:effectLst/>
            </c:spPr>
          </c:errBars>
          <c:xVal>
            <c:numRef>
              <c:f>Sheet1!$L$1:$P$1</c:f>
              <c:numCache>
                <c:formatCode>General</c:formatCode>
                <c:ptCount val="5"/>
                <c:pt idx="0">
                  <c:v>1</c:v>
                </c:pt>
                <c:pt idx="1">
                  <c:v>10</c:v>
                </c:pt>
                <c:pt idx="2">
                  <c:v>100</c:v>
                </c:pt>
                <c:pt idx="3">
                  <c:v>500</c:v>
                </c:pt>
                <c:pt idx="4">
                  <c:v>1000</c:v>
                </c:pt>
              </c:numCache>
            </c:numRef>
          </c:xVal>
          <c:yVal>
            <c:numRef>
              <c:f>Sheet1!$L$4:$P$4</c:f>
              <c:numCache>
                <c:formatCode>General</c:formatCode>
                <c:ptCount val="5"/>
                <c:pt idx="0">
                  <c:v>95.11</c:v>
                </c:pt>
                <c:pt idx="1">
                  <c:v>121.105</c:v>
                </c:pt>
                <c:pt idx="2">
                  <c:v>149.19</c:v>
                </c:pt>
                <c:pt idx="3">
                  <c:v>140.86000000000001</c:v>
                </c:pt>
                <c:pt idx="4">
                  <c:v>125.03</c:v>
                </c:pt>
              </c:numCache>
            </c:numRef>
          </c:yVal>
          <c:smooth val="1"/>
          <c:extLst>
            <c:ext xmlns:c16="http://schemas.microsoft.com/office/drawing/2014/chart" uri="{C3380CC4-5D6E-409C-BE32-E72D297353CC}">
              <c16:uniqueId val="{00000002-D42C-4B8F-8D8E-A00D72498DC7}"/>
            </c:ext>
          </c:extLst>
        </c:ser>
        <c:ser>
          <c:idx val="3"/>
          <c:order val="3"/>
          <c:tx>
            <c:v>EP-28</c:v>
          </c:tx>
          <c:spPr>
            <a:ln w="19050" cap="rnd">
              <a:solidFill>
                <a:schemeClr val="accent4"/>
              </a:solidFill>
              <a:round/>
            </a:ln>
            <a:effectLst/>
          </c:spPr>
          <c:marker>
            <c:symbol val="circle"/>
            <c:size val="5"/>
            <c:spPr>
              <a:solidFill>
                <a:schemeClr val="accent4"/>
              </a:solidFill>
              <a:ln w="9525">
                <a:solidFill>
                  <a:schemeClr val="accent4"/>
                </a:solidFill>
              </a:ln>
              <a:effectLst/>
            </c:spPr>
          </c:marker>
          <c:errBars>
            <c:errDir val="x"/>
            <c:errBarType val="both"/>
            <c:errValType val="fixedVal"/>
            <c:noEndCap val="0"/>
            <c:val val="0"/>
            <c:spPr>
              <a:noFill/>
              <a:ln w="9525" cap="flat" cmpd="sng" algn="ctr">
                <a:solidFill>
                  <a:schemeClr val="tx1">
                    <a:lumMod val="65000"/>
                    <a:lumOff val="35000"/>
                  </a:schemeClr>
                </a:solidFill>
                <a:round/>
              </a:ln>
              <a:effectLst/>
            </c:spPr>
          </c:errBars>
          <c:errBars>
            <c:errDir val="y"/>
            <c:errBarType val="both"/>
            <c:errValType val="percentage"/>
            <c:noEndCap val="0"/>
            <c:val val="5"/>
            <c:spPr>
              <a:noFill/>
              <a:ln w="9525" cap="flat" cmpd="sng" algn="ctr">
                <a:solidFill>
                  <a:schemeClr val="tx1">
                    <a:lumMod val="65000"/>
                    <a:lumOff val="35000"/>
                  </a:schemeClr>
                </a:solidFill>
                <a:round/>
              </a:ln>
              <a:effectLst/>
            </c:spPr>
          </c:errBars>
          <c:xVal>
            <c:numRef>
              <c:f>Sheet1!$L$1:$P$1</c:f>
              <c:numCache>
                <c:formatCode>General</c:formatCode>
                <c:ptCount val="5"/>
                <c:pt idx="0">
                  <c:v>1</c:v>
                </c:pt>
                <c:pt idx="1">
                  <c:v>10</c:v>
                </c:pt>
                <c:pt idx="2">
                  <c:v>100</c:v>
                </c:pt>
                <c:pt idx="3">
                  <c:v>500</c:v>
                </c:pt>
                <c:pt idx="4">
                  <c:v>1000</c:v>
                </c:pt>
              </c:numCache>
            </c:numRef>
          </c:xVal>
          <c:yVal>
            <c:numRef>
              <c:f>Sheet1!$L$6:$P$6</c:f>
              <c:numCache>
                <c:formatCode>General</c:formatCode>
                <c:ptCount val="5"/>
                <c:pt idx="0">
                  <c:v>113.65</c:v>
                </c:pt>
                <c:pt idx="1">
                  <c:v>132.46</c:v>
                </c:pt>
                <c:pt idx="2">
                  <c:v>139.80000000000001</c:v>
                </c:pt>
                <c:pt idx="3">
                  <c:v>125.86</c:v>
                </c:pt>
                <c:pt idx="4">
                  <c:v>100.89</c:v>
                </c:pt>
              </c:numCache>
            </c:numRef>
          </c:yVal>
          <c:smooth val="1"/>
          <c:extLst>
            <c:ext xmlns:c16="http://schemas.microsoft.com/office/drawing/2014/chart" uri="{C3380CC4-5D6E-409C-BE32-E72D297353CC}">
              <c16:uniqueId val="{00000003-D42C-4B8F-8D8E-A00D72498DC7}"/>
            </c:ext>
          </c:extLst>
        </c:ser>
        <c:ser>
          <c:idx val="4"/>
          <c:order val="4"/>
          <c:tx>
            <c:v>EP-9</c:v>
          </c:tx>
          <c:spPr>
            <a:ln w="19050" cap="rnd">
              <a:solidFill>
                <a:schemeClr val="accent5"/>
              </a:solidFill>
              <a:round/>
            </a:ln>
            <a:effectLst/>
          </c:spPr>
          <c:marker>
            <c:symbol val="circle"/>
            <c:size val="5"/>
            <c:spPr>
              <a:solidFill>
                <a:schemeClr val="accent5"/>
              </a:solidFill>
              <a:ln w="9525">
                <a:solidFill>
                  <a:schemeClr val="accent5"/>
                </a:solidFill>
              </a:ln>
              <a:effectLst/>
            </c:spPr>
          </c:marker>
          <c:errBars>
            <c:errDir val="x"/>
            <c:errBarType val="both"/>
            <c:errValType val="fixedVal"/>
            <c:noEndCap val="0"/>
            <c:val val="0"/>
            <c:spPr>
              <a:noFill/>
              <a:ln w="9525" cap="flat" cmpd="sng" algn="ctr">
                <a:solidFill>
                  <a:schemeClr val="tx1">
                    <a:lumMod val="65000"/>
                    <a:lumOff val="35000"/>
                  </a:schemeClr>
                </a:solidFill>
                <a:round/>
              </a:ln>
              <a:effectLst/>
            </c:spPr>
          </c:errBars>
          <c:errBars>
            <c:errDir val="y"/>
            <c:errBarType val="both"/>
            <c:errValType val="percentage"/>
            <c:noEndCap val="0"/>
            <c:val val="5"/>
            <c:spPr>
              <a:noFill/>
              <a:ln w="9525" cap="flat" cmpd="sng" algn="ctr">
                <a:solidFill>
                  <a:schemeClr val="tx1">
                    <a:lumMod val="65000"/>
                    <a:lumOff val="35000"/>
                  </a:schemeClr>
                </a:solidFill>
                <a:round/>
              </a:ln>
              <a:effectLst/>
            </c:spPr>
          </c:errBars>
          <c:xVal>
            <c:numRef>
              <c:f>Sheet1!$L$1:$P$1</c:f>
              <c:numCache>
                <c:formatCode>General</c:formatCode>
                <c:ptCount val="5"/>
                <c:pt idx="0">
                  <c:v>1</c:v>
                </c:pt>
                <c:pt idx="1">
                  <c:v>10</c:v>
                </c:pt>
                <c:pt idx="2">
                  <c:v>100</c:v>
                </c:pt>
                <c:pt idx="3">
                  <c:v>500</c:v>
                </c:pt>
                <c:pt idx="4">
                  <c:v>1000</c:v>
                </c:pt>
              </c:numCache>
            </c:numRef>
          </c:xVal>
          <c:yVal>
            <c:numRef>
              <c:f>Sheet1!$L$5:$P$5</c:f>
              <c:numCache>
                <c:formatCode>General</c:formatCode>
                <c:ptCount val="5"/>
                <c:pt idx="0">
                  <c:v>89.11</c:v>
                </c:pt>
                <c:pt idx="1">
                  <c:v>135.83000000000001</c:v>
                </c:pt>
                <c:pt idx="2">
                  <c:v>121.73</c:v>
                </c:pt>
                <c:pt idx="3">
                  <c:v>120.94</c:v>
                </c:pt>
                <c:pt idx="4">
                  <c:v>103.3</c:v>
                </c:pt>
              </c:numCache>
            </c:numRef>
          </c:yVal>
          <c:smooth val="1"/>
          <c:extLst>
            <c:ext xmlns:c16="http://schemas.microsoft.com/office/drawing/2014/chart" uri="{C3380CC4-5D6E-409C-BE32-E72D297353CC}">
              <c16:uniqueId val="{00000004-D42C-4B8F-8D8E-A00D72498DC7}"/>
            </c:ext>
          </c:extLst>
        </c:ser>
        <c:dLbls>
          <c:showLegendKey val="0"/>
          <c:showVal val="0"/>
          <c:showCatName val="0"/>
          <c:showSerName val="0"/>
          <c:showPercent val="0"/>
          <c:showBubbleSize val="0"/>
        </c:dLbls>
        <c:axId val="726646032"/>
        <c:axId val="577296752"/>
      </c:scatterChart>
      <c:valAx>
        <c:axId val="726646032"/>
        <c:scaling>
          <c:logBase val="10"/>
          <c:orientation val="minMax"/>
          <c:max val="1000"/>
          <c:min val="1"/>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Cu</a:t>
                </a:r>
                <a:r>
                  <a:rPr lang="en-US" altLang="zh-CN" sz="1000" b="0" i="0" u="none" strike="noStrike" baseline="30000">
                    <a:effectLst/>
                  </a:rPr>
                  <a:t>2+</a:t>
                </a:r>
                <a:r>
                  <a:rPr lang="en-US" altLang="zh-CN" sz="1000" b="0" i="0" u="none" strike="noStrike" baseline="0">
                    <a:effectLst/>
                  </a:rPr>
                  <a:t> concentration/</a:t>
                </a:r>
                <a:r>
                  <a:rPr lang="el-GR" altLang="zh-CN" sz="1000" b="0" i="0" u="none" strike="noStrike" baseline="0">
                    <a:effectLst/>
                  </a:rPr>
                  <a:t>μ</a:t>
                </a:r>
                <a:r>
                  <a:rPr lang="en-US" altLang="zh-CN" sz="1000" b="0" i="0" u="none" strike="noStrike" baseline="0">
                    <a:effectLst/>
                  </a:rPr>
                  <a:t>M</a:t>
                </a:r>
                <a:r>
                  <a:rPr lang="en-US" altLang="zh-CN" sz="1000" b="0" i="0" u="none" strike="noStrike" baseline="0"/>
                  <a:t> </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7296752"/>
        <c:crosses val="autoZero"/>
        <c:crossBetween val="midCat"/>
      </c:valAx>
      <c:valAx>
        <c:axId val="577296752"/>
        <c:scaling>
          <c:orientation val="minMax"/>
          <c:max val="160"/>
          <c:min val="8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Fluorescence intensity/OD</a:t>
                </a:r>
                <a:r>
                  <a:rPr lang="en-US" altLang="zh-CN" baseline="-25000"/>
                  <a:t>600</a:t>
                </a:r>
                <a:r>
                  <a:rPr lang="en-US" altLang="zh-CN"/>
                  <a:t> </a:t>
                </a:r>
              </a:p>
              <a:p>
                <a:pPr>
                  <a:defRPr/>
                </a:pPr>
                <a:r>
                  <a:rPr lang="en-US" altLang="zh-CN"/>
                  <a:t>(20 min induction)</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26646032"/>
        <c:crosses val="autoZero"/>
        <c:crossBetween val="midCat"/>
        <c:majorUnit val="10"/>
        <c:minorUnit val="2"/>
      </c:valAx>
      <c:spPr>
        <a:noFill/>
        <a:ln>
          <a:noFill/>
        </a:ln>
        <a:effectLst/>
      </c:spPr>
    </c:plotArea>
    <c:legend>
      <c:legendPos val="r"/>
      <c:layout>
        <c:manualLayout>
          <c:xMode val="edge"/>
          <c:yMode val="edge"/>
          <c:x val="0.12037557915567645"/>
          <c:y val="4.2559352625002468E-2"/>
          <c:w val="0.19130814834167614"/>
          <c:h val="0.2566109337088531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spPr>
            <a:solidFill>
              <a:schemeClr val="accent1"/>
            </a:solidFill>
            <a:ln>
              <a:noFill/>
            </a:ln>
            <a:effectLst/>
          </c:spPr>
          <c:invertIfNegative val="0"/>
          <c:errBars>
            <c:errBarType val="both"/>
            <c:errValType val="percentage"/>
            <c:noEndCap val="0"/>
            <c:val val="7"/>
            <c:spPr>
              <a:noFill/>
              <a:ln w="9525">
                <a:solidFill>
                  <a:schemeClr val="tx1">
                    <a:lumMod val="50000"/>
                    <a:lumOff val="50000"/>
                  </a:schemeClr>
                </a:solidFill>
                <a:round/>
              </a:ln>
              <a:effectLst/>
            </c:spPr>
          </c:errBars>
          <c:cat>
            <c:strRef>
              <c:f>(Sheet1!$A$16,Sheet1!$A$18,Sheet1!$A$20,Sheet1!$A$22,Sheet1!$A$24)</c:f>
              <c:strCache>
                <c:ptCount val="5"/>
                <c:pt idx="0">
                  <c:v>1# TK</c:v>
                </c:pt>
                <c:pt idx="1">
                  <c:v>3# TK</c:v>
                </c:pt>
                <c:pt idx="2">
                  <c:v>4# TK</c:v>
                </c:pt>
                <c:pt idx="3">
                  <c:v>6# TK</c:v>
                </c:pt>
                <c:pt idx="4">
                  <c:v>8# TK</c:v>
                </c:pt>
              </c:strCache>
            </c:strRef>
          </c:cat>
          <c:val>
            <c:numRef>
              <c:f>(Sheet1!$I$16,Sheet1!$I$18,Sheet1!$I$20,Sheet1!$I$22,Sheet1!$I$24)</c:f>
              <c:numCache>
                <c:formatCode>General</c:formatCode>
                <c:ptCount val="5"/>
                <c:pt idx="0">
                  <c:v>9300.5154738443562</c:v>
                </c:pt>
                <c:pt idx="1">
                  <c:v>6939.1912435390695</c:v>
                </c:pt>
                <c:pt idx="2">
                  <c:v>11374.087073336865</c:v>
                </c:pt>
                <c:pt idx="3">
                  <c:v>7036.762109676707</c:v>
                </c:pt>
                <c:pt idx="4">
                  <c:v>8257.5267472400028</c:v>
                </c:pt>
              </c:numCache>
            </c:numRef>
          </c:val>
          <c:extLst>
            <c:ext xmlns:c16="http://schemas.microsoft.com/office/drawing/2014/chart" uri="{C3380CC4-5D6E-409C-BE32-E72D297353CC}">
              <c16:uniqueId val="{00000000-9D1F-4354-AD9F-67329347E73A}"/>
            </c:ext>
          </c:extLst>
        </c:ser>
        <c:dLbls>
          <c:showLegendKey val="0"/>
          <c:showVal val="0"/>
          <c:showCatName val="0"/>
          <c:showSerName val="0"/>
          <c:showPercent val="0"/>
          <c:showBubbleSize val="0"/>
        </c:dLbls>
        <c:gapWidth val="199"/>
        <c:axId val="368831896"/>
        <c:axId val="368830912"/>
      </c:barChart>
      <c:catAx>
        <c:axId val="368831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zh-CN"/>
          </a:p>
        </c:txPr>
        <c:crossAx val="368830912"/>
        <c:crosses val="autoZero"/>
        <c:auto val="1"/>
        <c:lblAlgn val="ctr"/>
        <c:lblOffset val="100"/>
        <c:noMultiLvlLbl val="0"/>
      </c:catAx>
      <c:valAx>
        <c:axId val="3688309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Fluorescence intensity/OD</a:t>
                </a:r>
                <a:r>
                  <a:rPr lang="en-US" baseline="-25000"/>
                  <a:t>600</a:t>
                </a:r>
                <a:endParaRPr lang="zh-CN" baseline="-25000"/>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688318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8AAEF-08EB-4186-9A61-C6B5C1ADF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3105</TotalTime>
  <Pages>1</Pages>
  <Words>1621</Words>
  <Characters>9242</Characters>
  <Application>Microsoft Office Word</Application>
  <DocSecurity>0</DocSecurity>
  <Lines>77</Lines>
  <Paragraphs>21</Paragraphs>
  <ScaleCrop>false</ScaleCrop>
  <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韩明哲</dc:creator>
  <cp:keywords/>
  <dc:description/>
  <cp:lastModifiedBy>韩明哲</cp:lastModifiedBy>
  <cp:revision>5</cp:revision>
  <dcterms:created xsi:type="dcterms:W3CDTF">2017-10-23T08:14:00Z</dcterms:created>
  <dcterms:modified xsi:type="dcterms:W3CDTF">2017-10-25T12:50:00Z</dcterms:modified>
</cp:coreProperties>
</file>