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D0E7DA" w14:textId="1208D5A8" w:rsidR="00591ACB" w:rsidRDefault="00BF4FC4">
      <w:r>
        <w:t>There are 3 approaches that we adopted as part of data cleaning/preprocessing:</w:t>
      </w:r>
    </w:p>
    <w:p w14:paraId="2F393693" w14:textId="2A019A3A" w:rsidR="00BF4FC4" w:rsidRDefault="00BF4FC4" w:rsidP="00BF4FC4">
      <w:pPr>
        <w:pStyle w:val="ListParagraph"/>
        <w:numPr>
          <w:ilvl w:val="0"/>
          <w:numId w:val="1"/>
        </w:numPr>
      </w:pPr>
      <w:r>
        <w:t xml:space="preserve">Using raw data to evaluate the performance of </w:t>
      </w:r>
      <w:proofErr w:type="gramStart"/>
      <w:r>
        <w:t>retriever</w:t>
      </w:r>
      <w:proofErr w:type="gramEnd"/>
    </w:p>
    <w:p w14:paraId="2213DCBE" w14:textId="6200F99E" w:rsidR="00BF4FC4" w:rsidRDefault="00BF4FC4" w:rsidP="00BF4FC4">
      <w:pPr>
        <w:pStyle w:val="ListParagraph"/>
        <w:numPr>
          <w:ilvl w:val="0"/>
          <w:numId w:val="1"/>
        </w:numPr>
      </w:pPr>
      <w:r>
        <w:t>Adding preprocessed tables with meta data</w:t>
      </w:r>
    </w:p>
    <w:p w14:paraId="557BFC24" w14:textId="71DD75C2" w:rsidR="00BF4FC4" w:rsidRDefault="00BF4FC4" w:rsidP="00BF4FC4">
      <w:pPr>
        <w:pStyle w:val="ListParagraph"/>
        <w:numPr>
          <w:ilvl w:val="0"/>
          <w:numId w:val="1"/>
        </w:numPr>
      </w:pPr>
      <w:r>
        <w:t>Using c4 data cleaning strategies</w:t>
      </w:r>
    </w:p>
    <w:p w14:paraId="695D4BF5" w14:textId="2AE87346" w:rsidR="00BF4FC4" w:rsidRDefault="00BF4FC4" w:rsidP="00BF4FC4">
      <w:r>
        <w:t>For each of these approaches, we carry out the following steps:</w:t>
      </w:r>
    </w:p>
    <w:p w14:paraId="7EB50A7C" w14:textId="433779DC" w:rsidR="00BF4FC4" w:rsidRDefault="00BF4FC4" w:rsidP="00BF4FC4">
      <w:pPr>
        <w:pStyle w:val="ListParagraph"/>
        <w:numPr>
          <w:ilvl w:val="0"/>
          <w:numId w:val="2"/>
        </w:numPr>
      </w:pPr>
      <w:r>
        <w:t>Chunking</w:t>
      </w:r>
    </w:p>
    <w:p w14:paraId="1C2C0BBF" w14:textId="6318B31E" w:rsidR="002E036E" w:rsidRDefault="002E036E" w:rsidP="002E036E">
      <w:pPr>
        <w:pStyle w:val="ListParagraph"/>
        <w:numPr>
          <w:ilvl w:val="0"/>
          <w:numId w:val="2"/>
        </w:numPr>
      </w:pPr>
      <w:r>
        <w:t>Parrot paraphrasing</w:t>
      </w:r>
    </w:p>
    <w:p w14:paraId="46B87B0B" w14:textId="3FD63D0C" w:rsidR="00BF4FC4" w:rsidRDefault="00BF4FC4" w:rsidP="00BF4FC4">
      <w:pPr>
        <w:pStyle w:val="ListParagraph"/>
        <w:numPr>
          <w:ilvl w:val="0"/>
          <w:numId w:val="2"/>
        </w:numPr>
      </w:pPr>
      <w:r>
        <w:t>Ensemble retrieval</w:t>
      </w:r>
    </w:p>
    <w:p w14:paraId="793D9E91" w14:textId="53AC5719" w:rsidR="00BF4FC4" w:rsidRDefault="002E036E" w:rsidP="00BF4FC4">
      <w:pPr>
        <w:pStyle w:val="ListParagraph"/>
        <w:numPr>
          <w:ilvl w:val="0"/>
          <w:numId w:val="2"/>
        </w:numPr>
      </w:pPr>
      <w:proofErr w:type="spellStart"/>
      <w:r>
        <w:t>cohereRerank</w:t>
      </w:r>
      <w:proofErr w:type="spellEnd"/>
    </w:p>
    <w:p w14:paraId="53579C15" w14:textId="4EB49FF9" w:rsidR="005734E5" w:rsidRDefault="000B55C2" w:rsidP="005734E5">
      <w:r>
        <w:t xml:space="preserve">Note: </w:t>
      </w:r>
      <w:r w:rsidR="001058FC">
        <w:t xml:space="preserve">In </w:t>
      </w:r>
      <w:proofErr w:type="spellStart"/>
      <w:r w:rsidR="001058FC">
        <w:t>cohereRerank</w:t>
      </w:r>
      <w:proofErr w:type="spellEnd"/>
      <w:r w:rsidR="001058FC">
        <w:t>, we</w:t>
      </w:r>
      <w:r w:rsidR="005734E5">
        <w:t xml:space="preserve"> set a threshold value of 0.85 for the relevance score. If the score was greater than this value then the document was deemed relevant, and vice </w:t>
      </w:r>
      <w:r>
        <w:t>versa</w:t>
      </w:r>
      <w:r w:rsidR="005734E5">
        <w:t>.</w:t>
      </w:r>
      <w:r>
        <w:t xml:space="preserve"> It </w:t>
      </w:r>
      <w:r w:rsidR="003E3AD1">
        <w:t xml:space="preserve">was also observed that this score was misleading in some iterations therefore, manual checking for the presence of relevant documents also contributed </w:t>
      </w:r>
      <w:r w:rsidR="004D1AF0">
        <w:t>to</w:t>
      </w:r>
      <w:r w:rsidR="003E3AD1">
        <w:t xml:space="preserve"> finalizing the results below.</w:t>
      </w:r>
    </w:p>
    <w:p w14:paraId="09B54D02" w14:textId="1A05D9BB" w:rsidR="00BF4FC4" w:rsidRDefault="00BF4FC4" w:rsidP="00E60AF6">
      <w:r>
        <w:t>Approach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695851" w14:paraId="10A31D61" w14:textId="77777777" w:rsidTr="00A3540F">
        <w:tc>
          <w:tcPr>
            <w:tcW w:w="2337" w:type="dxa"/>
          </w:tcPr>
          <w:p w14:paraId="5BF6CCE7" w14:textId="65B9F753" w:rsidR="00695851" w:rsidRDefault="00695851" w:rsidP="00A3540F">
            <w:pPr>
              <w:jc w:val="center"/>
            </w:pPr>
            <w:proofErr w:type="spellStart"/>
            <w:r>
              <w:t>Chunk_size</w:t>
            </w:r>
            <w:proofErr w:type="spellEnd"/>
            <w:r>
              <w:t>, overlap</w:t>
            </w:r>
          </w:p>
        </w:tc>
        <w:tc>
          <w:tcPr>
            <w:tcW w:w="2337" w:type="dxa"/>
          </w:tcPr>
          <w:p w14:paraId="261F9362" w14:textId="62F05AC8" w:rsidR="00695851" w:rsidRDefault="00695851" w:rsidP="00A3540F">
            <w:pPr>
              <w:jc w:val="center"/>
            </w:pPr>
            <w:r>
              <w:t>Character text splitter</w:t>
            </w:r>
          </w:p>
        </w:tc>
        <w:tc>
          <w:tcPr>
            <w:tcW w:w="2338" w:type="dxa"/>
          </w:tcPr>
          <w:p w14:paraId="0EA8D754" w14:textId="77777777" w:rsidR="00695851" w:rsidRDefault="00695851" w:rsidP="00A3540F">
            <w:pPr>
              <w:jc w:val="center"/>
            </w:pPr>
            <w:r>
              <w:t>Recursive text splitter</w:t>
            </w:r>
          </w:p>
          <w:p w14:paraId="47C3AC35" w14:textId="77777777" w:rsidR="007E5C0C" w:rsidRDefault="007E5C0C" w:rsidP="00A3540F">
            <w:pPr>
              <w:jc w:val="center"/>
            </w:pPr>
            <w:r>
              <w:t xml:space="preserve">Default </w:t>
            </w:r>
            <w:proofErr w:type="gramStart"/>
            <w:r>
              <w:t>separators</w:t>
            </w:r>
            <w:proofErr w:type="gramEnd"/>
          </w:p>
          <w:p w14:paraId="2465EBCC" w14:textId="09DD0110" w:rsidR="007E5C0C" w:rsidRDefault="007E5C0C" w:rsidP="00A3540F">
            <w:pPr>
              <w:jc w:val="center"/>
            </w:pPr>
            <w:r w:rsidRPr="007E5C0C">
              <w:t>["\n\n", "\n", " ", ""]</w:t>
            </w:r>
          </w:p>
        </w:tc>
      </w:tr>
      <w:tr w:rsidR="00695851" w14:paraId="75D4BBCF" w14:textId="77777777" w:rsidTr="00A3540F">
        <w:tc>
          <w:tcPr>
            <w:tcW w:w="2337" w:type="dxa"/>
          </w:tcPr>
          <w:p w14:paraId="5CAAC94F" w14:textId="2D6EE40E" w:rsidR="00695851" w:rsidRDefault="00695851" w:rsidP="00A3540F">
            <w:pPr>
              <w:jc w:val="center"/>
            </w:pPr>
            <w:r>
              <w:t>1000, 200</w:t>
            </w:r>
          </w:p>
        </w:tc>
        <w:tc>
          <w:tcPr>
            <w:tcW w:w="2337" w:type="dxa"/>
          </w:tcPr>
          <w:p w14:paraId="000889DF" w14:textId="77777777" w:rsidR="00695851" w:rsidRDefault="00695851" w:rsidP="00A3540F">
            <w:pPr>
              <w:jc w:val="center"/>
            </w:pPr>
            <w:r>
              <w:t>5/6 with ‘.’</w:t>
            </w:r>
          </w:p>
          <w:p w14:paraId="1EF9C8F2" w14:textId="7F2C28D5" w:rsidR="00695851" w:rsidRDefault="00695851" w:rsidP="00A3540F">
            <w:pPr>
              <w:jc w:val="center"/>
            </w:pPr>
            <w:r>
              <w:t>6/6 with ‘\n’</w:t>
            </w:r>
          </w:p>
        </w:tc>
        <w:tc>
          <w:tcPr>
            <w:tcW w:w="2338" w:type="dxa"/>
          </w:tcPr>
          <w:p w14:paraId="6F9EBF4F" w14:textId="63C5072A" w:rsidR="00695851" w:rsidRDefault="00695851" w:rsidP="00A3540F">
            <w:pPr>
              <w:jc w:val="center"/>
            </w:pPr>
            <w:r>
              <w:t>6/6</w:t>
            </w:r>
          </w:p>
        </w:tc>
      </w:tr>
      <w:tr w:rsidR="00695851" w14:paraId="0817E827" w14:textId="77777777" w:rsidTr="00A3540F">
        <w:tc>
          <w:tcPr>
            <w:tcW w:w="2337" w:type="dxa"/>
          </w:tcPr>
          <w:p w14:paraId="7D35EEEE" w14:textId="08310F62" w:rsidR="00695851" w:rsidRDefault="00695851" w:rsidP="00A3540F">
            <w:pPr>
              <w:jc w:val="center"/>
            </w:pPr>
            <w:r>
              <w:t>500, 100</w:t>
            </w:r>
          </w:p>
        </w:tc>
        <w:tc>
          <w:tcPr>
            <w:tcW w:w="2337" w:type="dxa"/>
          </w:tcPr>
          <w:p w14:paraId="71A4FF6A" w14:textId="77777777" w:rsidR="00695851" w:rsidRDefault="00695851" w:rsidP="00A3540F">
            <w:pPr>
              <w:jc w:val="center"/>
            </w:pPr>
            <w:r>
              <w:t>6/6 with ‘\n’</w:t>
            </w:r>
          </w:p>
          <w:p w14:paraId="191C0EAF" w14:textId="0865E29C" w:rsidR="00695851" w:rsidRDefault="00695851" w:rsidP="00A3540F">
            <w:pPr>
              <w:jc w:val="center"/>
            </w:pPr>
            <w:r>
              <w:t>6/6 with ‘.’</w:t>
            </w:r>
          </w:p>
        </w:tc>
        <w:tc>
          <w:tcPr>
            <w:tcW w:w="2338" w:type="dxa"/>
          </w:tcPr>
          <w:p w14:paraId="646C0A8A" w14:textId="1D1179AF" w:rsidR="00695851" w:rsidRDefault="00695851" w:rsidP="00A3540F">
            <w:pPr>
              <w:jc w:val="center"/>
            </w:pPr>
            <w:r>
              <w:t>6/6</w:t>
            </w:r>
          </w:p>
        </w:tc>
      </w:tr>
      <w:tr w:rsidR="00695851" w14:paraId="595CFCC8" w14:textId="77777777" w:rsidTr="00A3540F">
        <w:tc>
          <w:tcPr>
            <w:tcW w:w="2337" w:type="dxa"/>
          </w:tcPr>
          <w:p w14:paraId="1831C722" w14:textId="75E1AA46" w:rsidR="00695851" w:rsidRDefault="00695851" w:rsidP="00A3540F">
            <w:pPr>
              <w:jc w:val="center"/>
            </w:pPr>
            <w:r>
              <w:t>700, 200</w:t>
            </w:r>
          </w:p>
        </w:tc>
        <w:tc>
          <w:tcPr>
            <w:tcW w:w="2337" w:type="dxa"/>
          </w:tcPr>
          <w:p w14:paraId="3A024B87" w14:textId="77777777" w:rsidR="00695851" w:rsidRDefault="00695851" w:rsidP="00A3540F">
            <w:pPr>
              <w:jc w:val="center"/>
            </w:pPr>
            <w:r>
              <w:t>6/6 with ‘.’</w:t>
            </w:r>
          </w:p>
          <w:p w14:paraId="48B12836" w14:textId="4F44BECF" w:rsidR="00695851" w:rsidRDefault="00695851" w:rsidP="00A3540F">
            <w:pPr>
              <w:jc w:val="center"/>
            </w:pPr>
            <w:r>
              <w:t>6/6 with ‘\n’</w:t>
            </w:r>
          </w:p>
        </w:tc>
        <w:tc>
          <w:tcPr>
            <w:tcW w:w="2338" w:type="dxa"/>
          </w:tcPr>
          <w:p w14:paraId="4F6076AF" w14:textId="568CD96B" w:rsidR="00695851" w:rsidRDefault="00695851" w:rsidP="00A3540F">
            <w:pPr>
              <w:jc w:val="center"/>
            </w:pPr>
            <w:r>
              <w:t>6/6</w:t>
            </w:r>
          </w:p>
        </w:tc>
      </w:tr>
    </w:tbl>
    <w:p w14:paraId="4F48CC90" w14:textId="77777777" w:rsidR="00695851" w:rsidRDefault="00695851" w:rsidP="00A3540F"/>
    <w:p w14:paraId="0FEF260D" w14:textId="2E20F405" w:rsidR="00EA3D5C" w:rsidRDefault="00695851" w:rsidP="00A3540F">
      <w:r>
        <w:t>Semantic chunk</w:t>
      </w:r>
      <w:r w:rsidR="003C780A">
        <w:t>ing</w:t>
      </w:r>
      <w:r>
        <w:t>:</w:t>
      </w:r>
    </w:p>
    <w:p w14:paraId="44A177DE" w14:textId="102253A2" w:rsidR="00695851" w:rsidRDefault="00695851" w:rsidP="00A3540F">
      <w:r>
        <w:t>4/6 for percentile</w:t>
      </w:r>
    </w:p>
    <w:p w14:paraId="1960435A" w14:textId="18EBA93A" w:rsidR="009D665D" w:rsidRDefault="00D07F60" w:rsidP="00A3540F">
      <w:r>
        <w:t>4</w:t>
      </w:r>
      <w:r w:rsidR="009D665D">
        <w:t>/6</w:t>
      </w:r>
      <w:r w:rsidR="009E1665">
        <w:t xml:space="preserve"> for</w:t>
      </w:r>
      <w:r w:rsidR="009D665D">
        <w:t xml:space="preserve"> std</w:t>
      </w:r>
    </w:p>
    <w:p w14:paraId="44220F4B" w14:textId="5C6D2AB7" w:rsidR="009E1665" w:rsidRDefault="009E1665" w:rsidP="00A3540F">
      <w:r>
        <w:t xml:space="preserve">5/6 for </w:t>
      </w:r>
      <w:proofErr w:type="spellStart"/>
      <w:r>
        <w:t>iqr</w:t>
      </w:r>
      <w:proofErr w:type="spellEnd"/>
    </w:p>
    <w:p w14:paraId="5489C145" w14:textId="796897E2" w:rsidR="007942FA" w:rsidRDefault="007942FA" w:rsidP="00A3540F">
      <w:r>
        <w:t>Approach 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9E4414" w14:paraId="36766EDD" w14:textId="77777777" w:rsidTr="00DB0979">
        <w:tc>
          <w:tcPr>
            <w:tcW w:w="2337" w:type="dxa"/>
          </w:tcPr>
          <w:p w14:paraId="6437CC57" w14:textId="77777777" w:rsidR="009E4414" w:rsidRDefault="009E4414" w:rsidP="00DB0979">
            <w:pPr>
              <w:jc w:val="center"/>
            </w:pPr>
            <w:proofErr w:type="spellStart"/>
            <w:r>
              <w:t>Chunk_size</w:t>
            </w:r>
            <w:proofErr w:type="spellEnd"/>
            <w:r>
              <w:t>, overlap</w:t>
            </w:r>
          </w:p>
        </w:tc>
        <w:tc>
          <w:tcPr>
            <w:tcW w:w="2337" w:type="dxa"/>
          </w:tcPr>
          <w:p w14:paraId="4BA71878" w14:textId="77777777" w:rsidR="009E4414" w:rsidRDefault="009E4414" w:rsidP="00DB0979">
            <w:pPr>
              <w:jc w:val="center"/>
            </w:pPr>
            <w:r>
              <w:t>Character text splitter</w:t>
            </w:r>
          </w:p>
        </w:tc>
        <w:tc>
          <w:tcPr>
            <w:tcW w:w="2338" w:type="dxa"/>
          </w:tcPr>
          <w:p w14:paraId="6855B45E" w14:textId="77777777" w:rsidR="009E4414" w:rsidRDefault="009E4414" w:rsidP="00DB0979">
            <w:pPr>
              <w:jc w:val="center"/>
            </w:pPr>
            <w:r>
              <w:t>Recursive text splitter</w:t>
            </w:r>
          </w:p>
          <w:p w14:paraId="3AF5752E" w14:textId="77777777" w:rsidR="007E5C0C" w:rsidRDefault="007E5C0C" w:rsidP="007E5C0C">
            <w:pPr>
              <w:jc w:val="center"/>
            </w:pPr>
            <w:r>
              <w:t xml:space="preserve">Default </w:t>
            </w:r>
            <w:proofErr w:type="gramStart"/>
            <w:r>
              <w:t>separators</w:t>
            </w:r>
            <w:proofErr w:type="gramEnd"/>
          </w:p>
          <w:p w14:paraId="64629EE4" w14:textId="759D494A" w:rsidR="007E5C0C" w:rsidRDefault="007E5C0C" w:rsidP="007E5C0C">
            <w:pPr>
              <w:jc w:val="center"/>
            </w:pPr>
            <w:r w:rsidRPr="007E5C0C">
              <w:t>["\n\n", "\n", " ", ""]</w:t>
            </w:r>
          </w:p>
        </w:tc>
      </w:tr>
      <w:tr w:rsidR="009E4414" w14:paraId="6F3155F6" w14:textId="77777777" w:rsidTr="00DB0979">
        <w:tc>
          <w:tcPr>
            <w:tcW w:w="2337" w:type="dxa"/>
          </w:tcPr>
          <w:p w14:paraId="7887EC8C" w14:textId="77777777" w:rsidR="009E4414" w:rsidRDefault="009E4414" w:rsidP="00DB0979">
            <w:pPr>
              <w:jc w:val="center"/>
            </w:pPr>
            <w:r>
              <w:t>1000, 200</w:t>
            </w:r>
          </w:p>
        </w:tc>
        <w:tc>
          <w:tcPr>
            <w:tcW w:w="2337" w:type="dxa"/>
          </w:tcPr>
          <w:p w14:paraId="118AB604" w14:textId="77777777" w:rsidR="009E4414" w:rsidRDefault="009E4414" w:rsidP="00DB0979">
            <w:pPr>
              <w:jc w:val="center"/>
            </w:pPr>
            <w:r>
              <w:t>5/6 with ‘.’</w:t>
            </w:r>
          </w:p>
          <w:p w14:paraId="1175745F" w14:textId="2468B270" w:rsidR="009E4414" w:rsidRDefault="00066A6F" w:rsidP="00DB0979">
            <w:pPr>
              <w:jc w:val="center"/>
            </w:pPr>
            <w:r>
              <w:t>6/6 with ‘\n’</w:t>
            </w:r>
          </w:p>
        </w:tc>
        <w:tc>
          <w:tcPr>
            <w:tcW w:w="2338" w:type="dxa"/>
          </w:tcPr>
          <w:p w14:paraId="61FE2DD6" w14:textId="0BDBE341" w:rsidR="009E4414" w:rsidRDefault="00862F48" w:rsidP="00DB0979">
            <w:pPr>
              <w:jc w:val="center"/>
            </w:pPr>
            <w:r>
              <w:t>6/6</w:t>
            </w:r>
          </w:p>
        </w:tc>
      </w:tr>
      <w:tr w:rsidR="009E4414" w14:paraId="11E121B9" w14:textId="77777777" w:rsidTr="00DB0979">
        <w:tc>
          <w:tcPr>
            <w:tcW w:w="2337" w:type="dxa"/>
          </w:tcPr>
          <w:p w14:paraId="52BBBBCC" w14:textId="77777777" w:rsidR="009E4414" w:rsidRDefault="009E4414" w:rsidP="00DB0979">
            <w:pPr>
              <w:jc w:val="center"/>
            </w:pPr>
            <w:r>
              <w:t>500, 100</w:t>
            </w:r>
          </w:p>
        </w:tc>
        <w:tc>
          <w:tcPr>
            <w:tcW w:w="2337" w:type="dxa"/>
          </w:tcPr>
          <w:p w14:paraId="6666C104" w14:textId="77777777" w:rsidR="009E4414" w:rsidRDefault="00087603" w:rsidP="00DB0979">
            <w:pPr>
              <w:jc w:val="center"/>
            </w:pPr>
            <w:r>
              <w:t>6/6 with “.”</w:t>
            </w:r>
          </w:p>
          <w:p w14:paraId="7FB5694A" w14:textId="4F61DA73" w:rsidR="007E6827" w:rsidRDefault="007E6827" w:rsidP="00DB0979">
            <w:pPr>
              <w:jc w:val="center"/>
            </w:pPr>
            <w:r>
              <w:t>6/6 with “\n</w:t>
            </w:r>
            <w:r w:rsidR="005A6175">
              <w:t>”</w:t>
            </w:r>
          </w:p>
        </w:tc>
        <w:tc>
          <w:tcPr>
            <w:tcW w:w="2338" w:type="dxa"/>
          </w:tcPr>
          <w:p w14:paraId="6D9540BA" w14:textId="28FB888F" w:rsidR="009E4414" w:rsidRDefault="00B504E1" w:rsidP="00DB0979">
            <w:pPr>
              <w:jc w:val="center"/>
            </w:pPr>
            <w:r>
              <w:t>6/6</w:t>
            </w:r>
          </w:p>
        </w:tc>
      </w:tr>
      <w:tr w:rsidR="009E4414" w14:paraId="7DB36A3E" w14:textId="77777777" w:rsidTr="00DB0979">
        <w:tc>
          <w:tcPr>
            <w:tcW w:w="2337" w:type="dxa"/>
          </w:tcPr>
          <w:p w14:paraId="04D77D51" w14:textId="77777777" w:rsidR="009E4414" w:rsidRDefault="009E4414" w:rsidP="00DB0979">
            <w:pPr>
              <w:jc w:val="center"/>
            </w:pPr>
            <w:r>
              <w:t>700, 200</w:t>
            </w:r>
          </w:p>
        </w:tc>
        <w:tc>
          <w:tcPr>
            <w:tcW w:w="2337" w:type="dxa"/>
          </w:tcPr>
          <w:p w14:paraId="59EF4E5D" w14:textId="2FCD2FAC" w:rsidR="009E4414" w:rsidRDefault="00684B09" w:rsidP="00684B09">
            <w:pPr>
              <w:jc w:val="center"/>
            </w:pPr>
            <w:r>
              <w:t>6/6 with “.”</w:t>
            </w:r>
          </w:p>
          <w:p w14:paraId="4C9E19A1" w14:textId="7D18C5B2" w:rsidR="009E4414" w:rsidRDefault="005A6175" w:rsidP="00DB0979">
            <w:pPr>
              <w:jc w:val="center"/>
            </w:pPr>
            <w:r>
              <w:t>6/6 with “\n”</w:t>
            </w:r>
          </w:p>
        </w:tc>
        <w:tc>
          <w:tcPr>
            <w:tcW w:w="2338" w:type="dxa"/>
          </w:tcPr>
          <w:p w14:paraId="684A1924" w14:textId="5DACD14D" w:rsidR="009E4414" w:rsidRDefault="005F4144" w:rsidP="00DB0979">
            <w:pPr>
              <w:jc w:val="center"/>
            </w:pPr>
            <w:r>
              <w:t>6/6</w:t>
            </w:r>
          </w:p>
        </w:tc>
      </w:tr>
    </w:tbl>
    <w:p w14:paraId="4D8CFCFB" w14:textId="77777777" w:rsidR="00DE1123" w:rsidRDefault="00DE1123" w:rsidP="00A3540F"/>
    <w:p w14:paraId="6C0F3FA7" w14:textId="77777777" w:rsidR="00BB39FA" w:rsidRDefault="00BB39FA" w:rsidP="00A3540F"/>
    <w:p w14:paraId="7B1AC0DB" w14:textId="77777777" w:rsidR="00151C6A" w:rsidRDefault="00151C6A" w:rsidP="00A3540F"/>
    <w:p w14:paraId="7A433266" w14:textId="03EDCB9B" w:rsidR="00DE1123" w:rsidRDefault="00956B79" w:rsidP="00A3540F">
      <w:r>
        <w:t>Semantic Chunking:</w:t>
      </w:r>
    </w:p>
    <w:p w14:paraId="6652970D" w14:textId="517126F8" w:rsidR="00956B79" w:rsidRDefault="000944B9" w:rsidP="00A3540F">
      <w:r>
        <w:t>4/6 with percentile</w:t>
      </w:r>
    </w:p>
    <w:p w14:paraId="3FA3D91F" w14:textId="5380DA01" w:rsidR="000944B9" w:rsidRDefault="007747A6" w:rsidP="00A3540F">
      <w:r>
        <w:t>5/6 with std</w:t>
      </w:r>
    </w:p>
    <w:p w14:paraId="33C5683F" w14:textId="2812702F" w:rsidR="007747A6" w:rsidRDefault="0070419B" w:rsidP="00A3540F">
      <w:r>
        <w:t xml:space="preserve">4/6 with </w:t>
      </w:r>
      <w:proofErr w:type="spellStart"/>
      <w:r>
        <w:t>iqr</w:t>
      </w:r>
      <w:proofErr w:type="spellEnd"/>
    </w:p>
    <w:p w14:paraId="678CCA8D" w14:textId="3E5207B4" w:rsidR="005C759C" w:rsidRDefault="005C759C" w:rsidP="00A3540F">
      <w:r>
        <w:t>Approach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</w:tblGrid>
      <w:tr w:rsidR="005C759C" w14:paraId="03C1DA22" w14:textId="77777777" w:rsidTr="00DB0979">
        <w:tc>
          <w:tcPr>
            <w:tcW w:w="2337" w:type="dxa"/>
          </w:tcPr>
          <w:p w14:paraId="6039C9AA" w14:textId="77777777" w:rsidR="005C759C" w:rsidRDefault="005C759C" w:rsidP="00DB0979">
            <w:pPr>
              <w:jc w:val="center"/>
            </w:pPr>
            <w:proofErr w:type="spellStart"/>
            <w:r>
              <w:t>Chunk_size</w:t>
            </w:r>
            <w:proofErr w:type="spellEnd"/>
            <w:r>
              <w:t>, overlap</w:t>
            </w:r>
          </w:p>
        </w:tc>
        <w:tc>
          <w:tcPr>
            <w:tcW w:w="2337" w:type="dxa"/>
          </w:tcPr>
          <w:p w14:paraId="23FA5DFE" w14:textId="77777777" w:rsidR="005C759C" w:rsidRDefault="005C759C" w:rsidP="00DB0979">
            <w:pPr>
              <w:jc w:val="center"/>
            </w:pPr>
            <w:r>
              <w:t>Character text splitter</w:t>
            </w:r>
          </w:p>
        </w:tc>
        <w:tc>
          <w:tcPr>
            <w:tcW w:w="2338" w:type="dxa"/>
          </w:tcPr>
          <w:p w14:paraId="365D5092" w14:textId="77777777" w:rsidR="005C759C" w:rsidRDefault="005C759C" w:rsidP="00DB0979">
            <w:pPr>
              <w:jc w:val="center"/>
            </w:pPr>
            <w:r>
              <w:t>Recursive text splitter</w:t>
            </w:r>
          </w:p>
          <w:p w14:paraId="34E8C230" w14:textId="77777777" w:rsidR="007E5C0C" w:rsidRDefault="007E5C0C" w:rsidP="007E5C0C">
            <w:pPr>
              <w:jc w:val="center"/>
            </w:pPr>
            <w:r>
              <w:t xml:space="preserve">Default </w:t>
            </w:r>
            <w:proofErr w:type="gramStart"/>
            <w:r>
              <w:t>separators</w:t>
            </w:r>
            <w:proofErr w:type="gramEnd"/>
          </w:p>
          <w:p w14:paraId="56F4ADF1" w14:textId="606E7A69" w:rsidR="007E5C0C" w:rsidRDefault="007E5C0C" w:rsidP="007E5C0C">
            <w:pPr>
              <w:jc w:val="center"/>
            </w:pPr>
            <w:r w:rsidRPr="007E5C0C">
              <w:t>["\n\n", "\n", " ", ""]</w:t>
            </w:r>
          </w:p>
        </w:tc>
      </w:tr>
      <w:tr w:rsidR="005C759C" w14:paraId="78B94B7E" w14:textId="77777777" w:rsidTr="00DB0979">
        <w:tc>
          <w:tcPr>
            <w:tcW w:w="2337" w:type="dxa"/>
          </w:tcPr>
          <w:p w14:paraId="3EDA0D30" w14:textId="77777777" w:rsidR="005C759C" w:rsidRDefault="005C759C" w:rsidP="00DB0979">
            <w:pPr>
              <w:jc w:val="center"/>
            </w:pPr>
            <w:r>
              <w:t>1000, 200</w:t>
            </w:r>
          </w:p>
        </w:tc>
        <w:tc>
          <w:tcPr>
            <w:tcW w:w="2337" w:type="dxa"/>
          </w:tcPr>
          <w:p w14:paraId="4E38C52D" w14:textId="77777777" w:rsidR="005C759C" w:rsidRDefault="005C759C" w:rsidP="00DB0979">
            <w:pPr>
              <w:jc w:val="center"/>
            </w:pPr>
            <w:r>
              <w:t>5/6 with ‘.’</w:t>
            </w:r>
          </w:p>
          <w:p w14:paraId="72F127E9" w14:textId="26CEB9D3" w:rsidR="005C759C" w:rsidRDefault="00AD5E78" w:rsidP="00DB0979">
            <w:pPr>
              <w:jc w:val="center"/>
            </w:pPr>
            <w:r>
              <w:t>6/6 with ‘\n’</w:t>
            </w:r>
          </w:p>
        </w:tc>
        <w:tc>
          <w:tcPr>
            <w:tcW w:w="2338" w:type="dxa"/>
          </w:tcPr>
          <w:p w14:paraId="28950A4F" w14:textId="1A4156A1" w:rsidR="005C759C" w:rsidRDefault="00E50EDB" w:rsidP="00DB0979">
            <w:pPr>
              <w:jc w:val="center"/>
            </w:pPr>
            <w:r>
              <w:t>6/6</w:t>
            </w:r>
          </w:p>
        </w:tc>
      </w:tr>
      <w:tr w:rsidR="005C759C" w14:paraId="36108F73" w14:textId="77777777" w:rsidTr="00DB0979">
        <w:tc>
          <w:tcPr>
            <w:tcW w:w="2337" w:type="dxa"/>
          </w:tcPr>
          <w:p w14:paraId="779215F5" w14:textId="77777777" w:rsidR="005C759C" w:rsidRDefault="005C759C" w:rsidP="00DB0979">
            <w:pPr>
              <w:jc w:val="center"/>
            </w:pPr>
            <w:r>
              <w:t>500, 100</w:t>
            </w:r>
          </w:p>
        </w:tc>
        <w:tc>
          <w:tcPr>
            <w:tcW w:w="2337" w:type="dxa"/>
          </w:tcPr>
          <w:p w14:paraId="3A615B81" w14:textId="57C50DBE" w:rsidR="007D0DB2" w:rsidRDefault="004B46C5" w:rsidP="007D0DB2">
            <w:pPr>
              <w:jc w:val="center"/>
            </w:pPr>
            <w:r>
              <w:t>6/6 with ‘.’</w:t>
            </w:r>
          </w:p>
          <w:p w14:paraId="4400354F" w14:textId="7BC754A3" w:rsidR="005C759C" w:rsidRDefault="00E23D45" w:rsidP="00DB0979">
            <w:pPr>
              <w:jc w:val="center"/>
            </w:pPr>
            <w:r>
              <w:t>6/6 with ‘\n’</w:t>
            </w:r>
          </w:p>
        </w:tc>
        <w:tc>
          <w:tcPr>
            <w:tcW w:w="2338" w:type="dxa"/>
          </w:tcPr>
          <w:p w14:paraId="570A028C" w14:textId="13F463E3" w:rsidR="005C759C" w:rsidRDefault="00811169" w:rsidP="00DB0979">
            <w:pPr>
              <w:jc w:val="center"/>
            </w:pPr>
            <w:r>
              <w:t>6/6</w:t>
            </w:r>
          </w:p>
        </w:tc>
      </w:tr>
      <w:tr w:rsidR="005C759C" w14:paraId="582421DC" w14:textId="77777777" w:rsidTr="00DB0979">
        <w:tc>
          <w:tcPr>
            <w:tcW w:w="2337" w:type="dxa"/>
          </w:tcPr>
          <w:p w14:paraId="345BF968" w14:textId="77777777" w:rsidR="005C759C" w:rsidRDefault="005C759C" w:rsidP="00DB0979">
            <w:pPr>
              <w:jc w:val="center"/>
            </w:pPr>
            <w:r>
              <w:t>700, 200</w:t>
            </w:r>
          </w:p>
        </w:tc>
        <w:tc>
          <w:tcPr>
            <w:tcW w:w="2337" w:type="dxa"/>
          </w:tcPr>
          <w:p w14:paraId="477BE153" w14:textId="4A38D0BD" w:rsidR="007D0DB2" w:rsidRDefault="00F77240" w:rsidP="007D0DB2">
            <w:pPr>
              <w:jc w:val="center"/>
            </w:pPr>
            <w:r>
              <w:t>6/6 with ‘.’</w:t>
            </w:r>
          </w:p>
          <w:p w14:paraId="767FFF1F" w14:textId="2BB9B654" w:rsidR="005C759C" w:rsidRDefault="007A3714" w:rsidP="00DB0979">
            <w:pPr>
              <w:jc w:val="center"/>
            </w:pPr>
            <w:r>
              <w:t>6/6 with ‘\n’</w:t>
            </w:r>
          </w:p>
        </w:tc>
        <w:tc>
          <w:tcPr>
            <w:tcW w:w="2338" w:type="dxa"/>
          </w:tcPr>
          <w:p w14:paraId="276B3D87" w14:textId="11B24693" w:rsidR="005C759C" w:rsidRDefault="006C3F11" w:rsidP="00DB0979">
            <w:pPr>
              <w:jc w:val="center"/>
            </w:pPr>
            <w:r>
              <w:t>6/6</w:t>
            </w:r>
          </w:p>
        </w:tc>
      </w:tr>
    </w:tbl>
    <w:p w14:paraId="1701DFA9" w14:textId="77777777" w:rsidR="005C759C" w:rsidRPr="009E4414" w:rsidRDefault="005C759C" w:rsidP="00A3540F"/>
    <w:p w14:paraId="1C330411" w14:textId="782F1E0E" w:rsidR="009D665D" w:rsidRDefault="009E7E1A" w:rsidP="00A3540F">
      <w:r>
        <w:t>Semantic chunking:</w:t>
      </w:r>
    </w:p>
    <w:p w14:paraId="3593E9E0" w14:textId="34BE5496" w:rsidR="009E7E1A" w:rsidRDefault="00267A89" w:rsidP="00A3540F">
      <w:r>
        <w:t>6/6 with percentile</w:t>
      </w:r>
    </w:p>
    <w:p w14:paraId="7A39F020" w14:textId="77777777" w:rsidR="009C2C6A" w:rsidRDefault="009F302D" w:rsidP="009C2C6A">
      <w:r>
        <w:t xml:space="preserve">Std and </w:t>
      </w:r>
      <w:proofErr w:type="spellStart"/>
      <w:r>
        <w:t>iqr</w:t>
      </w:r>
      <w:proofErr w:type="spellEnd"/>
      <w:r>
        <w:t xml:space="preserve"> took over 30 minutes to </w:t>
      </w:r>
      <w:proofErr w:type="gramStart"/>
      <w:r>
        <w:t>run</w:t>
      </w:r>
      <w:proofErr w:type="gramEnd"/>
    </w:p>
    <w:p w14:paraId="0BC7EF64" w14:textId="00D4AE93" w:rsidR="00D141FF" w:rsidRDefault="00D141FF" w:rsidP="009C2C6A">
      <w:r>
        <w:t>Analysis:</w:t>
      </w:r>
    </w:p>
    <w:p w14:paraId="46B4E4DA" w14:textId="554DEBA2" w:rsidR="00D141FF" w:rsidRDefault="00D141FF" w:rsidP="00D141FF">
      <w:r>
        <w:t>Semantic chunking in approach 3 might have produced better results than in any other approach, but since it was taking too long to create chunks, we had to halt the process.</w:t>
      </w:r>
    </w:p>
    <w:sectPr w:rsidR="00D14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B55D47"/>
    <w:multiLevelType w:val="hybridMultilevel"/>
    <w:tmpl w:val="92CC0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FB7398"/>
    <w:multiLevelType w:val="hybridMultilevel"/>
    <w:tmpl w:val="C366D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686254">
    <w:abstractNumId w:val="1"/>
  </w:num>
  <w:num w:numId="2" w16cid:durableId="1191411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C4"/>
    <w:rsid w:val="00007226"/>
    <w:rsid w:val="00043F23"/>
    <w:rsid w:val="00066A6F"/>
    <w:rsid w:val="0007037E"/>
    <w:rsid w:val="00087603"/>
    <w:rsid w:val="000944B9"/>
    <w:rsid w:val="000B55C2"/>
    <w:rsid w:val="000E4354"/>
    <w:rsid w:val="001058FC"/>
    <w:rsid w:val="00116BF5"/>
    <w:rsid w:val="00151C6A"/>
    <w:rsid w:val="001A6844"/>
    <w:rsid w:val="00267A89"/>
    <w:rsid w:val="002E036E"/>
    <w:rsid w:val="0033345B"/>
    <w:rsid w:val="003C780A"/>
    <w:rsid w:val="003D6121"/>
    <w:rsid w:val="003E3AD1"/>
    <w:rsid w:val="00454BBB"/>
    <w:rsid w:val="004B46C5"/>
    <w:rsid w:val="004D1AF0"/>
    <w:rsid w:val="005734E5"/>
    <w:rsid w:val="00575665"/>
    <w:rsid w:val="00591ACB"/>
    <w:rsid w:val="005A6175"/>
    <w:rsid w:val="005C27CA"/>
    <w:rsid w:val="005C759C"/>
    <w:rsid w:val="005F4144"/>
    <w:rsid w:val="00684B09"/>
    <w:rsid w:val="00695851"/>
    <w:rsid w:val="006C3F11"/>
    <w:rsid w:val="0070419B"/>
    <w:rsid w:val="007747A6"/>
    <w:rsid w:val="007942FA"/>
    <w:rsid w:val="007A367F"/>
    <w:rsid w:val="007A3714"/>
    <w:rsid w:val="007D0DB2"/>
    <w:rsid w:val="007E5C0C"/>
    <w:rsid w:val="007E6827"/>
    <w:rsid w:val="00811169"/>
    <w:rsid w:val="00862F48"/>
    <w:rsid w:val="00956B79"/>
    <w:rsid w:val="009C2C6A"/>
    <w:rsid w:val="009D665D"/>
    <w:rsid w:val="009E1665"/>
    <w:rsid w:val="009E4414"/>
    <w:rsid w:val="009E7E1A"/>
    <w:rsid w:val="009F302D"/>
    <w:rsid w:val="00A3540F"/>
    <w:rsid w:val="00AD5E78"/>
    <w:rsid w:val="00B504E1"/>
    <w:rsid w:val="00B768CF"/>
    <w:rsid w:val="00BB39FA"/>
    <w:rsid w:val="00BF271F"/>
    <w:rsid w:val="00BF4FC4"/>
    <w:rsid w:val="00C10636"/>
    <w:rsid w:val="00C46785"/>
    <w:rsid w:val="00C91001"/>
    <w:rsid w:val="00D07F60"/>
    <w:rsid w:val="00D141FF"/>
    <w:rsid w:val="00D21596"/>
    <w:rsid w:val="00DE1123"/>
    <w:rsid w:val="00E23D45"/>
    <w:rsid w:val="00E467BE"/>
    <w:rsid w:val="00E50EDB"/>
    <w:rsid w:val="00E60AF6"/>
    <w:rsid w:val="00EA3D5C"/>
    <w:rsid w:val="00F77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010A0"/>
  <w15:chartTrackingRefBased/>
  <w15:docId w15:val="{2636D241-24D7-4B7F-931A-57EF8696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C0C"/>
  </w:style>
  <w:style w:type="paragraph" w:styleId="Heading1">
    <w:name w:val="heading 1"/>
    <w:basedOn w:val="Normal"/>
    <w:next w:val="Normal"/>
    <w:link w:val="Heading1Char"/>
    <w:uiPriority w:val="9"/>
    <w:qFormat/>
    <w:rsid w:val="00BF4F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F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F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F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F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F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F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F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F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F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F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F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F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F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F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F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F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F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F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F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F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F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F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F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F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F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F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F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354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Muhammad</dc:creator>
  <cp:keywords/>
  <dc:description/>
  <cp:lastModifiedBy>Usman Muhammad</cp:lastModifiedBy>
  <cp:revision>64</cp:revision>
  <dcterms:created xsi:type="dcterms:W3CDTF">2024-05-29T12:31:00Z</dcterms:created>
  <dcterms:modified xsi:type="dcterms:W3CDTF">2024-05-31T10:49:00Z</dcterms:modified>
</cp:coreProperties>
</file>