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656"/>
        <w:gridCol w:w="6624"/>
        <w:gridCol w:w="1656"/>
      </w:tblGrid>
      <w:tr>
        <w:tc>
          <w:tcPr>
            <w:tcW w:type="dxa" w:w="3312"/>
            <w:tcMar>
              <w:top w:w="0" w:type="dxa"/>
              <w:start w:w="0" w:type="dxa"/>
              <w:bottom w:w="0" w:type="dxa"/>
              <w:end w:w="0" w:type="dxa"/>
            </w:tcMar>
          </w:tcPr>
          <w:p>
            <w:r>
              <w:drawing>
                <wp:inline xmlns:a="http://schemas.openxmlformats.org/drawingml/2006/main" xmlns:pic="http://schemas.openxmlformats.org/drawingml/2006/picture">
                  <wp:extent cx="502920" cy="509857"/>
                  <wp:docPr id="1" name="Picture 1"/>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502920" cy="509857"/>
                          </a:xfrm>
                          <a:prstGeom prst="rect"/>
                        </pic:spPr>
                      </pic:pic>
                    </a:graphicData>
                  </a:graphic>
                </wp:inline>
              </w:drawing>
            </w:r>
          </w:p>
        </w:tc>
        <w:tc>
          <w:tcPr>
            <w:tcW w:type="dxa" w:w="3312"/>
            <w:tcMar>
              <w:top w:w="0" w:type="dxa"/>
              <w:start w:w="0" w:type="dxa"/>
              <w:bottom w:w="0" w:type="dxa"/>
              <w:end w:w="0" w:type="dxa"/>
            </w:tcMar>
          </w:tcPr>
          <w:p>
            <w:pPr>
              <w:jc w:val="center"/>
            </w:pPr>
            <w:r>
              <w:rPr>
                <w:rFonts w:ascii="Arial" w:hAnsi="Arial"/>
                <w:b/>
                <w:sz w:val="20"/>
              </w:rPr>
              <w:t>UNIVERSITY OF SANTO TOMAS</w:t>
              <w:br/>
              <w:t>College of Information and Computing Sciences</w:t>
              <w:br/>
              <w:t>Department of Information Systems</w:t>
              <w:br/>
              <w:t>1st Semester AY 2026–2027</w:t>
            </w:r>
          </w:p>
        </w:tc>
        <w:tc>
          <w:tcPr>
            <w:tcW w:type="dxa" w:w="3312"/>
            <w:tcMar>
              <w:top w:w="0" w:type="dxa"/>
              <w:start w:w="0" w:type="dxa"/>
              <w:bottom w:w="0" w:type="dxa"/>
              <w:end w:w="0" w:type="dxa"/>
            </w:tcMar>
          </w:tcPr>
          <w:p>
            <w:pPr>
              <w:jc w:val="right"/>
            </w:pPr>
            <w:r>
              <w:drawing>
                <wp:inline xmlns:a="http://schemas.openxmlformats.org/drawingml/2006/main" xmlns:pic="http://schemas.openxmlformats.org/drawingml/2006/picture">
                  <wp:extent cx="502920" cy="567581"/>
                  <wp:docPr id="2" name="Picture 2"/>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502920" cy="567581"/>
                          </a:xfrm>
                          <a:prstGeom prst="rect"/>
                        </pic:spPr>
                      </pic:pic>
                    </a:graphicData>
                  </a:graphic>
                </wp:inline>
              </w:drawing>
            </w:r>
          </w:p>
        </w:tc>
      </w:tr>
    </w:tbl>
    <w:p>
      <w:pPr>
        <w:widowControl/>
      </w:pPr>
      <w:r>
        <w:rPr>
          <w:rFonts w:ascii="Arial" w:hAnsi="Arial"/>
          <w:i w:val="0"/>
          <w:sz w:val="10"/>
        </w:rPr>
      </w:r>
    </w:p>
    <w:p>
      <w:pPr>
        <w:widowControl/>
        <w:spacing w:before="1160"/>
        <w:jc w:val="center"/>
      </w:pPr>
      <w:r>
        <w:rPr>
          <w:rFonts w:ascii="Arial" w:hAnsi="Arial"/>
          <w:b/>
          <w:sz w:val="44"/>
        </w:rPr>
        <w:t>A Prescriptive Analytics Driven Decision Support System for Pharmaceutical Demand Forecasting and Planning in MedShield Pharmaceutical Corporation</w:t>
      </w:r>
    </w:p>
    <w:p>
      <w:pPr>
        <w:widowControl/>
      </w:pPr>
      <w:r>
        <w:rPr>
          <w:rFonts w:ascii="Arial" w:hAnsi="Arial"/>
          <w:i w:val="0"/>
          <w:sz w:val="16"/>
        </w:rPr>
      </w:r>
    </w:p>
    <w:p>
      <w:pPr>
        <w:widowControl/>
        <w:jc w:val="center"/>
      </w:pPr>
      <w:r>
        <w:rPr>
          <w:rFonts w:ascii="Arial" w:hAnsi="Arial"/>
          <w:i w:val="0"/>
          <w:sz w:val="30"/>
        </w:rPr>
        <w:t>CHAPTER 4</w:t>
        <w:br/>
        <w:t>RESULTS AND DISCUSSION</w:t>
      </w:r>
    </w:p>
    <w:p>
      <w:pPr>
        <w:widowControl/>
        <w:jc w:val="center"/>
      </w:pPr>
      <w:r>
        <w:rPr>
          <w:rFonts w:ascii="Arial" w:hAnsi="Arial"/>
          <w:i w:val="0"/>
          <w:sz w:val="20"/>
        </w:rPr>
        <w:t>A Capstone Project Manuscript Presented to the</w:t>
        <w:br/>
        <w:t>Department of Information Systems</w:t>
        <w:br/>
        <w:t>College of Information and Computing Sciences</w:t>
        <w:br/>
        <w:t>University of Santo Tomas</w:t>
      </w:r>
    </w:p>
    <w:p>
      <w:pPr>
        <w:widowControl/>
        <w:jc w:val="center"/>
      </w:pPr>
      <w:r>
        <w:rPr>
          <w:rFonts w:ascii="Arial" w:hAnsi="Arial"/>
          <w:i w:val="0"/>
          <w:sz w:val="20"/>
        </w:rPr>
        <w:t>In partial fulfillment</w:t>
        <w:br/>
        <w:t>of the requirements for the degree of</w:t>
        <w:br/>
        <w:t>Bachelor of Science in Information Systems</w:t>
      </w:r>
    </w:p>
    <w:p>
      <w:pPr>
        <w:widowControl/>
        <w:jc w:val="center"/>
      </w:pPr>
      <w:r>
        <w:rPr>
          <w:rFonts w:ascii="Arial" w:hAnsi="Arial"/>
          <w:i w:val="0"/>
          <w:sz w:val="20"/>
        </w:rPr>
        <w:t>Angeles, Ethan Gabriel C.</w:t>
        <w:br/>
        <w:t>Atabelo, Kerr Lawrence T.</w:t>
        <w:br/>
        <w:t>Benedicto, Adrian Lei M.</w:t>
        <w:br/>
        <w:t>San Miguel, Keith Nicolai R.</w:t>
      </w:r>
    </w:p>
    <w:p>
      <w:pPr>
        <w:widowControl/>
        <w:jc w:val="center"/>
      </w:pPr>
      <w:r>
        <w:rPr>
          <w:rFonts w:ascii="Arial" w:hAnsi="Arial"/>
          <w:i w:val="0"/>
          <w:sz w:val="20"/>
        </w:rPr>
        <w:t>Joseph Richard G. Catubag, MBA</w:t>
        <w:br/>
        <w:t>Capstone Adviser</w:t>
      </w:r>
    </w:p>
    <w:p>
      <w:pPr>
        <w:widowControl/>
        <w:jc w:val="center"/>
      </w:pPr>
      <w:r>
        <w:rPr>
          <w:rFonts w:ascii="Arial" w:hAnsi="Arial"/>
          <w:i w:val="0"/>
          <w:sz w:val="20"/>
        </w:rPr>
        <w:t>September 2026</w:t>
      </w:r>
    </w:p>
    <w:p>
      <w:pPr>
        <w:widowControl/>
      </w:pPr>
      <w:r>
        <w:rPr>
          <w:rFonts w:ascii="Arial" w:hAnsi="Arial"/>
        </w:rPr>
        <w:br w:type="page"/>
      </w:r>
    </w:p>
    <w:p>
      <w:pPr>
        <w:widowControl/>
        <w:jc w:val="center"/>
      </w:pPr>
      <w:r>
        <w:rPr>
          <w:rFonts w:ascii="Arial" w:hAnsi="Arial"/>
          <w:i w:val="0"/>
          <w:sz w:val="28"/>
        </w:rPr>
        <w:t>Chapter 4</w:t>
      </w:r>
    </w:p>
    <w:p>
      <w:pPr>
        <w:widowControl/>
        <w:jc w:val="center"/>
      </w:pPr>
      <w:r>
        <w:rPr>
          <w:rFonts w:ascii="Arial" w:hAnsi="Arial"/>
          <w:b/>
          <w:i w:val="0"/>
          <w:sz w:val="28"/>
        </w:rPr>
        <w:t>Results and Discussion</w:t>
      </w:r>
    </w:p>
    <w:p>
      <w:pPr>
        <w:widowControl/>
      </w:pPr>
      <w:r>
        <w:rPr>
          <w:rFonts w:ascii="Arial" w:hAnsi="Arial"/>
          <w:i w:val="0"/>
        </w:rPr>
        <w:t>This chapter presented and discussed the results of the MedShield Pharmaceutical Corporation Decision Support System (DSS). The discussion followed the approved four-part Chapter 4 structure and traced the evidence from data preparation to descriptive analysis, predictive evaluation, prescriptive scenarios, and dashboard delivery. The historical study scope covered 2017 through 23 September 2026, with 2026 treated as the current year-to-date period rather than as a completed calendar year. The reproducible local transaction extract contained validated actual records only through 31 December 2025. No validated 2026 sales transactions were available in that extract as of the reporting cutoff; consequently, the 2026 year-to-date period remained within the study scope but was reported as unavailable pending ingestion and validation. It was neither assigned a zero value nor replaced with forecast observations.</w:t>
      </w:r>
    </w:p>
    <w:p>
      <w:pPr>
        <w:widowControl/>
      </w:pPr>
      <w:r>
        <w:rPr>
          <w:rFonts w:ascii="Arial" w:hAnsi="Arial"/>
          <w:i w:val="0"/>
        </w:rPr>
        <w:t>Three evidence labels were applied throughout the chapter. Observed results were computed directly from validated source records. Model-derived results were estimates produced through documented analytical procedures and remained subject to validation. Scenario results depended on explicit business assumptions and were not treated as procurement instructions. This distinction prevented incomplete inventory, cost, supplier, expiry, and external-signal data from being presented as operational facts.</w:t>
      </w:r>
    </w:p>
    <w:p>
      <w:pPr>
        <w:pStyle w:val="Heading1"/>
        <w:widowControl/>
      </w:pPr>
      <w:r>
        <w:rPr>
          <w:rFonts w:ascii="Arial" w:hAnsi="Arial"/>
        </w:rPr>
        <w:t>4.1 Presentation of Results</w:t>
      </w:r>
    </w:p>
    <w:p>
      <w:pPr>
        <w:widowControl/>
      </w:pPr>
      <w:r>
        <w:rPr>
          <w:rFonts w:ascii="Arial" w:hAnsi="Arial"/>
          <w:i w:val="0"/>
        </w:rPr>
        <w:t>This section presented the evidence used to evaluate the MedShield DSS before interpreting its analytical findings. It established the system and data sources, reported ingestion and quality outcomes, documented preprocessing and analytical-readiness controls, described the resulting dataset and mappings, and summarized the verification evidence used in the succeeding sections.</w:t>
      </w:r>
    </w:p>
    <w:p>
      <w:pPr>
        <w:pStyle w:val="Heading2"/>
        <w:widowControl/>
      </w:pPr>
      <w:r>
        <w:rPr>
          <w:rFonts w:ascii="Arial" w:hAnsi="Arial"/>
        </w:rPr>
        <w:t>4.1.1 Analytical and System Evidence Base</w:t>
      </w:r>
    </w:p>
    <w:p>
      <w:pPr>
        <w:widowControl/>
      </w:pPr>
      <w:r>
        <w:rPr>
          <w:rFonts w:ascii="Arial" w:hAnsi="Arial"/>
          <w:i w:val="0"/>
        </w:rPr>
        <w:t>The implemented DSS used a Next.js dashboard, a TypeScript service layer, and Python analytical services. The analysis used predictive_draft commit a8b69ce dated 25 September 2026, together with the descriptive outputs generated on the same date. The evidence flow began with annual sales workbooks, applied validation and standardization, produced descriptive and model outputs, and presented the results through five decision modules: Sales Diagnostics, Product Prioritization, Area Prioritization, Forecast Modeling, and Prescriptive Planning. The North Star question concerning inventory optimization and loss reduction was therefore addressed as a governed sequence from historical evidence to human-reviewed planning scenarios.</w:t>
      </w:r>
    </w:p>
    <w:p>
      <w:pPr>
        <w:keepNext/>
        <w:widowControl/>
        <w:jc w:val="center"/>
      </w:pPr>
      <w:r>
        <w:rPr>
          <w:rFonts w:ascii="Arial" w:hAnsi="Arial"/>
          <w:b/>
          <w:i/>
          <w:sz w:val="19"/>
        </w:rPr>
        <w:t>Table 4.1 Evidence inventory used in Chapter 4</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2484"/>
        <w:gridCol w:w="2484"/>
        <w:gridCol w:w="2484"/>
        <w:gridCol w:w="2484"/>
      </w:tblGrid>
      <w:tr>
        <w:trPr>
          <w:tblHeader w:val="true"/>
        </w:trPr>
        <w:tc>
          <w:tcPr>
            <w:tcW w:type="dxa" w:w="1512"/>
            <w:shd w:fill="2A6F9E"/>
            <w:tcMar>
              <w:top w:w="70" w:type="dxa"/>
              <w:start w:w="90" w:type="dxa"/>
              <w:bottom w:w="70" w:type="dxa"/>
              <w:end w:w="90" w:type="dxa"/>
            </w:tcMar>
            <w:vAlign w:val="center"/>
          </w:tcPr>
          <w:p>
            <w:pPr>
              <w:jc w:val="center"/>
            </w:pPr>
            <w:r>
              <w:rPr>
                <w:b/>
                <w:color w:val="FFFFFF"/>
                <w:sz w:val="17"/>
              </w:rPr>
              <w:t>Evidence layer</w:t>
            </w:r>
          </w:p>
        </w:tc>
        <w:tc>
          <w:tcPr>
            <w:tcW w:type="dxa" w:w="2664"/>
            <w:shd w:fill="2A6F9E"/>
            <w:tcMar>
              <w:top w:w="70" w:type="dxa"/>
              <w:start w:w="90" w:type="dxa"/>
              <w:bottom w:w="70" w:type="dxa"/>
              <w:end w:w="90" w:type="dxa"/>
            </w:tcMar>
            <w:vAlign w:val="center"/>
          </w:tcPr>
          <w:p>
            <w:pPr>
              <w:jc w:val="center"/>
            </w:pPr>
            <w:r>
              <w:rPr>
                <w:b/>
                <w:color w:val="FFFFFF"/>
                <w:sz w:val="17"/>
              </w:rPr>
              <w:t>Repository evidence</w:t>
            </w:r>
          </w:p>
        </w:tc>
        <w:tc>
          <w:tcPr>
            <w:tcW w:type="dxa" w:w="2880"/>
            <w:shd w:fill="2A6F9E"/>
            <w:tcMar>
              <w:top w:w="70" w:type="dxa"/>
              <w:start w:w="90" w:type="dxa"/>
              <w:bottom w:w="70" w:type="dxa"/>
              <w:end w:w="90" w:type="dxa"/>
            </w:tcMar>
            <w:vAlign w:val="center"/>
          </w:tcPr>
          <w:p>
            <w:pPr>
              <w:jc w:val="center"/>
            </w:pPr>
            <w:r>
              <w:rPr>
                <w:b/>
                <w:color w:val="FFFFFF"/>
                <w:sz w:val="17"/>
              </w:rPr>
              <w:t>Use in this chapter</w:t>
            </w:r>
          </w:p>
        </w:tc>
        <w:tc>
          <w:tcPr>
            <w:tcW w:type="dxa" w:w="2880"/>
            <w:shd w:fill="2A6F9E"/>
            <w:tcMar>
              <w:top w:w="70" w:type="dxa"/>
              <w:start w:w="90" w:type="dxa"/>
              <w:bottom w:w="70" w:type="dxa"/>
              <w:end w:w="90" w:type="dxa"/>
            </w:tcMar>
            <w:vAlign w:val="center"/>
          </w:tcPr>
          <w:p>
            <w:pPr>
              <w:jc w:val="center"/>
            </w:pPr>
            <w:r>
              <w:rPr>
                <w:b/>
                <w:color w:val="FFFFFF"/>
                <w:sz w:val="17"/>
              </w:rPr>
              <w:t>Qualification</w:t>
            </w:r>
          </w:p>
        </w:tc>
      </w:tr>
      <w:tr>
        <w:trPr>
          <w:cantSplit/>
        </w:trPr>
        <w:tc>
          <w:tcPr>
            <w:tcW w:type="dxa" w:w="1512"/>
            <w:tcMar>
              <w:top w:w="70" w:type="dxa"/>
              <w:start w:w="90" w:type="dxa"/>
              <w:bottom w:w="70" w:type="dxa"/>
              <w:end w:w="90" w:type="dxa"/>
            </w:tcMar>
            <w:vAlign w:val="center"/>
          </w:tcPr>
          <w:p>
            <w:pPr>
              <w:spacing w:after="0" w:line="252" w:lineRule="auto"/>
            </w:pPr>
            <w:r>
              <w:rPr>
                <w:rFonts w:ascii="Arial" w:hAnsi="Arial"/>
                <w:sz w:val="16"/>
              </w:rPr>
              <w:t>Internal sales</w:t>
            </w:r>
          </w:p>
        </w:tc>
        <w:tc>
          <w:tcPr>
            <w:tcW w:type="dxa" w:w="2664"/>
            <w:tcMar>
              <w:top w:w="70" w:type="dxa"/>
              <w:start w:w="90" w:type="dxa"/>
              <w:bottom w:w="70" w:type="dxa"/>
              <w:end w:w="90" w:type="dxa"/>
            </w:tcMar>
            <w:vAlign w:val="center"/>
          </w:tcPr>
          <w:p>
            <w:pPr>
              <w:spacing w:after="0" w:line="252" w:lineRule="auto"/>
            </w:pPr>
            <w:r>
              <w:rPr>
                <w:rFonts w:ascii="Arial" w:hAnsi="Arial"/>
                <w:sz w:val="16"/>
              </w:rPr>
              <w:t>Nine validated source-year files, 2017–2025; 2026 YTD input pending</w:t>
            </w:r>
          </w:p>
        </w:tc>
        <w:tc>
          <w:tcPr>
            <w:tcW w:type="dxa" w:w="2880"/>
            <w:tcMar>
              <w:top w:w="70" w:type="dxa"/>
              <w:start w:w="90" w:type="dxa"/>
              <w:bottom w:w="70" w:type="dxa"/>
              <w:end w:w="90" w:type="dxa"/>
            </w:tcMar>
            <w:vAlign w:val="center"/>
          </w:tcPr>
          <w:p>
            <w:pPr>
              <w:spacing w:after="0" w:line="252" w:lineRule="auto"/>
            </w:pPr>
            <w:r>
              <w:rPr>
                <w:rFonts w:ascii="Arial" w:hAnsi="Arial"/>
                <w:sz w:val="16"/>
              </w:rPr>
              <w:t>Historical scope through 23 Sep 2026; computed actuals through Dec 2025</w:t>
            </w:r>
          </w:p>
        </w:tc>
        <w:tc>
          <w:tcPr>
            <w:tcW w:type="dxa" w:w="2880"/>
            <w:tcMar>
              <w:top w:w="70" w:type="dxa"/>
              <w:start w:w="90" w:type="dxa"/>
              <w:bottom w:w="70" w:type="dxa"/>
              <w:end w:w="90" w:type="dxa"/>
            </w:tcMar>
            <w:vAlign w:val="center"/>
          </w:tcPr>
          <w:p>
            <w:pPr>
              <w:spacing w:after="0" w:line="252" w:lineRule="auto"/>
            </w:pPr>
            <w:r>
              <w:rPr>
                <w:rFonts w:ascii="Arial" w:hAnsi="Arial"/>
                <w:sz w:val="16"/>
              </w:rPr>
              <w:t>Observed through 2025; 2026 YTD was unavailable, not zero</w:t>
            </w:r>
          </w:p>
        </w:tc>
      </w:tr>
      <w:tr>
        <w:trPr>
          <w:cantSplit/>
        </w:trPr>
        <w:tc>
          <w:tcPr>
            <w:tcW w:type="dxa" w:w="1512"/>
            <w:tcMar>
              <w:top w:w="70" w:type="dxa"/>
              <w:start w:w="90" w:type="dxa"/>
              <w:bottom w:w="70" w:type="dxa"/>
              <w:end w:w="90" w:type="dxa"/>
            </w:tcMar>
            <w:vAlign w:val="center"/>
            <w:shd w:fill="EAF3F8"/>
          </w:tcPr>
          <w:p>
            <w:pPr>
              <w:spacing w:after="0" w:line="252" w:lineRule="auto"/>
            </w:pPr>
            <w:r>
              <w:rPr>
                <w:rFonts w:ascii="Arial" w:hAnsi="Arial"/>
                <w:sz w:val="16"/>
              </w:rPr>
              <w:t>Descriptive analytics</w:t>
            </w:r>
          </w:p>
        </w:tc>
        <w:tc>
          <w:tcPr>
            <w:tcW w:type="dxa" w:w="2664"/>
            <w:tcMar>
              <w:top w:w="70" w:type="dxa"/>
              <w:start w:w="90" w:type="dxa"/>
              <w:bottom w:w="70" w:type="dxa"/>
              <w:end w:w="90" w:type="dxa"/>
            </w:tcMar>
            <w:vAlign w:val="center"/>
            <w:shd w:fill="EAF3F8"/>
          </w:tcPr>
          <w:p>
            <w:pPr>
              <w:spacing w:after="0" w:line="252" w:lineRule="auto"/>
            </w:pPr>
            <w:r>
              <w:rPr>
                <w:rFonts w:ascii="Arial" w:hAnsi="Arial"/>
                <w:sz w:val="16"/>
              </w:rPr>
              <w:t>Monthly calendar, STL, Pareto/ABC, YoY, mapping</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SO1–SO2 evidence</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Draft analytical run generated 25 September 2026</w:t>
            </w:r>
          </w:p>
        </w:tc>
      </w:tr>
      <w:tr>
        <w:trPr>
          <w:cantSplit/>
        </w:trPr>
        <w:tc>
          <w:tcPr>
            <w:tcW w:type="dxa" w:w="1512"/>
            <w:tcMar>
              <w:top w:w="70" w:type="dxa"/>
              <w:start w:w="90" w:type="dxa"/>
              <w:bottom w:w="70" w:type="dxa"/>
              <w:end w:w="90" w:type="dxa"/>
            </w:tcMar>
            <w:vAlign w:val="center"/>
          </w:tcPr>
          <w:p>
            <w:pPr>
              <w:spacing w:after="0" w:line="252" w:lineRule="auto"/>
            </w:pPr>
            <w:r>
              <w:rPr>
                <w:rFonts w:ascii="Arial" w:hAnsi="Arial"/>
                <w:sz w:val="16"/>
              </w:rPr>
              <w:t>Predictive analytics</w:t>
            </w:r>
          </w:p>
        </w:tc>
        <w:tc>
          <w:tcPr>
            <w:tcW w:type="dxa" w:w="2664"/>
            <w:tcMar>
              <w:top w:w="70" w:type="dxa"/>
              <w:start w:w="90" w:type="dxa"/>
              <w:bottom w:w="70" w:type="dxa"/>
              <w:end w:w="90" w:type="dxa"/>
            </w:tcMar>
            <w:vAlign w:val="center"/>
          </w:tcPr>
          <w:p>
            <w:pPr>
              <w:spacing w:after="0" w:line="252" w:lineRule="auto"/>
            </w:pPr>
            <w:r>
              <w:rPr>
                <w:rFonts w:ascii="Arial" w:hAnsi="Arial"/>
                <w:sz w:val="16"/>
              </w:rPr>
              <w:t>Historical benchmark/challenger evaluations and a 2026 aggregate forecast artifact</w:t>
            </w:r>
          </w:p>
        </w:tc>
        <w:tc>
          <w:tcPr>
            <w:tcW w:type="dxa" w:w="2880"/>
            <w:tcMar>
              <w:top w:w="70" w:type="dxa"/>
              <w:start w:w="90" w:type="dxa"/>
              <w:bottom w:w="70" w:type="dxa"/>
              <w:end w:w="90" w:type="dxa"/>
            </w:tcMar>
            <w:vAlign w:val="center"/>
          </w:tcPr>
          <w:p>
            <w:pPr>
              <w:spacing w:after="0" w:line="252" w:lineRule="auto"/>
            </w:pPr>
            <w:r>
              <w:rPr>
                <w:rFonts w:ascii="Arial" w:hAnsi="Arial"/>
                <w:sz w:val="16"/>
              </w:rPr>
              <w:t>SO3 readiness and limitations</w:t>
            </w:r>
          </w:p>
        </w:tc>
        <w:tc>
          <w:tcPr>
            <w:tcW w:type="dxa" w:w="2880"/>
            <w:tcMar>
              <w:top w:w="70" w:type="dxa"/>
              <w:start w:w="90" w:type="dxa"/>
              <w:bottom w:w="70" w:type="dxa"/>
              <w:end w:w="90" w:type="dxa"/>
            </w:tcMar>
            <w:vAlign w:val="center"/>
          </w:tcPr>
          <w:p>
            <w:pPr>
              <w:spacing w:after="0" w:line="252" w:lineRule="auto"/>
            </w:pPr>
            <w:r>
              <w:rPr>
                <w:rFonts w:ascii="Arial" w:hAnsi="Arial"/>
                <w:sz w:val="16"/>
              </w:rPr>
              <w:t>Model-derived; product-region objective not yet fully published</w:t>
            </w:r>
          </w:p>
        </w:tc>
      </w:tr>
      <w:tr>
        <w:trPr>
          <w:cantSplit/>
        </w:trPr>
        <w:tc>
          <w:tcPr>
            <w:tcW w:type="dxa" w:w="1512"/>
            <w:tcMar>
              <w:top w:w="70" w:type="dxa"/>
              <w:start w:w="90" w:type="dxa"/>
              <w:bottom w:w="70" w:type="dxa"/>
              <w:end w:w="90" w:type="dxa"/>
            </w:tcMar>
            <w:vAlign w:val="center"/>
            <w:shd w:fill="EAF3F8"/>
          </w:tcPr>
          <w:p>
            <w:pPr>
              <w:spacing w:after="0" w:line="252" w:lineRule="auto"/>
            </w:pPr>
            <w:r>
              <w:rPr>
                <w:rFonts w:ascii="Arial" w:hAnsi="Arial"/>
                <w:sz w:val="16"/>
              </w:rPr>
              <w:t>Prescriptive analytics</w:t>
            </w:r>
          </w:p>
        </w:tc>
        <w:tc>
          <w:tcPr>
            <w:tcW w:type="dxa" w:w="2664"/>
            <w:tcMar>
              <w:top w:w="70" w:type="dxa"/>
              <w:start w:w="90" w:type="dxa"/>
              <w:bottom w:w="70" w:type="dxa"/>
              <w:end w:w="90" w:type="dxa"/>
            </w:tcMar>
            <w:vAlign w:val="center"/>
            <w:shd w:fill="EAF3F8"/>
          </w:tcPr>
          <w:p>
            <w:pPr>
              <w:spacing w:after="0" w:line="252" w:lineRule="auto"/>
            </w:pPr>
            <w:r>
              <w:rPr>
                <w:rFonts w:ascii="Arial" w:hAnsi="Arial"/>
                <w:sz w:val="16"/>
              </w:rPr>
              <w:t>EOQ/ROP demonstrations, MILP allocation, MCDA sensitivity, and what-if presets</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SO4 scenario evidence</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Scenario-based; not an operational purchase order</w:t>
            </w:r>
          </w:p>
        </w:tc>
      </w:tr>
      <w:tr>
        <w:trPr>
          <w:cantSplit/>
        </w:trPr>
        <w:tc>
          <w:tcPr>
            <w:tcW w:type="dxa" w:w="1512"/>
            <w:tcMar>
              <w:top w:w="70" w:type="dxa"/>
              <w:start w:w="90" w:type="dxa"/>
              <w:bottom w:w="70" w:type="dxa"/>
              <w:end w:w="90" w:type="dxa"/>
            </w:tcMar>
            <w:vAlign w:val="center"/>
          </w:tcPr>
          <w:p>
            <w:pPr>
              <w:spacing w:after="0" w:line="252" w:lineRule="auto"/>
            </w:pPr>
            <w:r>
              <w:rPr>
                <w:rFonts w:ascii="Arial" w:hAnsi="Arial"/>
                <w:sz w:val="16"/>
              </w:rPr>
              <w:t>Application QA</w:t>
            </w:r>
          </w:p>
        </w:tc>
        <w:tc>
          <w:tcPr>
            <w:tcW w:type="dxa" w:w="2664"/>
            <w:tcMar>
              <w:top w:w="70" w:type="dxa"/>
              <w:start w:w="90" w:type="dxa"/>
              <w:bottom w:w="70" w:type="dxa"/>
              <w:end w:w="90" w:type="dxa"/>
            </w:tcMar>
            <w:vAlign w:val="center"/>
          </w:tcPr>
          <w:p>
            <w:pPr>
              <w:spacing w:after="0" w:line="252" w:lineRule="auto"/>
            </w:pPr>
            <w:r>
              <w:rPr>
                <w:rFonts w:ascii="Arial" w:hAnsi="Arial"/>
                <w:sz w:val="16"/>
              </w:rPr>
              <w:t>Historical 57-check report plus current five-module browser suite</w:t>
            </w:r>
          </w:p>
        </w:tc>
        <w:tc>
          <w:tcPr>
            <w:tcW w:type="dxa" w:w="2880"/>
            <w:tcMar>
              <w:top w:w="70" w:type="dxa"/>
              <w:start w:w="90" w:type="dxa"/>
              <w:bottom w:w="70" w:type="dxa"/>
              <w:end w:w="90" w:type="dxa"/>
            </w:tcMar>
            <w:vAlign w:val="center"/>
          </w:tcPr>
          <w:p>
            <w:pPr>
              <w:spacing w:after="0" w:line="252" w:lineRule="auto"/>
            </w:pPr>
            <w:r>
              <w:rPr>
                <w:rFonts w:ascii="Arial" w:hAnsi="Arial"/>
                <w:sz w:val="16"/>
              </w:rPr>
              <w:t>SO5 implementation and current-interface evidence</w:t>
            </w:r>
          </w:p>
        </w:tc>
        <w:tc>
          <w:tcPr>
            <w:tcW w:type="dxa" w:w="2880"/>
            <w:tcMar>
              <w:top w:w="70" w:type="dxa"/>
              <w:start w:w="90" w:type="dxa"/>
              <w:bottom w:w="70" w:type="dxa"/>
              <w:end w:w="90" w:type="dxa"/>
            </w:tcMar>
            <w:vAlign w:val="center"/>
          </w:tcPr>
          <w:p>
            <w:pPr>
              <w:spacing w:after="0" w:line="252" w:lineRule="auto"/>
            </w:pPr>
            <w:r>
              <w:rPr>
                <w:rFonts w:ascii="Arial" w:hAnsi="Arial"/>
                <w:sz w:val="16"/>
              </w:rPr>
              <w:t>57/57 historical checks; 15 active current-runtime checks passed and 4 superseded legacy cases were skipped</w:t>
            </w:r>
          </w:p>
        </w:tc>
      </w:tr>
    </w:tbl>
    <w:p>
      <w:pPr>
        <w:keepNext w:val="0"/>
        <w:widowControl/>
        <w:spacing w:after="140"/>
      </w:pPr>
      <w:r>
        <w:rPr>
          <w:rFonts w:ascii="Arial" w:hAnsi="Arial"/>
          <w:i/>
          <w:color w:val="64748B"/>
          <w:sz w:val="16"/>
        </w:rPr>
        <w:t>Source note: Compiled from repository outputs and system QA artifacts. Evidence status is preserved rather than upgraded by inclusion in this chapter.</w:t>
      </w:r>
    </w:p>
    <w:p>
      <w:pPr>
        <w:pStyle w:val="Heading2"/>
        <w:widowControl/>
      </w:pPr>
      <w:r>
        <w:rPr>
          <w:rFonts w:ascii="Arial" w:hAnsi="Arial"/>
        </w:rPr>
        <w:t>4.1.2 Transaction Ingestion and Data Quality</w:t>
      </w:r>
    </w:p>
    <w:p>
      <w:pPr>
        <w:widowControl/>
      </w:pPr>
      <w:r>
        <w:rPr>
          <w:rFonts w:ascii="Arial" w:hAnsi="Arial"/>
          <w:i w:val="0"/>
        </w:rPr>
        <w:t>The source-ingestion status recorded 40,781 extracted rows from nine annual files. Of these, 35,956 passed the initial acceptance rules, 4,825 were rejected, and 30,151 were classified as valid after quality evaluation. The status file also recorded 5,805 warnings and 63 exact duplicate rows. The principal issues involved missing product names, zero Trade Price with nonzero quantity, missing or invalid delivery dates, and negative Net CP values. These conditions explained why the DSS displayed data-quality and publication status instead of silently repairing all records.</w:t>
      </w:r>
    </w:p>
    <w:p>
      <w:pPr>
        <w:keepNext/>
        <w:widowControl/>
        <w:jc w:val="center"/>
      </w:pPr>
      <w:r>
        <w:rPr>
          <w:rFonts w:ascii="Arial" w:hAnsi="Arial"/>
          <w:b/>
          <w:i/>
          <w:sz w:val="19"/>
        </w:rPr>
        <w:t>Table 4.2 Source-data quality profile</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3312"/>
        <w:gridCol w:w="3312"/>
        <w:gridCol w:w="3312"/>
      </w:tblGrid>
      <w:tr>
        <w:trPr>
          <w:tblHeader w:val="true"/>
        </w:trPr>
        <w:tc>
          <w:tcPr>
            <w:tcW w:type="dxa" w:w="3024"/>
            <w:shd w:fill="2A6F9E"/>
            <w:tcMar>
              <w:top w:w="70" w:type="dxa"/>
              <w:start w:w="90" w:type="dxa"/>
              <w:bottom w:w="70" w:type="dxa"/>
              <w:end w:w="90" w:type="dxa"/>
            </w:tcMar>
            <w:vAlign w:val="center"/>
          </w:tcPr>
          <w:p>
            <w:pPr>
              <w:jc w:val="center"/>
            </w:pPr>
            <w:r>
              <w:rPr>
                <w:b/>
                <w:color w:val="FFFFFF"/>
                <w:sz w:val="17"/>
              </w:rPr>
              <w:t>Measure</w:t>
            </w:r>
          </w:p>
        </w:tc>
        <w:tc>
          <w:tcPr>
            <w:tcW w:type="dxa" w:w="1440"/>
            <w:shd w:fill="2A6F9E"/>
            <w:tcMar>
              <w:top w:w="70" w:type="dxa"/>
              <w:start w:w="90" w:type="dxa"/>
              <w:bottom w:w="70" w:type="dxa"/>
              <w:end w:w="90" w:type="dxa"/>
            </w:tcMar>
            <w:vAlign w:val="center"/>
          </w:tcPr>
          <w:p>
            <w:pPr>
              <w:jc w:val="center"/>
            </w:pPr>
            <w:r>
              <w:rPr>
                <w:b/>
                <w:color w:val="FFFFFF"/>
                <w:sz w:val="17"/>
              </w:rPr>
              <w:t>Count</w:t>
            </w:r>
          </w:p>
        </w:tc>
        <w:tc>
          <w:tcPr>
            <w:tcW w:type="dxa" w:w="5472"/>
            <w:shd w:fill="2A6F9E"/>
            <w:tcMar>
              <w:top w:w="70" w:type="dxa"/>
              <w:start w:w="90" w:type="dxa"/>
              <w:bottom w:w="70" w:type="dxa"/>
              <w:end w:w="90" w:type="dxa"/>
            </w:tcMar>
            <w:vAlign w:val="center"/>
          </w:tcPr>
          <w:p>
            <w:pPr>
              <w:jc w:val="center"/>
            </w:pPr>
            <w:r>
              <w:rPr>
                <w:b/>
                <w:color w:val="FFFFFF"/>
                <w:sz w:val="17"/>
              </w:rPr>
              <w:t>Interpretation</w:t>
            </w:r>
          </w:p>
        </w:tc>
      </w:tr>
      <w:tr>
        <w:trPr>
          <w:cantSplit/>
        </w:trPr>
        <w:tc>
          <w:tcPr>
            <w:tcW w:type="dxa" w:w="3024"/>
            <w:tcMar>
              <w:top w:w="70" w:type="dxa"/>
              <w:start w:w="90" w:type="dxa"/>
              <w:bottom w:w="70" w:type="dxa"/>
              <w:end w:w="90" w:type="dxa"/>
            </w:tcMar>
            <w:vAlign w:val="center"/>
          </w:tcPr>
          <w:p>
            <w:pPr>
              <w:spacing w:after="0" w:line="252" w:lineRule="auto"/>
            </w:pPr>
            <w:r>
              <w:rPr>
                <w:rFonts w:ascii="Arial" w:hAnsi="Arial"/>
                <w:sz w:val="16"/>
              </w:rPr>
              <w:t>Extracted rows</w:t>
            </w:r>
          </w:p>
        </w:tc>
        <w:tc>
          <w:tcPr>
            <w:tcW w:type="dxa" w:w="1440"/>
            <w:tcMar>
              <w:top w:w="70" w:type="dxa"/>
              <w:start w:w="90" w:type="dxa"/>
              <w:bottom w:w="70" w:type="dxa"/>
              <w:end w:w="90" w:type="dxa"/>
            </w:tcMar>
            <w:vAlign w:val="center"/>
          </w:tcPr>
          <w:p>
            <w:pPr>
              <w:spacing w:after="0" w:line="252" w:lineRule="auto"/>
            </w:pPr>
            <w:r>
              <w:rPr>
                <w:rFonts w:ascii="Arial" w:hAnsi="Arial"/>
                <w:sz w:val="16"/>
              </w:rPr>
              <w:t>40,781</w:t>
            </w:r>
          </w:p>
        </w:tc>
        <w:tc>
          <w:tcPr>
            <w:tcW w:type="dxa" w:w="5472"/>
            <w:tcMar>
              <w:top w:w="70" w:type="dxa"/>
              <w:start w:w="90" w:type="dxa"/>
              <w:bottom w:w="70" w:type="dxa"/>
              <w:end w:w="90" w:type="dxa"/>
            </w:tcMar>
            <w:vAlign w:val="center"/>
          </w:tcPr>
          <w:p>
            <w:pPr>
              <w:spacing w:after="0" w:line="252" w:lineRule="auto"/>
            </w:pPr>
            <w:r>
              <w:rPr>
                <w:rFonts w:ascii="Arial" w:hAnsi="Arial"/>
                <w:sz w:val="16"/>
              </w:rPr>
              <w:t>All rows obtained from the nine annual source files</w:t>
            </w:r>
          </w:p>
        </w:tc>
      </w:tr>
      <w:tr>
        <w:trPr>
          <w:cantSplit/>
        </w:trPr>
        <w:tc>
          <w:tcPr>
            <w:tcW w:type="dxa" w:w="3024"/>
            <w:tcMar>
              <w:top w:w="70" w:type="dxa"/>
              <w:start w:w="90" w:type="dxa"/>
              <w:bottom w:w="70" w:type="dxa"/>
              <w:end w:w="90" w:type="dxa"/>
            </w:tcMar>
            <w:vAlign w:val="center"/>
            <w:shd w:fill="EAF3F8"/>
          </w:tcPr>
          <w:p>
            <w:pPr>
              <w:spacing w:after="0" w:line="252" w:lineRule="auto"/>
            </w:pPr>
            <w:r>
              <w:rPr>
                <w:rFonts w:ascii="Arial" w:hAnsi="Arial"/>
                <w:sz w:val="16"/>
              </w:rPr>
              <w:t>Initially accepted</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35,956</w:t>
            </w:r>
          </w:p>
        </w:tc>
        <w:tc>
          <w:tcPr>
            <w:tcW w:type="dxa" w:w="5472"/>
            <w:tcMar>
              <w:top w:w="70" w:type="dxa"/>
              <w:start w:w="90" w:type="dxa"/>
              <w:bottom w:w="70" w:type="dxa"/>
              <w:end w:w="90" w:type="dxa"/>
            </w:tcMar>
            <w:vAlign w:val="center"/>
            <w:shd w:fill="EAF3F8"/>
          </w:tcPr>
          <w:p>
            <w:pPr>
              <w:spacing w:after="0" w:line="252" w:lineRule="auto"/>
            </w:pPr>
            <w:r>
              <w:rPr>
                <w:rFonts w:ascii="Arial" w:hAnsi="Arial"/>
                <w:sz w:val="16"/>
              </w:rPr>
              <w:t>Rows passing the ingestion acceptance rules</w:t>
            </w:r>
          </w:p>
        </w:tc>
      </w:tr>
      <w:tr>
        <w:trPr>
          <w:cantSplit/>
        </w:trPr>
        <w:tc>
          <w:tcPr>
            <w:tcW w:type="dxa" w:w="3024"/>
            <w:tcMar>
              <w:top w:w="70" w:type="dxa"/>
              <w:start w:w="90" w:type="dxa"/>
              <w:bottom w:w="70" w:type="dxa"/>
              <w:end w:w="90" w:type="dxa"/>
            </w:tcMar>
            <w:vAlign w:val="center"/>
          </w:tcPr>
          <w:p>
            <w:pPr>
              <w:spacing w:after="0" w:line="252" w:lineRule="auto"/>
            </w:pPr>
            <w:r>
              <w:rPr>
                <w:rFonts w:ascii="Arial" w:hAnsi="Arial"/>
                <w:sz w:val="16"/>
              </w:rPr>
              <w:t>Rejected</w:t>
            </w:r>
          </w:p>
        </w:tc>
        <w:tc>
          <w:tcPr>
            <w:tcW w:type="dxa" w:w="1440"/>
            <w:tcMar>
              <w:top w:w="70" w:type="dxa"/>
              <w:start w:w="90" w:type="dxa"/>
              <w:bottom w:w="70" w:type="dxa"/>
              <w:end w:w="90" w:type="dxa"/>
            </w:tcMar>
            <w:vAlign w:val="center"/>
          </w:tcPr>
          <w:p>
            <w:pPr>
              <w:spacing w:after="0" w:line="252" w:lineRule="auto"/>
            </w:pPr>
            <w:r>
              <w:rPr>
                <w:rFonts w:ascii="Arial" w:hAnsi="Arial"/>
                <w:sz w:val="16"/>
              </w:rPr>
              <w:t>4,825</w:t>
            </w:r>
          </w:p>
        </w:tc>
        <w:tc>
          <w:tcPr>
            <w:tcW w:type="dxa" w:w="5472"/>
            <w:tcMar>
              <w:top w:w="70" w:type="dxa"/>
              <w:start w:w="90" w:type="dxa"/>
              <w:bottom w:w="70" w:type="dxa"/>
              <w:end w:w="90" w:type="dxa"/>
            </w:tcMar>
            <w:vAlign w:val="center"/>
          </w:tcPr>
          <w:p>
            <w:pPr>
              <w:spacing w:after="0" w:line="252" w:lineRule="auto"/>
            </w:pPr>
            <w:r>
              <w:rPr>
                <w:rFonts w:ascii="Arial" w:hAnsi="Arial"/>
                <w:sz w:val="16"/>
              </w:rPr>
              <w:t>Rows excluded because required validity rules failed</w:t>
            </w:r>
          </w:p>
        </w:tc>
      </w:tr>
      <w:tr>
        <w:trPr>
          <w:cantSplit/>
        </w:trPr>
        <w:tc>
          <w:tcPr>
            <w:tcW w:type="dxa" w:w="3024"/>
            <w:tcMar>
              <w:top w:w="70" w:type="dxa"/>
              <w:start w:w="90" w:type="dxa"/>
              <w:bottom w:w="70" w:type="dxa"/>
              <w:end w:w="90" w:type="dxa"/>
            </w:tcMar>
            <w:vAlign w:val="center"/>
            <w:shd w:fill="EAF3F8"/>
          </w:tcPr>
          <w:p>
            <w:pPr>
              <w:spacing w:after="0" w:line="252" w:lineRule="auto"/>
            </w:pPr>
            <w:r>
              <w:rPr>
                <w:rFonts w:ascii="Arial" w:hAnsi="Arial"/>
                <w:sz w:val="16"/>
              </w:rPr>
              <w:t>Valid after quality evaluation</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30,151</w:t>
            </w:r>
          </w:p>
        </w:tc>
        <w:tc>
          <w:tcPr>
            <w:tcW w:type="dxa" w:w="5472"/>
            <w:tcMar>
              <w:top w:w="70" w:type="dxa"/>
              <w:start w:w="90" w:type="dxa"/>
              <w:bottom w:w="70" w:type="dxa"/>
              <w:end w:w="90" w:type="dxa"/>
            </w:tcMar>
            <w:vAlign w:val="center"/>
            <w:shd w:fill="EAF3F8"/>
          </w:tcPr>
          <w:p>
            <w:pPr>
              <w:spacing w:after="0" w:line="252" w:lineRule="auto"/>
            </w:pPr>
            <w:r>
              <w:rPr>
                <w:rFonts w:ascii="Arial" w:hAnsi="Arial"/>
                <w:sz w:val="16"/>
              </w:rPr>
              <w:t>Rows available for validated downstream analysis</w:t>
            </w:r>
          </w:p>
        </w:tc>
      </w:tr>
      <w:tr>
        <w:trPr>
          <w:cantSplit/>
        </w:trPr>
        <w:tc>
          <w:tcPr>
            <w:tcW w:type="dxa" w:w="3024"/>
            <w:tcMar>
              <w:top w:w="70" w:type="dxa"/>
              <w:start w:w="90" w:type="dxa"/>
              <w:bottom w:w="70" w:type="dxa"/>
              <w:end w:w="90" w:type="dxa"/>
            </w:tcMar>
            <w:vAlign w:val="center"/>
          </w:tcPr>
          <w:p>
            <w:pPr>
              <w:spacing w:after="0" w:line="252" w:lineRule="auto"/>
            </w:pPr>
            <w:r>
              <w:rPr>
                <w:rFonts w:ascii="Arial" w:hAnsi="Arial"/>
                <w:sz w:val="16"/>
              </w:rPr>
              <w:t>Warnings</w:t>
            </w:r>
          </w:p>
        </w:tc>
        <w:tc>
          <w:tcPr>
            <w:tcW w:type="dxa" w:w="1440"/>
            <w:tcMar>
              <w:top w:w="70" w:type="dxa"/>
              <w:start w:w="90" w:type="dxa"/>
              <w:bottom w:w="70" w:type="dxa"/>
              <w:end w:w="90" w:type="dxa"/>
            </w:tcMar>
            <w:vAlign w:val="center"/>
          </w:tcPr>
          <w:p>
            <w:pPr>
              <w:spacing w:after="0" w:line="252" w:lineRule="auto"/>
            </w:pPr>
            <w:r>
              <w:rPr>
                <w:rFonts w:ascii="Arial" w:hAnsi="Arial"/>
                <w:sz w:val="16"/>
              </w:rPr>
              <w:t>5,805</w:t>
            </w:r>
          </w:p>
        </w:tc>
        <w:tc>
          <w:tcPr>
            <w:tcW w:type="dxa" w:w="5472"/>
            <w:tcMar>
              <w:top w:w="70" w:type="dxa"/>
              <w:start w:w="90" w:type="dxa"/>
              <w:bottom w:w="70" w:type="dxa"/>
              <w:end w:w="90" w:type="dxa"/>
            </w:tcMar>
            <w:vAlign w:val="center"/>
          </w:tcPr>
          <w:p>
            <w:pPr>
              <w:spacing w:after="0" w:line="252" w:lineRule="auto"/>
            </w:pPr>
            <w:r>
              <w:rPr>
                <w:rFonts w:ascii="Arial" w:hAnsi="Arial"/>
                <w:sz w:val="16"/>
              </w:rPr>
              <w:t>Rows retained with a documented issue requiring interpretation</w:t>
            </w:r>
          </w:p>
        </w:tc>
      </w:tr>
      <w:tr>
        <w:trPr>
          <w:cantSplit/>
        </w:trPr>
        <w:tc>
          <w:tcPr>
            <w:tcW w:type="dxa" w:w="3024"/>
            <w:tcMar>
              <w:top w:w="70" w:type="dxa"/>
              <w:start w:w="90" w:type="dxa"/>
              <w:bottom w:w="70" w:type="dxa"/>
              <w:end w:w="90" w:type="dxa"/>
            </w:tcMar>
            <w:vAlign w:val="center"/>
            <w:shd w:fill="EAF3F8"/>
          </w:tcPr>
          <w:p>
            <w:pPr>
              <w:spacing w:after="0" w:line="252" w:lineRule="auto"/>
            </w:pPr>
            <w:r>
              <w:rPr>
                <w:rFonts w:ascii="Arial" w:hAnsi="Arial"/>
                <w:sz w:val="16"/>
              </w:rPr>
              <w:t>Exact duplicates</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63</w:t>
            </w:r>
          </w:p>
        </w:tc>
        <w:tc>
          <w:tcPr>
            <w:tcW w:type="dxa" w:w="5472"/>
            <w:tcMar>
              <w:top w:w="70" w:type="dxa"/>
              <w:start w:w="90" w:type="dxa"/>
              <w:bottom w:w="70" w:type="dxa"/>
              <w:end w:w="90" w:type="dxa"/>
            </w:tcMar>
            <w:vAlign w:val="center"/>
            <w:shd w:fill="EAF3F8"/>
          </w:tcPr>
          <w:p>
            <w:pPr>
              <w:spacing w:after="0" w:line="252" w:lineRule="auto"/>
            </w:pPr>
            <w:r>
              <w:rPr>
                <w:rFonts w:ascii="Arial" w:hAnsi="Arial"/>
                <w:sz w:val="16"/>
              </w:rPr>
              <w:t>Duplicate evidence identified by the pipeline</w:t>
            </w:r>
          </w:p>
        </w:tc>
      </w:tr>
    </w:tbl>
    <w:p>
      <w:pPr>
        <w:keepNext w:val="0"/>
        <w:widowControl/>
        <w:spacing w:after="140"/>
      </w:pPr>
      <w:r>
        <w:rPr>
          <w:rFonts w:ascii="Arial" w:hAnsi="Arial"/>
          <w:i/>
          <w:color w:val="64748B"/>
          <w:sz w:val="16"/>
        </w:rPr>
        <w:t>Source note: `data/medshield/processed/sales_dataset_status.json`.</w:t>
      </w:r>
    </w:p>
    <w:p>
      <w:pPr>
        <w:widowControl/>
      </w:pPr>
      <w:r>
        <w:rPr>
          <w:rFonts w:ascii="Arial" w:hAnsi="Arial"/>
          <w:i w:val="0"/>
        </w:rPr>
        <w:t>Area-summary parent records required a separate allocation step. The audit replaced 346 recognized parent rows with 1,730 estimated child rows and reconciled additive totals with zero variance. The allocation preserved the accounting totals but did not convert estimated geographic detail into observed transactions. Estimated rows therefore remained visibly distinct in the Area Prioritization module.</w:t>
      </w:r>
    </w:p>
    <w:p>
      <w:pPr>
        <w:pStyle w:val="Heading2"/>
        <w:widowControl/>
      </w:pPr>
      <w:r>
        <w:rPr>
          <w:rFonts w:ascii="Arial" w:hAnsi="Arial"/>
        </w:rPr>
        <w:t>4.1.3 Data Preprocessing and Analytical Readiness</w:t>
      </w:r>
    </w:p>
    <w:p>
      <w:pPr>
        <w:widowControl/>
      </w:pPr>
      <w:r>
        <w:rPr>
          <w:rFonts w:ascii="Arial" w:hAnsi="Arial"/>
          <w:i w:val="0"/>
        </w:rPr>
        <w:t>Data preprocessing converted the accepted transactions into analysis-ready monthly records while preserving the boundary between observed values and unavailable data. Delivery dates were standardized to calendar months, exact duplicates and invalid records were excluded according to the documented quality rules, and compatible records were aggregated at the product, area, and month grain. The process did not convert unknown missing months into zero demand. A zero was retained only when the source evidence supported an observed zero for the corresponding product-region month.</w:t>
      </w:r>
    </w:p>
    <w:p>
      <w:pPr>
        <w:widowControl/>
      </w:pPr>
      <w:r>
        <w:rPr>
          <w:rFonts w:ascii="Arial" w:hAnsi="Arial"/>
          <w:i w:val="0"/>
        </w:rPr>
        <w:t>The historical study scope covered 2017 through 23 September 2026, but the validated local extract ended on 31 December 2025. The unavailable 2026 year-to-date interval therefore remained missing pending ingestion and validation. Delivered quantity was used as the fulfilled-demand measure only within one compatible canonical product and source unit; all-product quantity was retained only as a coverage statistic. Geographic records were mapped to CALABARZON, MIMAROPA, Bicol, or Other National, while unresolved product and area identities remained visible rather than being assigned without evidence. A product-region series became forecast-eligible only when it had a documented mapping, at least 24 usable monthly observations, and no unresolved gap in its evaluation window. The latest validated actual month, rather than the study cutoff date, served as the model origin.</w:t>
      </w:r>
    </w:p>
    <w:p>
      <w:pPr>
        <w:keepNext/>
        <w:widowControl/>
        <w:jc w:val="center"/>
      </w:pPr>
      <w:r>
        <w:rPr>
          <w:rFonts w:ascii="Arial" w:hAnsi="Arial"/>
          <w:b/>
          <w:i/>
          <w:sz w:val="19"/>
        </w:rPr>
        <w:t>Table 4.3 Preprocessing controls and analytical implications</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3312"/>
        <w:gridCol w:w="3312"/>
        <w:gridCol w:w="3312"/>
      </w:tblGrid>
      <w:tr>
        <w:trPr>
          <w:tblHeader w:val="true"/>
        </w:trPr>
        <w:tc>
          <w:tcPr>
            <w:tcW w:type="dxa" w:w="2088"/>
            <w:shd w:fill="2A6F9E"/>
            <w:tcMar>
              <w:top w:w="70" w:type="dxa"/>
              <w:start w:w="90" w:type="dxa"/>
              <w:bottom w:w="70" w:type="dxa"/>
              <w:end w:w="90" w:type="dxa"/>
            </w:tcMar>
            <w:vAlign w:val="center"/>
          </w:tcPr>
          <w:p>
            <w:pPr>
              <w:jc w:val="center"/>
            </w:pPr>
            <w:r>
              <w:rPr>
                <w:b/>
                <w:color w:val="FFFFFF"/>
                <w:sz w:val="17"/>
              </w:rPr>
              <w:t>Preprocessing control</w:t>
            </w:r>
          </w:p>
        </w:tc>
        <w:tc>
          <w:tcPr>
            <w:tcW w:type="dxa" w:w="4608"/>
            <w:shd w:fill="2A6F9E"/>
            <w:tcMar>
              <w:top w:w="70" w:type="dxa"/>
              <w:start w:w="90" w:type="dxa"/>
              <w:bottom w:w="70" w:type="dxa"/>
              <w:end w:w="90" w:type="dxa"/>
            </w:tcMar>
            <w:vAlign w:val="center"/>
          </w:tcPr>
          <w:p>
            <w:pPr>
              <w:jc w:val="center"/>
            </w:pPr>
            <w:r>
              <w:rPr>
                <w:b/>
                <w:color w:val="FFFFFF"/>
                <w:sz w:val="17"/>
              </w:rPr>
              <w:t>Result in the analytical dataset</w:t>
            </w:r>
          </w:p>
        </w:tc>
        <w:tc>
          <w:tcPr>
            <w:tcW w:type="dxa" w:w="3456"/>
            <w:shd w:fill="2A6F9E"/>
            <w:tcMar>
              <w:top w:w="70" w:type="dxa"/>
              <w:start w:w="90" w:type="dxa"/>
              <w:bottom w:w="70" w:type="dxa"/>
              <w:end w:w="90" w:type="dxa"/>
            </w:tcMar>
            <w:vAlign w:val="center"/>
          </w:tcPr>
          <w:p>
            <w:pPr>
              <w:jc w:val="center"/>
            </w:pPr>
            <w:r>
              <w:rPr>
                <w:b/>
                <w:color w:val="FFFFFF"/>
                <w:sz w:val="17"/>
              </w:rPr>
              <w:t>DSS implication</w:t>
            </w:r>
          </w:p>
        </w:tc>
      </w:tr>
      <w:tr>
        <w:trPr>
          <w:cantSplit/>
        </w:trPr>
        <w:tc>
          <w:tcPr>
            <w:tcW w:type="dxa" w:w="2088"/>
            <w:tcMar>
              <w:top w:w="70" w:type="dxa"/>
              <w:start w:w="90" w:type="dxa"/>
              <w:bottom w:w="70" w:type="dxa"/>
              <w:end w:w="90" w:type="dxa"/>
            </w:tcMar>
            <w:vAlign w:val="center"/>
          </w:tcPr>
          <w:p>
            <w:pPr>
              <w:spacing w:after="0" w:line="252" w:lineRule="auto"/>
            </w:pPr>
            <w:r>
              <w:rPr>
                <w:rFonts w:ascii="Arial" w:hAnsi="Arial"/>
                <w:sz w:val="16"/>
              </w:rPr>
              <w:t>Date and record validation</w:t>
            </w:r>
          </w:p>
        </w:tc>
        <w:tc>
          <w:tcPr>
            <w:tcW w:type="dxa" w:w="4608"/>
            <w:tcMar>
              <w:top w:w="70" w:type="dxa"/>
              <w:start w:w="90" w:type="dxa"/>
              <w:bottom w:w="70" w:type="dxa"/>
              <w:end w:w="90" w:type="dxa"/>
            </w:tcMar>
            <w:vAlign w:val="center"/>
          </w:tcPr>
          <w:p>
            <w:pPr>
              <w:spacing w:after="0" w:line="252" w:lineRule="auto"/>
            </w:pPr>
            <w:r>
              <w:rPr>
                <w:rFonts w:ascii="Arial" w:hAnsi="Arial"/>
                <w:sz w:val="16"/>
              </w:rPr>
              <w:t>Invalid dates, rejected records, and exact duplicates were excluded under the documented quality rules</w:t>
            </w:r>
          </w:p>
        </w:tc>
        <w:tc>
          <w:tcPr>
            <w:tcW w:type="dxa" w:w="3456"/>
            <w:tcMar>
              <w:top w:w="70" w:type="dxa"/>
              <w:start w:w="90" w:type="dxa"/>
              <w:bottom w:w="70" w:type="dxa"/>
              <w:end w:w="90" w:type="dxa"/>
            </w:tcMar>
            <w:vAlign w:val="center"/>
          </w:tcPr>
          <w:p>
            <w:pPr>
              <w:spacing w:after="0" w:line="252" w:lineRule="auto"/>
            </w:pPr>
            <w:r>
              <w:rPr>
                <w:rFonts w:ascii="Arial" w:hAnsi="Arial"/>
                <w:sz w:val="16"/>
              </w:rPr>
              <w:t>Monthly totals were based only on accepted source evidence</w:t>
            </w:r>
          </w:p>
        </w:tc>
      </w:tr>
      <w:tr>
        <w:trPr>
          <w:cantSplit/>
        </w:trPr>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Calendar completion</w:t>
            </w:r>
          </w:p>
        </w:tc>
        <w:tc>
          <w:tcPr>
            <w:tcW w:type="dxa" w:w="4608"/>
            <w:tcMar>
              <w:top w:w="70" w:type="dxa"/>
              <w:start w:w="90" w:type="dxa"/>
              <w:bottom w:w="70" w:type="dxa"/>
              <w:end w:w="90" w:type="dxa"/>
            </w:tcMar>
            <w:vAlign w:val="center"/>
            <w:shd w:fill="EAF3F8"/>
          </w:tcPr>
          <w:p>
            <w:pPr>
              <w:spacing w:after="0" w:line="252" w:lineRule="auto"/>
            </w:pPr>
            <w:r>
              <w:rPr>
                <w:rFonts w:ascii="Arial" w:hAnsi="Arial"/>
                <w:sz w:val="16"/>
              </w:rPr>
              <w:t>Observed values, observed zeros, and unknown missing months remained distinct</w:t>
            </w:r>
          </w:p>
        </w:tc>
        <w:tc>
          <w:tcPr>
            <w:tcW w:type="dxa" w:w="3456"/>
            <w:tcMar>
              <w:top w:w="70" w:type="dxa"/>
              <w:start w:w="90" w:type="dxa"/>
              <w:bottom w:w="70" w:type="dxa"/>
              <w:end w:w="90" w:type="dxa"/>
            </w:tcMar>
            <w:vAlign w:val="center"/>
            <w:shd w:fill="EAF3F8"/>
          </w:tcPr>
          <w:p>
            <w:pPr>
              <w:spacing w:after="0" w:line="252" w:lineRule="auto"/>
            </w:pPr>
            <w:r>
              <w:rPr>
                <w:rFonts w:ascii="Arial" w:hAnsi="Arial"/>
                <w:sz w:val="16"/>
              </w:rPr>
              <w:t>Unknown periods were not fabricated as zero demand</w:t>
            </w:r>
          </w:p>
        </w:tc>
      </w:tr>
      <w:tr>
        <w:trPr>
          <w:cantSplit/>
        </w:trPr>
        <w:tc>
          <w:tcPr>
            <w:tcW w:type="dxa" w:w="2088"/>
            <w:tcMar>
              <w:top w:w="70" w:type="dxa"/>
              <w:start w:w="90" w:type="dxa"/>
              <w:bottom w:w="70" w:type="dxa"/>
              <w:end w:w="90" w:type="dxa"/>
            </w:tcMar>
            <w:vAlign w:val="center"/>
          </w:tcPr>
          <w:p>
            <w:pPr>
              <w:spacing w:after="0" w:line="252" w:lineRule="auto"/>
            </w:pPr>
            <w:r>
              <w:rPr>
                <w:rFonts w:ascii="Arial" w:hAnsi="Arial"/>
                <w:sz w:val="16"/>
              </w:rPr>
              <w:t>2026 year-to-date treatment</w:t>
            </w:r>
          </w:p>
        </w:tc>
        <w:tc>
          <w:tcPr>
            <w:tcW w:type="dxa" w:w="4608"/>
            <w:tcMar>
              <w:top w:w="70" w:type="dxa"/>
              <w:start w:w="90" w:type="dxa"/>
              <w:bottom w:w="70" w:type="dxa"/>
              <w:end w:w="90" w:type="dxa"/>
            </w:tcMar>
            <w:vAlign w:val="center"/>
          </w:tcPr>
          <w:p>
            <w:pPr>
              <w:spacing w:after="0" w:line="252" w:lineRule="auto"/>
            </w:pPr>
            <w:r>
              <w:rPr>
                <w:rFonts w:ascii="Arial" w:hAnsi="Arial"/>
                <w:sz w:val="16"/>
              </w:rPr>
              <w:t>No validated 2026 transactions were present; the interval remained unavailable</w:t>
            </w:r>
          </w:p>
        </w:tc>
        <w:tc>
          <w:tcPr>
            <w:tcW w:type="dxa" w:w="3456"/>
            <w:tcMar>
              <w:top w:w="70" w:type="dxa"/>
              <w:start w:w="90" w:type="dxa"/>
              <w:bottom w:w="70" w:type="dxa"/>
              <w:end w:w="90" w:type="dxa"/>
            </w:tcMar>
            <w:vAlign w:val="center"/>
          </w:tcPr>
          <w:p>
            <w:pPr>
              <w:spacing w:after="0" w:line="252" w:lineRule="auto"/>
            </w:pPr>
            <w:r>
              <w:rPr>
                <w:rFonts w:ascii="Arial" w:hAnsi="Arial"/>
                <w:sz w:val="16"/>
              </w:rPr>
              <w:t>Partial-year scope was disclosed without creating a zero-valued 2026 series</w:t>
            </w:r>
          </w:p>
        </w:tc>
      </w:tr>
      <w:tr>
        <w:trPr>
          <w:cantSplit/>
        </w:trPr>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Monthly aggregation</w:t>
            </w:r>
          </w:p>
        </w:tc>
        <w:tc>
          <w:tcPr>
            <w:tcW w:type="dxa" w:w="4608"/>
            <w:tcMar>
              <w:top w:w="70" w:type="dxa"/>
              <w:start w:w="90" w:type="dxa"/>
              <w:bottom w:w="70" w:type="dxa"/>
              <w:end w:w="90" w:type="dxa"/>
            </w:tcMar>
            <w:vAlign w:val="center"/>
            <w:shd w:fill="EAF3F8"/>
          </w:tcPr>
          <w:p>
            <w:pPr>
              <w:spacing w:after="0" w:line="252" w:lineRule="auto"/>
            </w:pPr>
            <w:r>
              <w:rPr>
                <w:rFonts w:ascii="Arial" w:hAnsi="Arial"/>
                <w:sz w:val="16"/>
              </w:rPr>
              <w:t>Accepted records were grouped by compatible product, area, and calendar month</w:t>
            </w:r>
          </w:p>
        </w:tc>
        <w:tc>
          <w:tcPr>
            <w:tcW w:type="dxa" w:w="3456"/>
            <w:tcMar>
              <w:top w:w="70" w:type="dxa"/>
              <w:start w:w="90" w:type="dxa"/>
              <w:bottom w:w="70" w:type="dxa"/>
              <w:end w:w="90" w:type="dxa"/>
            </w:tcMar>
            <w:vAlign w:val="center"/>
            <w:shd w:fill="EAF3F8"/>
          </w:tcPr>
          <w:p>
            <w:pPr>
              <w:spacing w:after="0" w:line="252" w:lineRule="auto"/>
            </w:pPr>
            <w:r>
              <w:rPr>
                <w:rFonts w:ascii="Arial" w:hAnsi="Arial"/>
                <w:sz w:val="16"/>
              </w:rPr>
              <w:t>Descriptive and predictive modules used a consistent analytical grain</w:t>
            </w:r>
          </w:p>
        </w:tc>
      </w:tr>
      <w:tr>
        <w:trPr>
          <w:cantSplit/>
        </w:trPr>
        <w:tc>
          <w:tcPr>
            <w:tcW w:type="dxa" w:w="2088"/>
            <w:tcMar>
              <w:top w:w="70" w:type="dxa"/>
              <w:start w:w="90" w:type="dxa"/>
              <w:bottom w:w="70" w:type="dxa"/>
              <w:end w:w="90" w:type="dxa"/>
            </w:tcMar>
            <w:vAlign w:val="center"/>
          </w:tcPr>
          <w:p>
            <w:pPr>
              <w:spacing w:after="0" w:line="252" w:lineRule="auto"/>
            </w:pPr>
            <w:r>
              <w:rPr>
                <w:rFonts w:ascii="Arial" w:hAnsi="Arial"/>
                <w:sz w:val="16"/>
              </w:rPr>
              <w:t>Product and unit control</w:t>
            </w:r>
          </w:p>
        </w:tc>
        <w:tc>
          <w:tcPr>
            <w:tcW w:type="dxa" w:w="4608"/>
            <w:tcMar>
              <w:top w:w="70" w:type="dxa"/>
              <w:start w:w="90" w:type="dxa"/>
              <w:bottom w:w="70" w:type="dxa"/>
              <w:end w:w="90" w:type="dxa"/>
            </w:tcMar>
            <w:vAlign w:val="center"/>
          </w:tcPr>
          <w:p>
            <w:pPr>
              <w:spacing w:after="0" w:line="252" w:lineRule="auto"/>
            </w:pPr>
            <w:r>
              <w:rPr>
                <w:rFonts w:ascii="Arial" w:hAnsi="Arial"/>
                <w:sz w:val="16"/>
              </w:rPr>
              <w:t>Delivered quantity was compared within one canonical product and source unit</w:t>
            </w:r>
          </w:p>
        </w:tc>
        <w:tc>
          <w:tcPr>
            <w:tcW w:type="dxa" w:w="3456"/>
            <w:tcMar>
              <w:top w:w="70" w:type="dxa"/>
              <w:start w:w="90" w:type="dxa"/>
              <w:bottom w:w="70" w:type="dxa"/>
              <w:end w:w="90" w:type="dxa"/>
            </w:tcMar>
            <w:vAlign w:val="center"/>
          </w:tcPr>
          <w:p>
            <w:pPr>
              <w:spacing w:after="0" w:line="252" w:lineRule="auto"/>
            </w:pPr>
            <w:r>
              <w:rPr>
                <w:rFonts w:ascii="Arial" w:hAnsi="Arial"/>
                <w:sz w:val="16"/>
              </w:rPr>
              <w:t>Incompatible pharmaceutical units were not summed as demand</w:t>
            </w:r>
          </w:p>
        </w:tc>
      </w:tr>
      <w:tr>
        <w:trPr>
          <w:cantSplit/>
        </w:trPr>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Geographic mapping</w:t>
            </w:r>
          </w:p>
        </w:tc>
        <w:tc>
          <w:tcPr>
            <w:tcW w:type="dxa" w:w="4608"/>
            <w:tcMar>
              <w:top w:w="70" w:type="dxa"/>
              <w:start w:w="90" w:type="dxa"/>
              <w:bottom w:w="70" w:type="dxa"/>
              <w:end w:w="90" w:type="dxa"/>
            </w:tcMar>
            <w:vAlign w:val="center"/>
            <w:shd w:fill="EAF3F8"/>
          </w:tcPr>
          <w:p>
            <w:pPr>
              <w:spacing w:after="0" w:line="252" w:lineRule="auto"/>
            </w:pPr>
            <w:r>
              <w:rPr>
                <w:rFonts w:ascii="Arial" w:hAnsi="Arial"/>
                <w:sz w:val="16"/>
              </w:rPr>
              <w:t>CALABARZON, MIMAROPA, Bicol, and Other National were separated; unresolved identities remained visible</w:t>
            </w:r>
          </w:p>
        </w:tc>
        <w:tc>
          <w:tcPr>
            <w:tcW w:type="dxa" w:w="3456"/>
            <w:tcMar>
              <w:top w:w="70" w:type="dxa"/>
              <w:start w:w="90" w:type="dxa"/>
              <w:bottom w:w="70" w:type="dxa"/>
              <w:end w:w="90" w:type="dxa"/>
            </w:tcMar>
            <w:vAlign w:val="center"/>
            <w:shd w:fill="EAF3F8"/>
          </w:tcPr>
          <w:p>
            <w:pPr>
              <w:spacing w:after="0" w:line="252" w:lineRule="auto"/>
            </w:pPr>
            <w:r>
              <w:rPr>
                <w:rFonts w:ascii="Arial" w:hAnsi="Arial"/>
                <w:sz w:val="16"/>
              </w:rPr>
              <w:t>The three study regions remained the basis of objective evidence</w:t>
            </w:r>
          </w:p>
        </w:tc>
      </w:tr>
      <w:tr>
        <w:trPr>
          <w:cantSplit/>
        </w:trPr>
        <w:tc>
          <w:tcPr>
            <w:tcW w:type="dxa" w:w="2088"/>
            <w:tcMar>
              <w:top w:w="70" w:type="dxa"/>
              <w:start w:w="90" w:type="dxa"/>
              <w:bottom w:w="70" w:type="dxa"/>
              <w:end w:w="90" w:type="dxa"/>
            </w:tcMar>
            <w:vAlign w:val="center"/>
          </w:tcPr>
          <w:p>
            <w:pPr>
              <w:spacing w:after="0" w:line="252" w:lineRule="auto"/>
            </w:pPr>
            <w:r>
              <w:rPr>
                <w:rFonts w:ascii="Arial" w:hAnsi="Arial"/>
                <w:sz w:val="16"/>
              </w:rPr>
              <w:t>Forecast eligibility</w:t>
            </w:r>
          </w:p>
        </w:tc>
        <w:tc>
          <w:tcPr>
            <w:tcW w:type="dxa" w:w="4608"/>
            <w:tcMar>
              <w:top w:w="70" w:type="dxa"/>
              <w:start w:w="90" w:type="dxa"/>
              <w:bottom w:w="70" w:type="dxa"/>
              <w:end w:w="90" w:type="dxa"/>
            </w:tcMar>
            <w:vAlign w:val="center"/>
          </w:tcPr>
          <w:p>
            <w:pPr>
              <w:spacing w:after="0" w:line="252" w:lineRule="auto"/>
            </w:pPr>
            <w:r>
              <w:rPr>
                <w:rFonts w:ascii="Arial" w:hAnsi="Arial"/>
                <w:sz w:val="16"/>
              </w:rPr>
              <w:t>At least 24 usable months, documented mappings, and a gap-free evaluation window were required</w:t>
            </w:r>
          </w:p>
        </w:tc>
        <w:tc>
          <w:tcPr>
            <w:tcW w:type="dxa" w:w="3456"/>
            <w:tcMar>
              <w:top w:w="70" w:type="dxa"/>
              <w:start w:w="90" w:type="dxa"/>
              <w:bottom w:w="70" w:type="dxa"/>
              <w:end w:w="90" w:type="dxa"/>
            </w:tcMar>
            <w:vAlign w:val="center"/>
          </w:tcPr>
          <w:p>
            <w:pPr>
              <w:spacing w:after="0" w:line="252" w:lineRule="auto"/>
            </w:pPr>
            <w:r>
              <w:rPr>
                <w:rFonts w:ascii="Arial" w:hAnsi="Arial"/>
                <w:sz w:val="16"/>
              </w:rPr>
              <w:t>Ineligible series displayed an insufficient-history state instead of a fabricated forecast</w:t>
            </w:r>
          </w:p>
        </w:tc>
      </w:tr>
      <w:tr>
        <w:trPr>
          <w:cantSplit/>
        </w:trPr>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Model origin</w:t>
            </w:r>
          </w:p>
        </w:tc>
        <w:tc>
          <w:tcPr>
            <w:tcW w:type="dxa" w:w="4608"/>
            <w:tcMar>
              <w:top w:w="70" w:type="dxa"/>
              <w:start w:w="90" w:type="dxa"/>
              <w:bottom w:w="70" w:type="dxa"/>
              <w:end w:w="90" w:type="dxa"/>
            </w:tcMar>
            <w:vAlign w:val="center"/>
            <w:shd w:fill="EAF3F8"/>
          </w:tcPr>
          <w:p>
            <w:pPr>
              <w:spacing w:after="0" w:line="252" w:lineRule="auto"/>
            </w:pPr>
            <w:r>
              <w:rPr>
                <w:rFonts w:ascii="Arial" w:hAnsi="Arial"/>
                <w:sz w:val="16"/>
              </w:rPr>
              <w:t>The latest validated actual month anchored each forecast run</w:t>
            </w:r>
          </w:p>
        </w:tc>
        <w:tc>
          <w:tcPr>
            <w:tcW w:type="dxa" w:w="3456"/>
            <w:tcMar>
              <w:top w:w="70" w:type="dxa"/>
              <w:start w:w="90" w:type="dxa"/>
              <w:bottom w:w="70" w:type="dxa"/>
              <w:end w:w="90" w:type="dxa"/>
            </w:tcMar>
            <w:vAlign w:val="center"/>
            <w:shd w:fill="EAF3F8"/>
          </w:tcPr>
          <w:p>
            <w:pPr>
              <w:spacing w:after="0" w:line="252" w:lineRule="auto"/>
            </w:pPr>
            <w:r>
              <w:rPr>
                <w:rFonts w:ascii="Arial" w:hAnsi="Arial"/>
                <w:sz w:val="16"/>
              </w:rPr>
              <w:t>The forecast window could advance with the calendar while data staleness remained visible</w:t>
            </w:r>
          </w:p>
        </w:tc>
      </w:tr>
    </w:tbl>
    <w:p>
      <w:pPr>
        <w:keepNext w:val="0"/>
        <w:widowControl/>
        <w:spacing w:after="140"/>
      </w:pPr>
      <w:r>
        <w:rPr>
          <w:rFonts w:ascii="Arial" w:hAnsi="Arial"/>
          <w:i/>
          <w:color w:val="64748B"/>
          <w:sz w:val="16"/>
        </w:rPr>
        <w:t>Source note: Synthesis of the source-quality, calendar-completion, mapping, and forecast-eligibility controls used in the analytical pipeline.</w:t>
      </w:r>
    </w:p>
    <w:p>
      <w:pPr>
        <w:pStyle w:val="Heading2"/>
        <w:widowControl/>
      </w:pPr>
      <w:r>
        <w:rPr>
          <w:rFonts w:ascii="Arial" w:hAnsi="Arial"/>
        </w:rPr>
        <w:t>4.1.4 Descriptive Dataset Produced for Analysis</w:t>
      </w:r>
    </w:p>
    <w:p>
      <w:pPr>
        <w:widowControl/>
      </w:pPr>
      <w:r>
        <w:rPr>
          <w:rFonts w:ascii="Arial" w:hAnsi="Arial"/>
          <w:i w:val="0"/>
        </w:rPr>
        <w:t>The reproducible descriptive run contained 37,340 clean analytical rows from 2 January 2017 to 31 December 2025. It included 4,483 distinct product labels and 31 distinct areas. The total delivered quantity was 1,438,964.92 source units, while Net CP-based net-sales revenue was ₱494.6M. Although the historical scope extended through the week ending 23 September 2026, the validated extract contained no 2026 transaction records. The absence of those records was interpreted as unavailable data rather than zero sales. Because the products used potentially incompatible packs and units, the all-product quantity total was treated as a coverage statistic; demand modeling was performed for one canonical SKU at a time.</w:t>
      </w:r>
    </w:p>
    <w:p>
      <w:pPr>
        <w:keepNext/>
        <w:widowControl/>
        <w:jc w:val="center"/>
      </w:pPr>
      <w:r>
        <w:rPr>
          <w:rFonts w:ascii="Arial" w:hAnsi="Arial"/>
        </w:rP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yearly_demand.png"/>
                    <pic:cNvPicPr/>
                  </pic:nvPicPr>
                  <pic:blipFill>
                    <a:blip r:embed="rId15"/>
                    <a:stretch>
                      <a:fillRect/>
                    </a:stretch>
                  </pic:blipFill>
                  <pic:spPr>
                    <a:xfrm>
                      <a:off x="0" y="0"/>
                      <a:ext cx="6217920" cy="2637905"/>
                    </a:xfrm>
                    <a:prstGeom prst="rect"/>
                  </pic:spPr>
                </pic:pic>
              </a:graphicData>
            </a:graphic>
          </wp:inline>
        </w:drawing>
      </w:r>
    </w:p>
    <w:p>
      <w:pPr>
        <w:keepNext/>
        <w:widowControl/>
        <w:jc w:val="center"/>
      </w:pPr>
      <w:r>
        <w:rPr>
          <w:rFonts w:ascii="Arial" w:hAnsi="Arial"/>
          <w:b/>
          <w:i/>
          <w:sz w:val="19"/>
        </w:rPr>
        <w:t>Figure 4.1 Delivered Quantity by Available Source Year, 2017–2025</w:t>
      </w:r>
    </w:p>
    <w:p>
      <w:pPr>
        <w:keepNext w:val="0"/>
        <w:widowControl/>
        <w:spacing w:after="140"/>
      </w:pPr>
      <w:r>
        <w:rPr>
          <w:rFonts w:ascii="Arial" w:hAnsi="Arial"/>
          <w:i/>
          <w:color w:val="64748B"/>
          <w:sz w:val="16"/>
        </w:rPr>
        <w:t>Source note: Observed quantities from the descriptive analytical run. The historical study scope extended through 23 September 2026; no validated 2026 transaction rows were available for inclusion in this chart, and no zero-valued 2026 bar was imputed.</w:t>
      </w:r>
    </w:p>
    <w:p>
      <w:pPr>
        <w:widowControl/>
      </w:pPr>
      <w:r>
        <w:rPr>
          <w:rFonts w:ascii="Arial" w:hAnsi="Arial"/>
          <w:i w:val="0"/>
        </w:rPr>
        <w:t>The largest annual quantity in the local run occurred in 2025 with 421,251.83 source units, followed by 2023 with 272,049.56 units. This result did not by itself indicate market growth because product mix, contract allocations, and unit compatibility changed across years. Revenue results also had to be interpreted separately: the approved Net CP field was zero for 2017–2019, so revenue comparisons for those years remained unavailable until the historical mapping could be reconciled. When validated 2026 transactions became available, the current-year comparison was to use 1 January through 23 September 2026 against the corresponding 1 January through 23 September 2025 period. A full-year 2025 total was not to be compared directly with the partial 2026 period.</w:t>
      </w:r>
    </w:p>
    <w:p>
      <w:pPr>
        <w:pStyle w:val="Heading2"/>
        <w:widowControl/>
      </w:pPr>
      <w:r>
        <w:rPr>
          <w:rFonts w:ascii="Arial" w:hAnsi="Arial"/>
        </w:rPr>
        <w:t>4.1.5 Geographic and Product Mapping</w:t>
      </w:r>
    </w:p>
    <w:p>
      <w:pPr>
        <w:widowControl/>
      </w:pPr>
      <w:r>
        <w:rPr>
          <w:rFonts w:ascii="Arial" w:hAnsi="Arial"/>
          <w:i w:val="0"/>
        </w:rPr>
        <w:t>The geographic design separated CALABARZON, MIMAROPA, and Bicol as the three study regions. Other National was retained only as an operational comparison and was not used as a substitute for evidence from the study regions. The area-mapping review found all 32 observed labels in the working master, but only 14,008 of 37,178 retained records were classified as approved territory records; 23,170 records remained pending or nongeographic. External DOH and weather joins had not yet been certified at the territory level.</w:t>
      </w:r>
    </w:p>
    <w:p>
      <w:pPr>
        <w:widowControl/>
      </w:pPr>
      <w:r>
        <w:rPr>
          <w:rFonts w:ascii="Arial" w:hAnsi="Arial"/>
          <w:i w:val="0"/>
        </w:rPr>
        <w:t>Product identity presented a parallel constraint. The descriptive run contained 4,483 product labels, while the broader ingestion status identified 4,819 unique source products. Alias-to-canonical-SKU approval remained incomplete. Consequently, the dashboard ranked source product labels for descriptive purposes, whereas predictive objective evidence required a documented canonical product mapping.</w:t>
      </w:r>
    </w:p>
    <w:p>
      <w:pPr>
        <w:pStyle w:val="Heading2"/>
        <w:widowControl/>
      </w:pPr>
      <w:r>
        <w:rPr>
          <w:rFonts w:ascii="Arial" w:hAnsi="Arial"/>
        </w:rPr>
        <w:t>4.1.6 System Verification</w:t>
      </w:r>
    </w:p>
    <w:p>
      <w:pPr>
        <w:widowControl/>
      </w:pPr>
      <w:r>
        <w:rPr>
          <w:rFonts w:ascii="Arial" w:hAnsi="Arial"/>
          <w:i w:val="0"/>
        </w:rPr>
        <w:t>The recorded QA report dated 9 August 2026 contained 57 passed checks and no failed checks, which corresponded to a 100% pass rate for the behaviors tested at that revision. To verify that the chapter reflected the latest DSS, a focused browser suite was rerun on 25 September 2026 against the actual dashboard markup and client runtime. Fifteen active checks across Sales Diagnostics, Product Prioritization, Area Prioritization, Forecast Modeling, and Prescriptive Planning passed. Four legacy year-selector cases were deliberately skipped because the current interface used descriptive period windows. The browser fixtures verified interface behavior and calculations under controlled inputs; they did not establish authenticated production deployment or approve the displayed scenario values.</w:t>
      </w:r>
    </w:p>
    <w:p>
      <w:pPr>
        <w:keepNext/>
        <w:widowControl/>
        <w:jc w:val="center"/>
      </w:pPr>
      <w:r>
        <w:rPr>
          <w:rFonts w:ascii="Arial" w:hAnsi="Arial"/>
          <w:b/>
          <w:i/>
          <w:sz w:val="19"/>
        </w:rPr>
        <w:t>Table 4.4 Interpretation of system verification</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3312"/>
        <w:gridCol w:w="3312"/>
        <w:gridCol w:w="3312"/>
      </w:tblGrid>
      <w:tr>
        <w:trPr>
          <w:tblHeader w:val="true"/>
        </w:trPr>
        <w:tc>
          <w:tcPr>
            <w:tcW w:type="dxa" w:w="2088"/>
            <w:shd w:fill="2A6F9E"/>
            <w:tcMar>
              <w:top w:w="70" w:type="dxa"/>
              <w:start w:w="90" w:type="dxa"/>
              <w:bottom w:w="70" w:type="dxa"/>
              <w:end w:w="90" w:type="dxa"/>
            </w:tcMar>
            <w:vAlign w:val="center"/>
          </w:tcPr>
          <w:p>
            <w:pPr>
              <w:jc w:val="center"/>
            </w:pPr>
            <w:r>
              <w:rPr>
                <w:b/>
                <w:color w:val="FFFFFF"/>
                <w:sz w:val="17"/>
              </w:rPr>
              <w:t>Verification result</w:t>
            </w:r>
          </w:p>
        </w:tc>
        <w:tc>
          <w:tcPr>
            <w:tcW w:type="dxa" w:w="3672"/>
            <w:shd w:fill="2A6F9E"/>
            <w:tcMar>
              <w:top w:w="70" w:type="dxa"/>
              <w:start w:w="90" w:type="dxa"/>
              <w:bottom w:w="70" w:type="dxa"/>
              <w:end w:w="90" w:type="dxa"/>
            </w:tcMar>
            <w:vAlign w:val="center"/>
          </w:tcPr>
          <w:p>
            <w:pPr>
              <w:jc w:val="center"/>
            </w:pPr>
            <w:r>
              <w:rPr>
                <w:b/>
                <w:color w:val="FFFFFF"/>
                <w:sz w:val="17"/>
              </w:rPr>
              <w:t>Meaning</w:t>
            </w:r>
          </w:p>
        </w:tc>
        <w:tc>
          <w:tcPr>
            <w:tcW w:type="dxa" w:w="4104"/>
            <w:shd w:fill="2A6F9E"/>
            <w:tcMar>
              <w:top w:w="70" w:type="dxa"/>
              <w:start w:w="90" w:type="dxa"/>
              <w:bottom w:w="70" w:type="dxa"/>
              <w:end w:w="90" w:type="dxa"/>
            </w:tcMar>
            <w:vAlign w:val="center"/>
          </w:tcPr>
          <w:p>
            <w:pPr>
              <w:jc w:val="center"/>
            </w:pPr>
            <w:r>
              <w:rPr>
                <w:b/>
                <w:color w:val="FFFFFF"/>
                <w:sz w:val="17"/>
              </w:rPr>
              <w:t>What it does not establish</w:t>
            </w:r>
          </w:p>
        </w:tc>
      </w:tr>
      <w:tr>
        <w:trPr>
          <w:cantSplit/>
        </w:trPr>
        <w:tc>
          <w:tcPr>
            <w:tcW w:type="dxa" w:w="2088"/>
            <w:tcMar>
              <w:top w:w="70" w:type="dxa"/>
              <w:start w:w="90" w:type="dxa"/>
              <w:bottom w:w="70" w:type="dxa"/>
              <w:end w:w="90" w:type="dxa"/>
            </w:tcMar>
            <w:vAlign w:val="center"/>
          </w:tcPr>
          <w:p>
            <w:pPr>
              <w:spacing w:after="0" w:line="252" w:lineRule="auto"/>
            </w:pPr>
            <w:r>
              <w:rPr>
                <w:rFonts w:ascii="Arial" w:hAnsi="Arial"/>
                <w:sz w:val="16"/>
              </w:rPr>
              <w:t>57/57 historical checks passed</w:t>
            </w:r>
          </w:p>
        </w:tc>
        <w:tc>
          <w:tcPr>
            <w:tcW w:type="dxa" w:w="3672"/>
            <w:tcMar>
              <w:top w:w="70" w:type="dxa"/>
              <w:start w:w="90" w:type="dxa"/>
              <w:bottom w:w="70" w:type="dxa"/>
              <w:end w:w="90" w:type="dxa"/>
            </w:tcMar>
            <w:vAlign w:val="center"/>
          </w:tcPr>
          <w:p>
            <w:pPr>
              <w:spacing w:after="0" w:line="252" w:lineRule="auto"/>
            </w:pPr>
            <w:r>
              <w:rPr>
                <w:rFonts w:ascii="Arial" w:hAnsi="Arial"/>
                <w:sz w:val="16"/>
              </w:rPr>
              <w:t>The tested system functions returned expected results at the recorded revision</w:t>
            </w:r>
          </w:p>
        </w:tc>
        <w:tc>
          <w:tcPr>
            <w:tcW w:type="dxa" w:w="4104"/>
            <w:tcMar>
              <w:top w:w="70" w:type="dxa"/>
              <w:start w:w="90" w:type="dxa"/>
              <w:bottom w:w="70" w:type="dxa"/>
              <w:end w:w="90" w:type="dxa"/>
            </w:tcMar>
            <w:vAlign w:val="center"/>
          </w:tcPr>
          <w:p>
            <w:pPr>
              <w:spacing w:after="0" w:line="252" w:lineRule="auto"/>
            </w:pPr>
            <w:r>
              <w:rPr>
                <w:rFonts w:ascii="Arial" w:hAnsi="Arial"/>
                <w:sz w:val="16"/>
              </w:rPr>
              <w:t>Completeness of missing operational datasets</w:t>
            </w:r>
          </w:p>
        </w:tc>
      </w:tr>
      <w:tr>
        <w:trPr>
          <w:cantSplit/>
        </w:trPr>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15 active current-runtime checks passed</w:t>
            </w:r>
          </w:p>
        </w:tc>
        <w:tc>
          <w:tcPr>
            <w:tcW w:type="dxa" w:w="3672"/>
            <w:tcMar>
              <w:top w:w="70" w:type="dxa"/>
              <w:start w:w="90" w:type="dxa"/>
              <w:bottom w:w="70" w:type="dxa"/>
              <w:end w:w="90" w:type="dxa"/>
            </w:tcMar>
            <w:vAlign w:val="center"/>
            <w:shd w:fill="EAF3F8"/>
          </w:tcPr>
          <w:p>
            <w:pPr>
              <w:spacing w:after="0" w:line="252" w:lineRule="auto"/>
            </w:pPr>
            <w:r>
              <w:rPr>
                <w:rFonts w:ascii="Arial" w:hAnsi="Arial"/>
                <w:sz w:val="16"/>
              </w:rPr>
              <w:t>The five analytical modules rendered and responded as expected in the 25 September focused suite</w:t>
            </w:r>
          </w:p>
        </w:tc>
        <w:tc>
          <w:tcPr>
            <w:tcW w:type="dxa" w:w="4104"/>
            <w:tcMar>
              <w:top w:w="70" w:type="dxa"/>
              <w:start w:w="90" w:type="dxa"/>
              <w:bottom w:w="70" w:type="dxa"/>
              <w:end w:w="90" w:type="dxa"/>
            </w:tcMar>
            <w:vAlign w:val="center"/>
            <w:shd w:fill="EAF3F8"/>
          </w:tcPr>
          <w:p>
            <w:pPr>
              <w:spacing w:after="0" w:line="252" w:lineRule="auto"/>
            </w:pPr>
            <w:r>
              <w:rPr>
                <w:rFonts w:ascii="Arial" w:hAnsi="Arial"/>
                <w:sz w:val="16"/>
              </w:rPr>
              <w:t>Authenticated end-to-end deployment or live-source publication</w:t>
            </w:r>
          </w:p>
        </w:tc>
      </w:tr>
      <w:tr>
        <w:trPr>
          <w:cantSplit/>
        </w:trPr>
        <w:tc>
          <w:tcPr>
            <w:tcW w:type="dxa" w:w="2088"/>
            <w:tcMar>
              <w:top w:w="70" w:type="dxa"/>
              <w:start w:w="90" w:type="dxa"/>
              <w:bottom w:w="70" w:type="dxa"/>
              <w:end w:w="90" w:type="dxa"/>
            </w:tcMar>
            <w:vAlign w:val="center"/>
          </w:tcPr>
          <w:p>
            <w:pPr>
              <w:spacing w:after="0" w:line="252" w:lineRule="auto"/>
            </w:pPr>
            <w:r>
              <w:rPr>
                <w:rFonts w:ascii="Arial" w:hAnsi="Arial"/>
                <w:sz w:val="16"/>
              </w:rPr>
              <w:t>Four legacy cases skipped</w:t>
            </w:r>
          </w:p>
        </w:tc>
        <w:tc>
          <w:tcPr>
            <w:tcW w:type="dxa" w:w="3672"/>
            <w:tcMar>
              <w:top w:w="70" w:type="dxa"/>
              <w:start w:w="90" w:type="dxa"/>
              <w:bottom w:w="70" w:type="dxa"/>
              <w:end w:w="90" w:type="dxa"/>
            </w:tcMar>
            <w:vAlign w:val="center"/>
          </w:tcPr>
          <w:p>
            <w:pPr>
              <w:spacing w:after="0" w:line="252" w:lineRule="auto"/>
            </w:pPr>
            <w:r>
              <w:rPr>
                <w:rFonts w:ascii="Arial" w:hAnsi="Arial"/>
                <w:sz w:val="16"/>
              </w:rPr>
              <w:t>Older year-selector cases were superseded by descriptive period windows</w:t>
            </w:r>
          </w:p>
        </w:tc>
        <w:tc>
          <w:tcPr>
            <w:tcW w:type="dxa" w:w="4104"/>
            <w:tcMar>
              <w:top w:w="70" w:type="dxa"/>
              <w:start w:w="90" w:type="dxa"/>
              <w:bottom w:w="70" w:type="dxa"/>
              <w:end w:w="90" w:type="dxa"/>
            </w:tcMar>
            <w:vAlign w:val="center"/>
          </w:tcPr>
          <w:p>
            <w:pPr>
              <w:spacing w:after="0" w:line="252" w:lineRule="auto"/>
            </w:pPr>
            <w:r>
              <w:rPr>
                <w:rFonts w:ascii="Arial" w:hAnsi="Arial"/>
                <w:sz w:val="16"/>
              </w:rPr>
              <w:t>A failure of the current period-control design</w:t>
            </w:r>
          </w:p>
        </w:tc>
      </w:tr>
      <w:tr>
        <w:trPr>
          <w:cantSplit/>
        </w:trPr>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Evidence/status labels implemented</w:t>
            </w:r>
          </w:p>
        </w:tc>
        <w:tc>
          <w:tcPr>
            <w:tcW w:type="dxa" w:w="3672"/>
            <w:tcMar>
              <w:top w:w="70" w:type="dxa"/>
              <w:start w:w="90" w:type="dxa"/>
              <w:bottom w:w="70" w:type="dxa"/>
              <w:end w:w="90" w:type="dxa"/>
            </w:tcMar>
            <w:vAlign w:val="center"/>
            <w:shd w:fill="EAF3F8"/>
          </w:tcPr>
          <w:p>
            <w:pPr>
              <w:spacing w:after="0" w:line="252" w:lineRule="auto"/>
            </w:pPr>
            <w:r>
              <w:rPr>
                <w:rFonts w:ascii="Arial" w:hAnsi="Arial"/>
                <w:sz w:val="16"/>
              </w:rPr>
              <w:t>Pending, observed, estimated, forecast, and scenario states can be separated</w:t>
            </w:r>
          </w:p>
        </w:tc>
        <w:tc>
          <w:tcPr>
            <w:tcW w:type="dxa" w:w="4104"/>
            <w:tcMar>
              <w:top w:w="70" w:type="dxa"/>
              <w:start w:w="90" w:type="dxa"/>
              <w:bottom w:w="70" w:type="dxa"/>
              <w:end w:w="90" w:type="dxa"/>
            </w:tcMar>
            <w:vAlign w:val="center"/>
            <w:shd w:fill="EAF3F8"/>
          </w:tcPr>
          <w:p>
            <w:pPr>
              <w:spacing w:after="0" w:line="252" w:lineRule="auto"/>
            </w:pPr>
            <w:r>
              <w:rPr>
                <w:rFonts w:ascii="Arial" w:hAnsi="Arial"/>
                <w:sz w:val="16"/>
              </w:rPr>
              <w:t>Approval of scenario values as procurement instructions</w:t>
            </w:r>
          </w:p>
        </w:tc>
      </w:tr>
    </w:tbl>
    <w:p>
      <w:pPr>
        <w:keepNext w:val="0"/>
        <w:widowControl/>
        <w:spacing w:after="140"/>
      </w:pPr>
      <w:r>
        <w:rPr>
          <w:rFonts w:ascii="Arial" w:hAnsi="Arial"/>
          <w:i/>
          <w:color w:val="64748B"/>
          <w:sz w:val="16"/>
        </w:rPr>
        <w:t>Source note: `outputs/system_qa_report.json`; focused Playwright module run and current-runtime captures dated 25 September 2026.</w:t>
      </w:r>
    </w:p>
    <w:p>
      <w:pPr>
        <w:pStyle w:val="Heading1"/>
        <w:widowControl/>
      </w:pPr>
      <w:r>
        <w:rPr>
          <w:rFonts w:ascii="Arial" w:hAnsi="Arial"/>
        </w:rPr>
        <w:t>4.2 Data Analysis</w:t>
      </w:r>
    </w:p>
    <w:p>
      <w:pPr>
        <w:widowControl/>
      </w:pPr>
      <w:r>
        <w:rPr>
          <w:rFonts w:ascii="Arial" w:hAnsi="Arial"/>
          <w:i w:val="0"/>
        </w:rPr>
        <w:t>This section analyzed the validated evidence in relation to the specific objectives. It examined the operational definition of fulfilled demand, calendar completeness and forecast eligibility, long-term and seasonal patterns, product and geographic priorities, predictive-model performance, and the boundaries of the prescriptive scenarios.</w:t>
      </w:r>
    </w:p>
    <w:p>
      <w:pPr>
        <w:pStyle w:val="Heading2"/>
        <w:widowControl/>
      </w:pPr>
      <w:r>
        <w:rPr>
          <w:rFonts w:ascii="Arial" w:hAnsi="Arial"/>
        </w:rPr>
        <w:t>4.2.1 Demand Definition, Calendar Completion, and Eligibility</w:t>
      </w:r>
    </w:p>
    <w:p>
      <w:pPr>
        <w:widowControl/>
      </w:pPr>
      <w:r>
        <w:rPr>
          <w:rFonts w:ascii="Arial" w:hAnsi="Arial"/>
          <w:i w:val="0"/>
        </w:rPr>
        <w:t>For this study, demand was operationalized as fulfilled demand, defined as the delivered quantity in the source unit for one compatible canonical product. Revenue was not treated as demand. A complete calendar was generated for every candidate product-region series and distinguished an observed quantity, an observed zero, and an unknown missing month. Unknown missing months were left blank to prevent fabricated continuity.</w:t>
      </w:r>
    </w:p>
    <w:p>
      <w:pPr>
        <w:widowControl/>
      </w:pPr>
      <w:r>
        <w:rPr>
          <w:rFonts w:ascii="Arial" w:hAnsi="Arial"/>
          <w:i w:val="0"/>
        </w:rPr>
        <w:t>The 2026 year-to-date interval was governed by the same rule. Because no validated 2026 transaction input was present, the months from January through 23 September 2026 were classified as unavailable rather than as observed zero-demand months. They were excluded from descriptive totals, STL estimation, and forecast holdout scoring. This treatment preserved 2017–2026 YTD as the study's historical scope without overstating the actual-data coverage used in the computations.</w:t>
      </w:r>
    </w:p>
    <w:p>
      <w:pPr>
        <w:keepNext/>
        <w:widowControl/>
        <w:jc w:val="center"/>
      </w:pPr>
      <w:r>
        <w:rPr>
          <w:rFonts w:ascii="Arial" w:hAnsi="Arial"/>
          <w:b/>
          <w:i/>
          <w:sz w:val="19"/>
        </w:rPr>
        <w:t>Table 4.5 Predictive-readiness gates</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3312"/>
        <w:gridCol w:w="3312"/>
        <w:gridCol w:w="3312"/>
      </w:tblGrid>
      <w:tr>
        <w:trPr>
          <w:tblHeader w:val="true"/>
        </w:trPr>
        <w:tc>
          <w:tcPr>
            <w:tcW w:type="dxa" w:w="2232"/>
            <w:shd w:fill="2A6F9E"/>
            <w:tcMar>
              <w:top w:w="70" w:type="dxa"/>
              <w:start w:w="90" w:type="dxa"/>
              <w:bottom w:w="70" w:type="dxa"/>
              <w:end w:w="90" w:type="dxa"/>
            </w:tcMar>
            <w:vAlign w:val="center"/>
          </w:tcPr>
          <w:p>
            <w:pPr>
              <w:jc w:val="center"/>
            </w:pPr>
            <w:r>
              <w:rPr>
                <w:b/>
                <w:color w:val="FFFFFF"/>
                <w:sz w:val="17"/>
              </w:rPr>
              <w:t>Gate</w:t>
            </w:r>
          </w:p>
        </w:tc>
        <w:tc>
          <w:tcPr>
            <w:tcW w:type="dxa" w:w="1224"/>
            <w:shd w:fill="2A6F9E"/>
            <w:tcMar>
              <w:top w:w="70" w:type="dxa"/>
              <w:start w:w="90" w:type="dxa"/>
              <w:bottom w:w="70" w:type="dxa"/>
              <w:end w:w="90" w:type="dxa"/>
            </w:tcMar>
            <w:vAlign w:val="center"/>
          </w:tcPr>
          <w:p>
            <w:pPr>
              <w:jc w:val="center"/>
            </w:pPr>
            <w:r>
              <w:rPr>
                <w:b/>
                <w:color w:val="FFFFFF"/>
                <w:sz w:val="17"/>
              </w:rPr>
              <w:t>Result</w:t>
            </w:r>
          </w:p>
        </w:tc>
        <w:tc>
          <w:tcPr>
            <w:tcW w:type="dxa" w:w="6408"/>
            <w:shd w:fill="2A6F9E"/>
            <w:tcMar>
              <w:top w:w="70" w:type="dxa"/>
              <w:start w:w="90" w:type="dxa"/>
              <w:bottom w:w="70" w:type="dxa"/>
              <w:end w:w="90" w:type="dxa"/>
            </w:tcMar>
            <w:vAlign w:val="center"/>
          </w:tcPr>
          <w:p>
            <w:pPr>
              <w:jc w:val="center"/>
            </w:pPr>
            <w:r>
              <w:rPr>
                <w:b/>
                <w:color w:val="FFFFFF"/>
                <w:sz w:val="17"/>
              </w:rPr>
              <w:t>Repository evidence</w:t>
            </w:r>
          </w:p>
        </w:tc>
      </w:tr>
      <w:tr>
        <w:trPr>
          <w:cantSplit/>
        </w:trPr>
        <w:tc>
          <w:tcPr>
            <w:tcW w:type="dxa" w:w="2232"/>
            <w:tcMar>
              <w:top w:w="70" w:type="dxa"/>
              <w:start w:w="90" w:type="dxa"/>
              <w:bottom w:w="70" w:type="dxa"/>
              <w:end w:w="90" w:type="dxa"/>
            </w:tcMar>
            <w:vAlign w:val="center"/>
          </w:tcPr>
          <w:p>
            <w:pPr>
              <w:spacing w:after="0" w:line="252" w:lineRule="auto"/>
            </w:pPr>
            <w:r>
              <w:rPr>
                <w:rFonts w:ascii="Arial" w:hAnsi="Arial"/>
                <w:sz w:val="16"/>
              </w:rPr>
              <w:t>Approved Demand Measure</w:t>
            </w:r>
          </w:p>
        </w:tc>
        <w:tc>
          <w:tcPr>
            <w:tcW w:type="dxa" w:w="1224"/>
            <w:tcMar>
              <w:top w:w="70" w:type="dxa"/>
              <w:start w:w="90" w:type="dxa"/>
              <w:bottom w:w="70" w:type="dxa"/>
              <w:end w:w="90" w:type="dxa"/>
            </w:tcMar>
            <w:vAlign w:val="center"/>
          </w:tcPr>
          <w:p>
            <w:pPr>
              <w:spacing w:after="0" w:line="252" w:lineRule="auto"/>
            </w:pPr>
            <w:r>
              <w:rPr>
                <w:rFonts w:ascii="Arial" w:hAnsi="Arial"/>
                <w:sz w:val="16"/>
              </w:rPr>
              <w:t>Passed</w:t>
            </w:r>
          </w:p>
        </w:tc>
        <w:tc>
          <w:tcPr>
            <w:tcW w:type="dxa" w:w="6408"/>
            <w:tcMar>
              <w:top w:w="70" w:type="dxa"/>
              <w:start w:w="90" w:type="dxa"/>
              <w:bottom w:w="70" w:type="dxa"/>
              <w:end w:w="90" w:type="dxa"/>
            </w:tcMar>
            <w:vAlign w:val="center"/>
          </w:tcPr>
          <w:p>
            <w:pPr>
              <w:spacing w:after="0" w:line="252" w:lineRule="auto"/>
            </w:pPr>
            <w:r>
              <w:rPr>
                <w:rFonts w:ascii="Arial" w:hAnsi="Arial"/>
                <w:sz w:val="16"/>
              </w:rPr>
              <w:t>Quantity is evaluated for one canonical SKU per series; revenue is excluded from demand STL.</w:t>
            </w:r>
          </w:p>
        </w:tc>
      </w:tr>
      <w:tr>
        <w:trPr>
          <w:cantSplit/>
        </w:trPr>
        <w:tc>
          <w:tcPr>
            <w:tcW w:type="dxa" w:w="2232"/>
            <w:tcMar>
              <w:top w:w="70" w:type="dxa"/>
              <w:start w:w="90" w:type="dxa"/>
              <w:bottom w:w="70" w:type="dxa"/>
              <w:end w:w="90" w:type="dxa"/>
            </w:tcMar>
            <w:vAlign w:val="center"/>
            <w:shd w:fill="EAF3F8"/>
          </w:tcPr>
          <w:p>
            <w:pPr>
              <w:spacing w:after="0" w:line="252" w:lineRule="auto"/>
            </w:pPr>
            <w:r>
              <w:rPr>
                <w:rFonts w:ascii="Arial" w:hAnsi="Arial"/>
                <w:sz w:val="16"/>
              </w:rPr>
              <w:t>Complete Monthly Calendar</w:t>
            </w:r>
          </w:p>
        </w:tc>
        <w:tc>
          <w:tcPr>
            <w:tcW w:type="dxa" w:w="1224"/>
            <w:tcMar>
              <w:top w:w="70" w:type="dxa"/>
              <w:start w:w="90" w:type="dxa"/>
              <w:bottom w:w="70" w:type="dxa"/>
              <w:end w:w="90" w:type="dxa"/>
            </w:tcMar>
            <w:vAlign w:val="center"/>
            <w:shd w:fill="EAF3F8"/>
          </w:tcPr>
          <w:p>
            <w:pPr>
              <w:spacing w:after="0" w:line="252" w:lineRule="auto"/>
            </w:pPr>
            <w:r>
              <w:rPr>
                <w:rFonts w:ascii="Arial" w:hAnsi="Arial"/>
                <w:sz w:val="16"/>
              </w:rPr>
              <w:t>Passed</w:t>
            </w:r>
          </w:p>
        </w:tc>
        <w:tc>
          <w:tcPr>
            <w:tcW w:type="dxa" w:w="6408"/>
            <w:tcMar>
              <w:top w:w="70" w:type="dxa"/>
              <w:start w:w="90" w:type="dxa"/>
              <w:bottom w:w="70" w:type="dxa"/>
              <w:end w:w="90" w:type="dxa"/>
            </w:tcMar>
            <w:vAlign w:val="center"/>
            <w:shd w:fill="EAF3F8"/>
          </w:tcPr>
          <w:p>
            <w:pPr>
              <w:spacing w:after="0" w:line="252" w:lineRule="auto"/>
            </w:pPr>
            <w:r>
              <w:rPr>
                <w:rFonts w:ascii="Arial" w:hAnsi="Arial"/>
                <w:sz w:val="16"/>
              </w:rPr>
              <w:t>Every month is emitted as observed, observed_zero, or missing_unknown; missing values remain blank.</w:t>
            </w:r>
          </w:p>
        </w:tc>
      </w:tr>
      <w:tr>
        <w:trPr>
          <w:cantSplit/>
        </w:trPr>
        <w:tc>
          <w:tcPr>
            <w:tcW w:type="dxa" w:w="2232"/>
            <w:tcMar>
              <w:top w:w="70" w:type="dxa"/>
              <w:start w:w="90" w:type="dxa"/>
              <w:bottom w:w="70" w:type="dxa"/>
              <w:end w:w="90" w:type="dxa"/>
            </w:tcMar>
            <w:vAlign w:val="center"/>
          </w:tcPr>
          <w:p>
            <w:pPr>
              <w:spacing w:after="0" w:line="252" w:lineRule="auto"/>
            </w:pPr>
            <w:r>
              <w:rPr>
                <w:rFonts w:ascii="Arial" w:hAnsi="Arial"/>
                <w:sz w:val="16"/>
              </w:rPr>
              <w:t>Geographic Mapping</w:t>
            </w:r>
          </w:p>
        </w:tc>
        <w:tc>
          <w:tcPr>
            <w:tcW w:type="dxa" w:w="1224"/>
            <w:tcMar>
              <w:top w:w="70" w:type="dxa"/>
              <w:start w:w="90" w:type="dxa"/>
              <w:bottom w:w="70" w:type="dxa"/>
              <w:end w:w="90" w:type="dxa"/>
            </w:tcMar>
            <w:vAlign w:val="center"/>
          </w:tcPr>
          <w:p>
            <w:pPr>
              <w:spacing w:after="0" w:line="252" w:lineRule="auto"/>
            </w:pPr>
            <w:r>
              <w:rPr>
                <w:rFonts w:ascii="Arial" w:hAnsi="Arial"/>
                <w:sz w:val="16"/>
              </w:rPr>
              <w:t>Passed</w:t>
            </w:r>
          </w:p>
        </w:tc>
        <w:tc>
          <w:tcPr>
            <w:tcW w:type="dxa" w:w="6408"/>
            <w:tcMar>
              <w:top w:w="70" w:type="dxa"/>
              <w:start w:w="90" w:type="dxa"/>
              <w:bottom w:w="70" w:type="dxa"/>
              <w:end w:w="90" w:type="dxa"/>
            </w:tcMar>
            <w:vAlign w:val="center"/>
          </w:tcPr>
          <w:p>
            <w:pPr>
              <w:spacing w:after="0" w:line="252" w:lineRule="auto"/>
            </w:pPr>
            <w:r>
              <w:rPr>
                <w:rFonts w:ascii="Arial" w:hAnsi="Arial"/>
                <w:sz w:val="16"/>
              </w:rPr>
              <w:t>CALABARZON, MIMAROPA, and Bicol remain separate objective regions; Other National is comparison-only.</w:t>
            </w:r>
          </w:p>
        </w:tc>
      </w:tr>
      <w:tr>
        <w:trPr>
          <w:cantSplit/>
        </w:trPr>
        <w:tc>
          <w:tcPr>
            <w:tcW w:type="dxa" w:w="2232"/>
            <w:tcMar>
              <w:top w:w="70" w:type="dxa"/>
              <w:start w:w="90" w:type="dxa"/>
              <w:bottom w:w="70" w:type="dxa"/>
              <w:end w:w="90" w:type="dxa"/>
            </w:tcMar>
            <w:vAlign w:val="center"/>
            <w:shd w:fill="EAF3F8"/>
          </w:tcPr>
          <w:p>
            <w:pPr>
              <w:spacing w:after="0" w:line="252" w:lineRule="auto"/>
            </w:pPr>
            <w:r>
              <w:rPr>
                <w:rFonts w:ascii="Arial" w:hAnsi="Arial"/>
                <w:sz w:val="16"/>
              </w:rPr>
              <w:t>Stl Decomposition</w:t>
            </w:r>
          </w:p>
        </w:tc>
        <w:tc>
          <w:tcPr>
            <w:tcW w:type="dxa" w:w="1224"/>
            <w:tcMar>
              <w:top w:w="70" w:type="dxa"/>
              <w:start w:w="90" w:type="dxa"/>
              <w:bottom w:w="70" w:type="dxa"/>
              <w:end w:w="90" w:type="dxa"/>
            </w:tcMar>
            <w:vAlign w:val="center"/>
            <w:shd w:fill="EAF3F8"/>
          </w:tcPr>
          <w:p>
            <w:pPr>
              <w:spacing w:after="0" w:line="252" w:lineRule="auto"/>
            </w:pPr>
            <w:r>
              <w:rPr>
                <w:rFonts w:ascii="Arial" w:hAnsi="Arial"/>
                <w:sz w:val="16"/>
              </w:rPr>
              <w:t>Passed</w:t>
            </w:r>
          </w:p>
        </w:tc>
        <w:tc>
          <w:tcPr>
            <w:tcW w:type="dxa" w:w="6408"/>
            <w:tcMar>
              <w:top w:w="70" w:type="dxa"/>
              <w:start w:w="90" w:type="dxa"/>
              <w:bottom w:w="70" w:type="dxa"/>
              <w:end w:w="90" w:type="dxa"/>
            </w:tcMar>
            <w:vAlign w:val="center"/>
            <w:shd w:fill="EAF3F8"/>
          </w:tcPr>
          <w:p>
            <w:pPr>
              <w:spacing w:after="0" w:line="252" w:lineRule="auto"/>
            </w:pPr>
            <w:r>
              <w:rPr>
                <w:rFonts w:ascii="Arial" w:hAnsi="Arial"/>
                <w:sz w:val="16"/>
              </w:rPr>
              <w:t>4 eligible product-region series decomposed into trend, seasonality, and residual.</w:t>
            </w:r>
          </w:p>
        </w:tc>
      </w:tr>
      <w:tr>
        <w:trPr>
          <w:cantSplit/>
        </w:trPr>
        <w:tc>
          <w:tcPr>
            <w:tcW w:type="dxa" w:w="2232"/>
            <w:tcMar>
              <w:top w:w="70" w:type="dxa"/>
              <w:start w:w="90" w:type="dxa"/>
              <w:bottom w:w="70" w:type="dxa"/>
              <w:end w:w="90" w:type="dxa"/>
            </w:tcMar>
            <w:vAlign w:val="center"/>
          </w:tcPr>
          <w:p>
            <w:pPr>
              <w:spacing w:after="0" w:line="252" w:lineRule="auto"/>
            </w:pPr>
            <w:r>
              <w:rPr>
                <w:rFonts w:ascii="Arial" w:hAnsi="Arial"/>
                <w:sz w:val="16"/>
              </w:rPr>
              <w:t>Forecast Eligibility</w:t>
            </w:r>
          </w:p>
        </w:tc>
        <w:tc>
          <w:tcPr>
            <w:tcW w:type="dxa" w:w="1224"/>
            <w:tcMar>
              <w:top w:w="70" w:type="dxa"/>
              <w:start w:w="90" w:type="dxa"/>
              <w:bottom w:w="70" w:type="dxa"/>
              <w:end w:w="90" w:type="dxa"/>
            </w:tcMar>
            <w:vAlign w:val="center"/>
          </w:tcPr>
          <w:p>
            <w:pPr>
              <w:spacing w:after="0" w:line="252" w:lineRule="auto"/>
            </w:pPr>
            <w:r>
              <w:rPr>
                <w:rFonts w:ascii="Arial" w:hAnsi="Arial"/>
                <w:sz w:val="16"/>
              </w:rPr>
              <w:t>Passed</w:t>
            </w:r>
          </w:p>
        </w:tc>
        <w:tc>
          <w:tcPr>
            <w:tcW w:type="dxa" w:w="6408"/>
            <w:tcMar>
              <w:top w:w="70" w:type="dxa"/>
              <w:start w:w="90" w:type="dxa"/>
              <w:bottom w:w="70" w:type="dxa"/>
              <w:end w:w="90" w:type="dxa"/>
            </w:tcMar>
            <w:vAlign w:val="center"/>
          </w:tcPr>
          <w:p>
            <w:pPr>
              <w:spacing w:after="0" w:line="252" w:lineRule="auto"/>
            </w:pPr>
            <w:r>
              <w:rPr>
                <w:rFonts w:ascii="Arial" w:hAnsi="Arial"/>
                <w:sz w:val="16"/>
              </w:rPr>
              <w:t>2 study-region series have at least 24 latest consecutive observed months.</w:t>
            </w:r>
          </w:p>
        </w:tc>
      </w:tr>
    </w:tbl>
    <w:p>
      <w:pPr>
        <w:keepNext w:val="0"/>
        <w:widowControl/>
        <w:spacing w:after="140"/>
      </w:pPr>
      <w:r>
        <w:rPr>
          <w:rFonts w:ascii="Arial" w:hAnsi="Arial"/>
          <w:i/>
          <w:color w:val="64748B"/>
          <w:sz w:val="16"/>
        </w:rPr>
        <w:t>Source note: `descriptive_readiness.json`. Passing the general gate means the pipeline enforces the rule; individual series can still be ineligible.</w:t>
      </w:r>
    </w:p>
    <w:p>
      <w:pPr>
        <w:widowControl/>
      </w:pPr>
      <w:r>
        <w:rPr>
          <w:rFonts w:ascii="Arial" w:hAnsi="Arial"/>
          <w:i w:val="0"/>
        </w:rPr>
        <w:t>The primary objective-evidence series was HYCLENS WOUND SPRAY 2% 60ML in CALABARZON. It contained 33 observed months from 2023-04 through 2025-12, with no unresolved evaluation gaps. The series passed the minimum requirement of 24 consecutive months. Its product mapping remained marked `needs_review`; therefore, the statistical result was reproducible, but final business labeling still required review.</w:t>
      </w:r>
    </w:p>
    <w:p>
      <w:pPr>
        <w:pStyle w:val="Heading2"/>
        <w:widowControl/>
      </w:pPr>
      <w:r>
        <w:rPr>
          <w:rFonts w:ascii="Arial" w:hAnsi="Arial"/>
        </w:rPr>
        <w:t>4.2.2 Long-Term and Seasonal Demand Patterns</w:t>
      </w:r>
    </w:p>
    <w:p>
      <w:pPr>
        <w:widowControl/>
      </w:pPr>
      <w:r>
        <w:rPr>
          <w:rFonts w:ascii="Arial" w:hAnsi="Arial"/>
          <w:i w:val="0"/>
        </w:rPr>
        <w:t>The overall seasonal index showed substantial monthly variation. June had the highest index at 2.10, followed by November at 1.34 and September at 1.27. These values indicated that the observed delivered quantity in those months exceeded the overall monthly average in the pooled analytical series. The pattern supported month-aware planning, but it could not be generalized to every SKU because pooled quantity combined different products and source units.</w:t>
      </w:r>
    </w:p>
    <w:p>
      <w:pPr>
        <w:keepNext/>
        <w:widowControl/>
        <w:jc w:val="center"/>
      </w:pPr>
      <w:r>
        <w:rPr>
          <w:rFonts w:ascii="Arial" w:hAnsi="Arial"/>
        </w:rPr>
        <w:drawing>
          <wp:inline xmlns:a="http://schemas.openxmlformats.org/drawingml/2006/main" xmlns:pic="http://schemas.openxmlformats.org/drawingml/2006/picture">
            <wp:extent cx="6217920" cy="2495627"/>
            <wp:docPr id="4" name="Picture 4"/>
            <wp:cNvGraphicFramePr>
              <a:graphicFrameLocks noChangeAspect="1"/>
            </wp:cNvGraphicFramePr>
            <a:graphic>
              <a:graphicData uri="http://schemas.openxmlformats.org/drawingml/2006/picture">
                <pic:pic>
                  <pic:nvPicPr>
                    <pic:cNvPr id="0" name="seasonality.png"/>
                    <pic:cNvPicPr/>
                  </pic:nvPicPr>
                  <pic:blipFill>
                    <a:blip r:embed="rId16"/>
                    <a:stretch>
                      <a:fillRect/>
                    </a:stretch>
                  </pic:blipFill>
                  <pic:spPr>
                    <a:xfrm>
                      <a:off x="0" y="0"/>
                      <a:ext cx="6217920" cy="2495627"/>
                    </a:xfrm>
                    <a:prstGeom prst="rect"/>
                  </pic:spPr>
                </pic:pic>
              </a:graphicData>
            </a:graphic>
          </wp:inline>
        </w:drawing>
      </w:r>
    </w:p>
    <w:p>
      <w:pPr>
        <w:keepNext/>
        <w:widowControl/>
        <w:jc w:val="center"/>
      </w:pPr>
      <w:r>
        <w:rPr>
          <w:rFonts w:ascii="Arial" w:hAnsi="Arial"/>
          <w:b/>
          <w:i/>
          <w:sz w:val="19"/>
        </w:rPr>
        <w:t>Figure 4.2 Overall Monthly Demand Seasonality Index</w:t>
      </w:r>
    </w:p>
    <w:p>
      <w:pPr>
        <w:keepNext w:val="0"/>
        <w:widowControl/>
        <w:spacing w:after="140"/>
      </w:pPr>
      <w:r>
        <w:rPr>
          <w:rFonts w:ascii="Arial" w:hAnsi="Arial"/>
          <w:i/>
          <w:color w:val="64748B"/>
          <w:sz w:val="16"/>
        </w:rPr>
        <w:t>Source note: Observed delivered quantities in the descriptive run. An index above 1.00 indicates a pooled month above the overall monthly average.</w:t>
      </w:r>
    </w:p>
    <w:p>
      <w:pPr>
        <w:widowControl/>
      </w:pPr>
      <w:r>
        <w:rPr>
          <w:rFonts w:ascii="Arial" w:hAnsi="Arial"/>
          <w:i w:val="0"/>
        </w:rPr>
        <w:t>Robust STL with a 12-month period was therefore applied only to eligible canonical-SKU and region series. Four product-region series were decomposed into observed demand, trend, seasonality, and residual, while two study-region series met the forecast-eligibility rule. For the primary HYCLENS–CALABARZON series, seasonal strength was 0.3059. This result indicated a detectable but not dominant recurring seasonal component; the residual and trend remained material.</w:t>
      </w:r>
    </w:p>
    <w:p>
      <w:pPr>
        <w:keepNext/>
        <w:widowControl/>
        <w:jc w:val="center"/>
      </w:pPr>
      <w:r>
        <w:rPr>
          <w:rFonts w:ascii="Arial" w:hAnsi="Arial"/>
        </w:rPr>
        <w:drawing>
          <wp:inline xmlns:a="http://schemas.openxmlformats.org/drawingml/2006/main" xmlns:pic="http://schemas.openxmlformats.org/drawingml/2006/picture">
            <wp:extent cx="6217920" cy="4985123"/>
            <wp:docPr id="5" name="Picture 5"/>
            <wp:cNvGraphicFramePr>
              <a:graphicFrameLocks noChangeAspect="1"/>
            </wp:cNvGraphicFramePr>
            <a:graphic>
              <a:graphicData uri="http://schemas.openxmlformats.org/drawingml/2006/picture">
                <pic:pic>
                  <pic:nvPicPr>
                    <pic:cNvPr id="0" name="stl_primary.png"/>
                    <pic:cNvPicPr/>
                  </pic:nvPicPr>
                  <pic:blipFill>
                    <a:blip r:embed="rId17"/>
                    <a:stretch>
                      <a:fillRect/>
                    </a:stretch>
                  </pic:blipFill>
                  <pic:spPr>
                    <a:xfrm>
                      <a:off x="0" y="0"/>
                      <a:ext cx="6217920" cy="4985123"/>
                    </a:xfrm>
                    <a:prstGeom prst="rect"/>
                  </pic:spPr>
                </pic:pic>
              </a:graphicData>
            </a:graphic>
          </wp:inline>
        </w:drawing>
      </w:r>
    </w:p>
    <w:p>
      <w:pPr>
        <w:keepNext/>
        <w:widowControl/>
        <w:jc w:val="center"/>
      </w:pPr>
      <w:r>
        <w:rPr>
          <w:rFonts w:ascii="Arial" w:hAnsi="Arial"/>
          <w:b/>
          <w:i/>
          <w:sz w:val="19"/>
        </w:rPr>
        <w:t>Figure 4.3 STL Decomposition of the Primary Eligible Product–Region Series</w:t>
      </w:r>
    </w:p>
    <w:p>
      <w:pPr>
        <w:keepNext w:val="0"/>
        <w:widowControl/>
        <w:spacing w:after="140"/>
      </w:pPr>
      <w:r>
        <w:rPr>
          <w:rFonts w:ascii="Arial" w:hAnsi="Arial"/>
          <w:i/>
          <w:color w:val="64748B"/>
          <w:sz w:val="16"/>
        </w:rPr>
        <w:t>Source note: `descriptive_stl_components.csv`; robust STL, 12-month period. Demand is delivered quantity for one product-region series.</w:t>
      </w:r>
    </w:p>
    <w:p>
      <w:pPr>
        <w:pStyle w:val="Heading2"/>
        <w:widowControl/>
      </w:pPr>
      <w:r>
        <w:rPr>
          <w:rFonts w:ascii="Arial" w:hAnsi="Arial"/>
        </w:rPr>
        <w:t>4.2.3 Revenue Contribution and ABC Prioritization</w:t>
      </w:r>
    </w:p>
    <w:p>
      <w:pPr>
        <w:widowControl/>
      </w:pPr>
      <w:r>
        <w:rPr>
          <w:rFonts w:ascii="Arial" w:hAnsi="Arial"/>
          <w:i w:val="0"/>
        </w:rPr>
        <w:t>The revenue Pareto analysis used Net CP net-sales revenue and assigned deterministic ABC classes at cumulative thresholds of 80% and 95%. Across 4,483 product labels, the highest-ranked label was T SHIRT WITH PRINT, with ₱8.86 million in net-sales revenue or 1.79% of the analytical total. The presence of nonpharmaceutical items among the leading labels confirmed that product-master approval and business-line filtering were necessary before the ranking could be used as a pharmaceutical procurement list.</w:t>
      </w:r>
    </w:p>
    <w:p>
      <w:pPr>
        <w:keepNext/>
        <w:widowControl/>
        <w:jc w:val="center"/>
      </w:pPr>
      <w:r>
        <w:rPr>
          <w:rFonts w:ascii="Arial" w:hAnsi="Arial"/>
          <w:b/>
          <w:i/>
          <w:sz w:val="19"/>
        </w:rPr>
        <w:t>Table 4.6 Highest net-sales product labels</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1987"/>
        <w:gridCol w:w="1987"/>
        <w:gridCol w:w="1987"/>
        <w:gridCol w:w="1987"/>
        <w:gridCol w:w="1987"/>
      </w:tblGrid>
      <w:tr>
        <w:trPr>
          <w:tblHeader w:val="true"/>
        </w:trPr>
        <w:tc>
          <w:tcPr>
            <w:tcW w:type="dxa" w:w="792"/>
            <w:shd w:fill="2A6F9E"/>
            <w:tcMar>
              <w:top w:w="70" w:type="dxa"/>
              <w:start w:w="90" w:type="dxa"/>
              <w:bottom w:w="70" w:type="dxa"/>
              <w:end w:w="90" w:type="dxa"/>
            </w:tcMar>
            <w:vAlign w:val="center"/>
          </w:tcPr>
          <w:p>
            <w:pPr>
              <w:jc w:val="center"/>
            </w:pPr>
            <w:r>
              <w:rPr>
                <w:b/>
                <w:color w:val="FFFFFF"/>
                <w:sz w:val="17"/>
              </w:rPr>
              <w:t>Rank</w:t>
            </w:r>
          </w:p>
        </w:tc>
        <w:tc>
          <w:tcPr>
            <w:tcW w:type="dxa" w:w="4392"/>
            <w:shd w:fill="2A6F9E"/>
            <w:tcMar>
              <w:top w:w="70" w:type="dxa"/>
              <w:start w:w="90" w:type="dxa"/>
              <w:bottom w:w="70" w:type="dxa"/>
              <w:end w:w="90" w:type="dxa"/>
            </w:tcMar>
            <w:vAlign w:val="center"/>
          </w:tcPr>
          <w:p>
            <w:pPr>
              <w:jc w:val="center"/>
            </w:pPr>
            <w:r>
              <w:rPr>
                <w:b/>
                <w:color w:val="FFFFFF"/>
                <w:sz w:val="17"/>
              </w:rPr>
              <w:t>Product label</w:t>
            </w:r>
          </w:p>
        </w:tc>
        <w:tc>
          <w:tcPr>
            <w:tcW w:type="dxa" w:w="1944"/>
            <w:shd w:fill="2A6F9E"/>
            <w:tcMar>
              <w:top w:w="70" w:type="dxa"/>
              <w:start w:w="90" w:type="dxa"/>
              <w:bottom w:w="70" w:type="dxa"/>
              <w:end w:w="90" w:type="dxa"/>
            </w:tcMar>
            <w:vAlign w:val="center"/>
          </w:tcPr>
          <w:p>
            <w:pPr>
              <w:jc w:val="center"/>
            </w:pPr>
            <w:r>
              <w:rPr>
                <w:b/>
                <w:color w:val="FFFFFF"/>
                <w:sz w:val="17"/>
              </w:rPr>
              <w:t>Net-sales revenue</w:t>
            </w:r>
          </w:p>
        </w:tc>
        <w:tc>
          <w:tcPr>
            <w:tcW w:type="dxa" w:w="1440"/>
            <w:shd w:fill="2A6F9E"/>
            <w:tcMar>
              <w:top w:w="70" w:type="dxa"/>
              <w:start w:w="90" w:type="dxa"/>
              <w:bottom w:w="70" w:type="dxa"/>
              <w:end w:w="90" w:type="dxa"/>
            </w:tcMar>
            <w:vAlign w:val="center"/>
          </w:tcPr>
          <w:p>
            <w:pPr>
              <w:jc w:val="center"/>
            </w:pPr>
            <w:r>
              <w:rPr>
                <w:b/>
                <w:color w:val="FFFFFF"/>
                <w:sz w:val="17"/>
              </w:rPr>
              <w:t>Revenue share</w:t>
            </w:r>
          </w:p>
        </w:tc>
        <w:tc>
          <w:tcPr>
            <w:tcW w:type="dxa" w:w="792"/>
            <w:shd w:fill="2A6F9E"/>
            <w:tcMar>
              <w:top w:w="70" w:type="dxa"/>
              <w:start w:w="90" w:type="dxa"/>
              <w:bottom w:w="70" w:type="dxa"/>
              <w:end w:w="90" w:type="dxa"/>
            </w:tcMar>
            <w:vAlign w:val="center"/>
          </w:tcPr>
          <w:p>
            <w:pPr>
              <w:jc w:val="center"/>
            </w:pPr>
            <w:r>
              <w:rPr>
                <w:b/>
                <w:color w:val="FFFFFF"/>
                <w:sz w:val="17"/>
              </w:rPr>
              <w:t>ABC</w:t>
            </w:r>
          </w:p>
        </w:tc>
      </w:tr>
      <w:tr>
        <w:trPr>
          <w:cantSplit/>
        </w:trPr>
        <w:tc>
          <w:tcPr>
            <w:tcW w:type="dxa" w:w="792"/>
            <w:tcMar>
              <w:top w:w="70" w:type="dxa"/>
              <w:start w:w="90" w:type="dxa"/>
              <w:bottom w:w="70" w:type="dxa"/>
              <w:end w:w="90" w:type="dxa"/>
            </w:tcMar>
            <w:vAlign w:val="center"/>
          </w:tcPr>
          <w:p>
            <w:pPr>
              <w:spacing w:after="0" w:line="252" w:lineRule="auto"/>
            </w:pPr>
            <w:r>
              <w:rPr>
                <w:rFonts w:ascii="Arial" w:hAnsi="Arial"/>
                <w:sz w:val="16"/>
              </w:rPr>
              <w:t>1</w:t>
            </w:r>
          </w:p>
        </w:tc>
        <w:tc>
          <w:tcPr>
            <w:tcW w:type="dxa" w:w="4392"/>
            <w:tcMar>
              <w:top w:w="70" w:type="dxa"/>
              <w:start w:w="90" w:type="dxa"/>
              <w:bottom w:w="70" w:type="dxa"/>
              <w:end w:w="90" w:type="dxa"/>
            </w:tcMar>
            <w:vAlign w:val="center"/>
          </w:tcPr>
          <w:p>
            <w:pPr>
              <w:spacing w:after="0" w:line="252" w:lineRule="auto"/>
            </w:pPr>
            <w:r>
              <w:rPr>
                <w:rFonts w:ascii="Arial" w:hAnsi="Arial"/>
                <w:sz w:val="16"/>
              </w:rPr>
              <w:t>T SHIRT WITH PRINT</w:t>
            </w:r>
          </w:p>
        </w:tc>
        <w:tc>
          <w:tcPr>
            <w:tcW w:type="dxa" w:w="1944"/>
            <w:tcMar>
              <w:top w:w="70" w:type="dxa"/>
              <w:start w:w="90" w:type="dxa"/>
              <w:bottom w:w="70" w:type="dxa"/>
              <w:end w:w="90" w:type="dxa"/>
            </w:tcMar>
            <w:vAlign w:val="center"/>
          </w:tcPr>
          <w:p>
            <w:pPr>
              <w:spacing w:after="0" w:line="252" w:lineRule="auto"/>
            </w:pPr>
            <w:r>
              <w:rPr>
                <w:rFonts w:ascii="Arial" w:hAnsi="Arial"/>
                <w:sz w:val="16"/>
              </w:rPr>
              <w:t>₱8.9M</w:t>
            </w:r>
          </w:p>
        </w:tc>
        <w:tc>
          <w:tcPr>
            <w:tcW w:type="dxa" w:w="1440"/>
            <w:tcMar>
              <w:top w:w="70" w:type="dxa"/>
              <w:start w:w="90" w:type="dxa"/>
              <w:bottom w:w="70" w:type="dxa"/>
              <w:end w:w="90" w:type="dxa"/>
            </w:tcMar>
            <w:vAlign w:val="center"/>
          </w:tcPr>
          <w:p>
            <w:pPr>
              <w:spacing w:after="0" w:line="252" w:lineRule="auto"/>
            </w:pPr>
            <w:r>
              <w:rPr>
                <w:rFonts w:ascii="Arial" w:hAnsi="Arial"/>
                <w:sz w:val="16"/>
              </w:rPr>
              <w:t>1.79%</w:t>
            </w:r>
          </w:p>
        </w:tc>
        <w:tc>
          <w:tcPr>
            <w:tcW w:type="dxa" w:w="792"/>
            <w:tcMar>
              <w:top w:w="70" w:type="dxa"/>
              <w:start w:w="90" w:type="dxa"/>
              <w:bottom w:w="70" w:type="dxa"/>
              <w:end w:w="90" w:type="dxa"/>
            </w:tcMar>
            <w:vAlign w:val="center"/>
          </w:tcPr>
          <w:p>
            <w:pPr>
              <w:spacing w:after="0" w:line="252" w:lineRule="auto"/>
            </w:pPr>
            <w:r>
              <w:rPr>
                <w:rFonts w:ascii="Arial" w:hAnsi="Arial"/>
                <w:sz w:val="16"/>
              </w:rPr>
              <w:t>A</w:t>
            </w:r>
          </w:p>
        </w:tc>
      </w:tr>
      <w:tr>
        <w:trPr>
          <w:cantSplit/>
        </w:trPr>
        <w:tc>
          <w:tcPr>
            <w:tcW w:type="dxa" w:w="792"/>
            <w:tcMar>
              <w:top w:w="70" w:type="dxa"/>
              <w:start w:w="90" w:type="dxa"/>
              <w:bottom w:w="70" w:type="dxa"/>
              <w:end w:w="90" w:type="dxa"/>
            </w:tcMar>
            <w:vAlign w:val="center"/>
            <w:shd w:fill="EAF3F8"/>
          </w:tcPr>
          <w:p>
            <w:pPr>
              <w:spacing w:after="0" w:line="252" w:lineRule="auto"/>
            </w:pPr>
            <w:r>
              <w:rPr>
                <w:rFonts w:ascii="Arial" w:hAnsi="Arial"/>
                <w:sz w:val="16"/>
              </w:rPr>
              <w:t>2</w:t>
            </w:r>
          </w:p>
        </w:tc>
        <w:tc>
          <w:tcPr>
            <w:tcW w:type="dxa" w:w="4392"/>
            <w:tcMar>
              <w:top w:w="70" w:type="dxa"/>
              <w:start w:w="90" w:type="dxa"/>
              <w:bottom w:w="70" w:type="dxa"/>
              <w:end w:w="90" w:type="dxa"/>
            </w:tcMar>
            <w:vAlign w:val="center"/>
            <w:shd w:fill="EAF3F8"/>
          </w:tcPr>
          <w:p>
            <w:pPr>
              <w:spacing w:after="0" w:line="252" w:lineRule="auto"/>
            </w:pPr>
            <w:r>
              <w:rPr>
                <w:rFonts w:ascii="Arial" w:hAnsi="Arial"/>
                <w:sz w:val="16"/>
              </w:rPr>
              <w:t>MONOWEL 1G IV</w:t>
            </w:r>
          </w:p>
        </w:tc>
        <w:tc>
          <w:tcPr>
            <w:tcW w:type="dxa" w:w="1944"/>
            <w:tcMar>
              <w:top w:w="70" w:type="dxa"/>
              <w:start w:w="90" w:type="dxa"/>
              <w:bottom w:w="70" w:type="dxa"/>
              <w:end w:w="90" w:type="dxa"/>
            </w:tcMar>
            <w:vAlign w:val="center"/>
            <w:shd w:fill="EAF3F8"/>
          </w:tcPr>
          <w:p>
            <w:pPr>
              <w:spacing w:after="0" w:line="252" w:lineRule="auto"/>
            </w:pPr>
            <w:r>
              <w:rPr>
                <w:rFonts w:ascii="Arial" w:hAnsi="Arial"/>
                <w:sz w:val="16"/>
              </w:rPr>
              <w:t>₱8.2M</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1.66%</w:t>
            </w:r>
          </w:p>
        </w:tc>
        <w:tc>
          <w:tcPr>
            <w:tcW w:type="dxa" w:w="792"/>
            <w:tcMar>
              <w:top w:w="70" w:type="dxa"/>
              <w:start w:w="90" w:type="dxa"/>
              <w:bottom w:w="70" w:type="dxa"/>
              <w:end w:w="90" w:type="dxa"/>
            </w:tcMar>
            <w:vAlign w:val="center"/>
            <w:shd w:fill="EAF3F8"/>
          </w:tcPr>
          <w:p>
            <w:pPr>
              <w:spacing w:after="0" w:line="252" w:lineRule="auto"/>
            </w:pPr>
            <w:r>
              <w:rPr>
                <w:rFonts w:ascii="Arial" w:hAnsi="Arial"/>
                <w:sz w:val="16"/>
              </w:rPr>
              <w:t>A</w:t>
            </w:r>
          </w:p>
        </w:tc>
      </w:tr>
      <w:tr>
        <w:trPr>
          <w:cantSplit/>
        </w:trPr>
        <w:tc>
          <w:tcPr>
            <w:tcW w:type="dxa" w:w="792"/>
            <w:tcMar>
              <w:top w:w="70" w:type="dxa"/>
              <w:start w:w="90" w:type="dxa"/>
              <w:bottom w:w="70" w:type="dxa"/>
              <w:end w:w="90" w:type="dxa"/>
            </w:tcMar>
            <w:vAlign w:val="center"/>
          </w:tcPr>
          <w:p>
            <w:pPr>
              <w:spacing w:after="0" w:line="252" w:lineRule="auto"/>
            </w:pPr>
            <w:r>
              <w:rPr>
                <w:rFonts w:ascii="Arial" w:hAnsi="Arial"/>
                <w:sz w:val="16"/>
              </w:rPr>
              <w:t>3</w:t>
            </w:r>
          </w:p>
        </w:tc>
        <w:tc>
          <w:tcPr>
            <w:tcW w:type="dxa" w:w="4392"/>
            <w:tcMar>
              <w:top w:w="70" w:type="dxa"/>
              <w:start w:w="90" w:type="dxa"/>
              <w:bottom w:w="70" w:type="dxa"/>
              <w:end w:w="90" w:type="dxa"/>
            </w:tcMar>
            <w:vAlign w:val="center"/>
          </w:tcPr>
          <w:p>
            <w:pPr>
              <w:spacing w:after="0" w:line="252" w:lineRule="auto"/>
            </w:pPr>
            <w:r>
              <w:rPr>
                <w:rFonts w:ascii="Arial" w:hAnsi="Arial"/>
                <w:sz w:val="16"/>
              </w:rPr>
              <w:t>DR#0157 SI 0181</w:t>
            </w:r>
          </w:p>
        </w:tc>
        <w:tc>
          <w:tcPr>
            <w:tcW w:type="dxa" w:w="1944"/>
            <w:tcMar>
              <w:top w:w="70" w:type="dxa"/>
              <w:start w:w="90" w:type="dxa"/>
              <w:bottom w:w="70" w:type="dxa"/>
              <w:end w:w="90" w:type="dxa"/>
            </w:tcMar>
            <w:vAlign w:val="center"/>
          </w:tcPr>
          <w:p>
            <w:pPr>
              <w:spacing w:after="0" w:line="252" w:lineRule="auto"/>
            </w:pPr>
            <w:r>
              <w:rPr>
                <w:rFonts w:ascii="Arial" w:hAnsi="Arial"/>
                <w:sz w:val="16"/>
              </w:rPr>
              <w:t>₱7.9M</w:t>
            </w:r>
          </w:p>
        </w:tc>
        <w:tc>
          <w:tcPr>
            <w:tcW w:type="dxa" w:w="1440"/>
            <w:tcMar>
              <w:top w:w="70" w:type="dxa"/>
              <w:start w:w="90" w:type="dxa"/>
              <w:bottom w:w="70" w:type="dxa"/>
              <w:end w:w="90" w:type="dxa"/>
            </w:tcMar>
            <w:vAlign w:val="center"/>
          </w:tcPr>
          <w:p>
            <w:pPr>
              <w:spacing w:after="0" w:line="252" w:lineRule="auto"/>
            </w:pPr>
            <w:r>
              <w:rPr>
                <w:rFonts w:ascii="Arial" w:hAnsi="Arial"/>
                <w:sz w:val="16"/>
              </w:rPr>
              <w:t>1.60%</w:t>
            </w:r>
          </w:p>
        </w:tc>
        <w:tc>
          <w:tcPr>
            <w:tcW w:type="dxa" w:w="792"/>
            <w:tcMar>
              <w:top w:w="70" w:type="dxa"/>
              <w:start w:w="90" w:type="dxa"/>
              <w:bottom w:w="70" w:type="dxa"/>
              <w:end w:w="90" w:type="dxa"/>
            </w:tcMar>
            <w:vAlign w:val="center"/>
          </w:tcPr>
          <w:p>
            <w:pPr>
              <w:spacing w:after="0" w:line="252" w:lineRule="auto"/>
            </w:pPr>
            <w:r>
              <w:rPr>
                <w:rFonts w:ascii="Arial" w:hAnsi="Arial"/>
                <w:sz w:val="16"/>
              </w:rPr>
              <w:t>A</w:t>
            </w:r>
          </w:p>
        </w:tc>
      </w:tr>
      <w:tr>
        <w:trPr>
          <w:cantSplit/>
        </w:trPr>
        <w:tc>
          <w:tcPr>
            <w:tcW w:type="dxa" w:w="792"/>
            <w:tcMar>
              <w:top w:w="70" w:type="dxa"/>
              <w:start w:w="90" w:type="dxa"/>
              <w:bottom w:w="70" w:type="dxa"/>
              <w:end w:w="90" w:type="dxa"/>
            </w:tcMar>
            <w:vAlign w:val="center"/>
            <w:shd w:fill="EAF3F8"/>
          </w:tcPr>
          <w:p>
            <w:pPr>
              <w:spacing w:after="0" w:line="252" w:lineRule="auto"/>
            </w:pPr>
            <w:r>
              <w:rPr>
                <w:rFonts w:ascii="Arial" w:hAnsi="Arial"/>
                <w:sz w:val="16"/>
              </w:rPr>
              <w:t>4</w:t>
            </w:r>
          </w:p>
        </w:tc>
        <w:tc>
          <w:tcPr>
            <w:tcW w:type="dxa" w:w="4392"/>
            <w:tcMar>
              <w:top w:w="70" w:type="dxa"/>
              <w:start w:w="90" w:type="dxa"/>
              <w:bottom w:w="70" w:type="dxa"/>
              <w:end w:w="90" w:type="dxa"/>
            </w:tcMar>
            <w:vAlign w:val="center"/>
            <w:shd w:fill="EAF3F8"/>
          </w:tcPr>
          <w:p>
            <w:pPr>
              <w:spacing w:after="0" w:line="252" w:lineRule="auto"/>
            </w:pPr>
            <w:r>
              <w:rPr>
                <w:rFonts w:ascii="Arial" w:hAnsi="Arial"/>
                <w:sz w:val="16"/>
              </w:rPr>
              <w:t>CORRECTION TAPE JOY</w:t>
            </w:r>
          </w:p>
        </w:tc>
        <w:tc>
          <w:tcPr>
            <w:tcW w:type="dxa" w:w="1944"/>
            <w:tcMar>
              <w:top w:w="70" w:type="dxa"/>
              <w:start w:w="90" w:type="dxa"/>
              <w:bottom w:w="70" w:type="dxa"/>
              <w:end w:w="90" w:type="dxa"/>
            </w:tcMar>
            <w:vAlign w:val="center"/>
            <w:shd w:fill="EAF3F8"/>
          </w:tcPr>
          <w:p>
            <w:pPr>
              <w:spacing w:after="0" w:line="252" w:lineRule="auto"/>
            </w:pPr>
            <w:r>
              <w:rPr>
                <w:rFonts w:ascii="Arial" w:hAnsi="Arial"/>
                <w:sz w:val="16"/>
              </w:rPr>
              <w:t>₱7.0M</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1.42%</w:t>
            </w:r>
          </w:p>
        </w:tc>
        <w:tc>
          <w:tcPr>
            <w:tcW w:type="dxa" w:w="792"/>
            <w:tcMar>
              <w:top w:w="70" w:type="dxa"/>
              <w:start w:w="90" w:type="dxa"/>
              <w:bottom w:w="70" w:type="dxa"/>
              <w:end w:w="90" w:type="dxa"/>
            </w:tcMar>
            <w:vAlign w:val="center"/>
            <w:shd w:fill="EAF3F8"/>
          </w:tcPr>
          <w:p>
            <w:pPr>
              <w:spacing w:after="0" w:line="252" w:lineRule="auto"/>
            </w:pPr>
            <w:r>
              <w:rPr>
                <w:rFonts w:ascii="Arial" w:hAnsi="Arial"/>
                <w:sz w:val="16"/>
              </w:rPr>
              <w:t>A</w:t>
            </w:r>
          </w:p>
        </w:tc>
      </w:tr>
      <w:tr>
        <w:trPr>
          <w:cantSplit/>
        </w:trPr>
        <w:tc>
          <w:tcPr>
            <w:tcW w:type="dxa" w:w="792"/>
            <w:tcMar>
              <w:top w:w="70" w:type="dxa"/>
              <w:start w:w="90" w:type="dxa"/>
              <w:bottom w:w="70" w:type="dxa"/>
              <w:end w:w="90" w:type="dxa"/>
            </w:tcMar>
            <w:vAlign w:val="center"/>
          </w:tcPr>
          <w:p>
            <w:pPr>
              <w:spacing w:after="0" w:line="252" w:lineRule="auto"/>
            </w:pPr>
            <w:r>
              <w:rPr>
                <w:rFonts w:ascii="Arial" w:hAnsi="Arial"/>
                <w:sz w:val="16"/>
              </w:rPr>
              <w:t>5</w:t>
            </w:r>
          </w:p>
        </w:tc>
        <w:tc>
          <w:tcPr>
            <w:tcW w:type="dxa" w:w="4392"/>
            <w:tcMar>
              <w:top w:w="70" w:type="dxa"/>
              <w:start w:w="90" w:type="dxa"/>
              <w:bottom w:w="70" w:type="dxa"/>
              <w:end w:w="90" w:type="dxa"/>
            </w:tcMar>
            <w:vAlign w:val="center"/>
          </w:tcPr>
          <w:p>
            <w:pPr>
              <w:spacing w:after="0" w:line="252" w:lineRule="auto"/>
            </w:pPr>
            <w:r>
              <w:rPr>
                <w:rFonts w:ascii="Arial" w:hAnsi="Arial"/>
                <w:sz w:val="16"/>
              </w:rPr>
              <w:t>EVAPROST 250MCG/ML</w:t>
            </w:r>
          </w:p>
        </w:tc>
        <w:tc>
          <w:tcPr>
            <w:tcW w:type="dxa" w:w="1944"/>
            <w:tcMar>
              <w:top w:w="70" w:type="dxa"/>
              <w:start w:w="90" w:type="dxa"/>
              <w:bottom w:w="70" w:type="dxa"/>
              <w:end w:w="90" w:type="dxa"/>
            </w:tcMar>
            <w:vAlign w:val="center"/>
          </w:tcPr>
          <w:p>
            <w:pPr>
              <w:spacing w:after="0" w:line="252" w:lineRule="auto"/>
            </w:pPr>
            <w:r>
              <w:rPr>
                <w:rFonts w:ascii="Arial" w:hAnsi="Arial"/>
                <w:sz w:val="16"/>
              </w:rPr>
              <w:t>₱6.0M</w:t>
            </w:r>
          </w:p>
        </w:tc>
        <w:tc>
          <w:tcPr>
            <w:tcW w:type="dxa" w:w="1440"/>
            <w:tcMar>
              <w:top w:w="70" w:type="dxa"/>
              <w:start w:w="90" w:type="dxa"/>
              <w:bottom w:w="70" w:type="dxa"/>
              <w:end w:w="90" w:type="dxa"/>
            </w:tcMar>
            <w:vAlign w:val="center"/>
          </w:tcPr>
          <w:p>
            <w:pPr>
              <w:spacing w:after="0" w:line="252" w:lineRule="auto"/>
            </w:pPr>
            <w:r>
              <w:rPr>
                <w:rFonts w:ascii="Arial" w:hAnsi="Arial"/>
                <w:sz w:val="16"/>
              </w:rPr>
              <w:t>1.21%</w:t>
            </w:r>
          </w:p>
        </w:tc>
        <w:tc>
          <w:tcPr>
            <w:tcW w:type="dxa" w:w="792"/>
            <w:tcMar>
              <w:top w:w="70" w:type="dxa"/>
              <w:start w:w="90" w:type="dxa"/>
              <w:bottom w:w="70" w:type="dxa"/>
              <w:end w:w="90" w:type="dxa"/>
            </w:tcMar>
            <w:vAlign w:val="center"/>
          </w:tcPr>
          <w:p>
            <w:pPr>
              <w:spacing w:after="0" w:line="252" w:lineRule="auto"/>
            </w:pPr>
            <w:r>
              <w:rPr>
                <w:rFonts w:ascii="Arial" w:hAnsi="Arial"/>
                <w:sz w:val="16"/>
              </w:rPr>
              <w:t>A</w:t>
            </w:r>
          </w:p>
        </w:tc>
      </w:tr>
    </w:tbl>
    <w:p>
      <w:pPr>
        <w:keepNext w:val="0"/>
        <w:widowControl/>
        <w:spacing w:after="140"/>
      </w:pPr>
      <w:r>
        <w:rPr>
          <w:rFonts w:ascii="Arial" w:hAnsi="Arial"/>
          <w:i/>
          <w:color w:val="64748B"/>
          <w:sz w:val="16"/>
        </w:rPr>
        <w:t>Source note: `descriptive_product_abc_pareto.csv`. Labels are source/product-master candidates, not fully approved therapeutic SKUs.</w:t>
      </w:r>
    </w:p>
    <w:p>
      <w:pPr>
        <w:widowControl/>
      </w:pPr>
      <w:r>
        <w:rPr>
          <w:rFonts w:ascii="Arial" w:hAnsi="Arial"/>
          <w:i w:val="0"/>
        </w:rPr>
        <w:t>At the mapped-territory level, Quezon represented ₱105.43 million or 72.00% of the territory-only revenue base. Batangas contributed 10.80%, while Marinduque contributed 7.66%, which brought their cumulative share to 90.45%. The apparent Quezon concentration included 1,230 estimated contract-allocation rows; therefore, the dashboard separated actual transactions from estimated allocations rather than presenting the rollup as fully observed detail.</w:t>
      </w:r>
    </w:p>
    <w:p>
      <w:pPr>
        <w:keepNext/>
        <w:widowControl/>
        <w:jc w:val="center"/>
      </w:pPr>
      <w:r>
        <w:rPr>
          <w:rFonts w:ascii="Arial" w:hAnsi="Arial"/>
        </w:rPr>
        <w:drawing>
          <wp:inline xmlns:a="http://schemas.openxmlformats.org/drawingml/2006/main" xmlns:pic="http://schemas.openxmlformats.org/drawingml/2006/picture">
            <wp:extent cx="6217920" cy="3078140"/>
            <wp:docPr id="6" name="Picture 6"/>
            <wp:cNvGraphicFramePr>
              <a:graphicFrameLocks noChangeAspect="1"/>
            </wp:cNvGraphicFramePr>
            <a:graphic>
              <a:graphicData uri="http://schemas.openxmlformats.org/drawingml/2006/picture">
                <pic:pic>
                  <pic:nvPicPr>
                    <pic:cNvPr id="0" name="territory_pareto.png"/>
                    <pic:cNvPicPr/>
                  </pic:nvPicPr>
                  <pic:blipFill>
                    <a:blip r:embed="rId18"/>
                    <a:stretch>
                      <a:fillRect/>
                    </a:stretch>
                  </pic:blipFill>
                  <pic:spPr>
                    <a:xfrm>
                      <a:off x="0" y="0"/>
                      <a:ext cx="6217920" cy="3078140"/>
                    </a:xfrm>
                    <a:prstGeom prst="rect"/>
                  </pic:spPr>
                </pic:pic>
              </a:graphicData>
            </a:graphic>
          </wp:inline>
        </w:drawing>
      </w:r>
    </w:p>
    <w:p>
      <w:pPr>
        <w:keepNext/>
        <w:widowControl/>
        <w:jc w:val="center"/>
      </w:pPr>
      <w:r>
        <w:rPr>
          <w:rFonts w:ascii="Arial" w:hAnsi="Arial"/>
          <w:b/>
          <w:i/>
          <w:sz w:val="19"/>
        </w:rPr>
        <w:t>Figure 4.4 Mapped-Territory Net-Sales Revenue Pareto</w:t>
      </w:r>
    </w:p>
    <w:p>
      <w:pPr>
        <w:keepNext w:val="0"/>
        <w:widowControl/>
        <w:spacing w:after="140"/>
      </w:pPr>
      <w:r>
        <w:rPr>
          <w:rFonts w:ascii="Arial" w:hAnsi="Arial"/>
          <w:i/>
          <w:color w:val="64748B"/>
          <w:sz w:val="16"/>
        </w:rPr>
        <w:t>Source note: Territory-only descriptive Pareto. Other National, business-line, customer-type, and unmapped labels are excluded from this territory chart.</w:t>
      </w:r>
    </w:p>
    <w:p>
      <w:pPr>
        <w:pStyle w:val="Heading2"/>
        <w:widowControl/>
      </w:pPr>
      <w:r>
        <w:rPr>
          <w:rFonts w:ascii="Arial" w:hAnsi="Arial"/>
        </w:rPr>
        <w:t>4.2.4 Forecast Evaluation and Champion–Challenger Findings</w:t>
      </w:r>
    </w:p>
    <w:p>
      <w:pPr>
        <w:widowControl/>
      </w:pPr>
      <w:r>
        <w:rPr>
          <w:rFonts w:ascii="Arial" w:hAnsi="Arial"/>
          <w:i w:val="0"/>
        </w:rPr>
        <w:t>SO3 was treated as a governed model-portfolio objective rather than as a commitment to a single algorithm. Prophet and XGBoost served as advanced challengers because they could represent nonlinear or external-signal relationships, while seasonal naive, last-value naive, Holt–Winters, ARIMA, SARIMA, and SARIMAX served as classical benchmarks and fallback candidates. The forecast interface provided selectable rolling horizons for the next 3, 6, or 12 calendar months. Each window began in the month after the reporting month and advanced automatically when the calendar month changed. Thus, a run performed in November 2026 would begin in December 2026 and would end in February 2027, May 2027, or November 2027 for the respective horizon. The model origin remained the latest validated actual period, so any delay between the actual-data endpoint and the forecast start remained visible. The proposed retraining rule required all eligible candidates to be evaluated on the same product-region holdout and retained only a model that passed the agreed accuracy, bias, completeness, and publication gates. Model complexity alone was not considered a basis for promotion.</w:t>
      </w:r>
    </w:p>
    <w:p>
      <w:pPr>
        <w:widowControl/>
      </w:pPr>
      <w:r>
        <w:rPr>
          <w:rFonts w:ascii="Arial" w:hAnsi="Arial"/>
          <w:i w:val="0"/>
        </w:rPr>
        <w:t>The repository contained historical aggregate evaluations for a seasonal-naive benchmark and disease- and weather-based challengers. In the disease-only evaluation, the seasonal-naive benchmark recorded an MAE of 49,526.90 and an RMSE of 64,285.40. The gradient-boosting disease model recorded a slightly lower MAE of 48,970.90, but it produced a higher RMSE of 64,915.00 and a worse MAPE. Disease correlations were weak among the available national monthly features. Consequently, the evidence did not support the claim that external disease regressors consistently improved forecast quality.</w:t>
      </w:r>
    </w:p>
    <w:p>
      <w:pPr>
        <w:widowControl/>
      </w:pPr>
      <w:r>
        <w:rPr>
          <w:rFonts w:ascii="Arial" w:hAnsi="Arial"/>
          <w:i w:val="0"/>
        </w:rPr>
        <w:t>The combined weather-and-disease gradient-boosting model reduced the MAE to 47,804.40, but its RMSE remained above the naive benchmark and its MAPE deteriorated. A separate model-testing run evaluated Holt–Winters, ARIMA, SARIMA, and SARIMAX; SARIMA recorded the lowest MAE in that run at 30,884.00. Because the classical models were not scored on the same documented product-region holdout as the aggregate disease-and-weather models, the results established candidate availability but did not justify the declaration of a final champion.</w:t>
      </w:r>
    </w:p>
    <w:p>
      <w:pPr>
        <w:keepNext/>
        <w:widowControl/>
        <w:jc w:val="center"/>
      </w:pPr>
      <w:r>
        <w:rPr>
          <w:rFonts w:ascii="Arial" w:hAnsi="Arial"/>
          <w:b/>
          <w:i/>
          <w:sz w:val="19"/>
        </w:rPr>
        <w:t>Table 4.7 Historical aggregate model comparison</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1987"/>
        <w:gridCol w:w="1987"/>
        <w:gridCol w:w="1987"/>
        <w:gridCol w:w="1987"/>
        <w:gridCol w:w="1987"/>
      </w:tblGrid>
      <w:tr>
        <w:trPr>
          <w:tblHeader w:val="true"/>
        </w:trPr>
        <w:tc>
          <w:tcPr>
            <w:tcW w:type="dxa" w:w="2304"/>
            <w:shd w:fill="2A6F9E"/>
            <w:tcMar>
              <w:top w:w="70" w:type="dxa"/>
              <w:start w:w="90" w:type="dxa"/>
              <w:bottom w:w="70" w:type="dxa"/>
              <w:end w:w="90" w:type="dxa"/>
            </w:tcMar>
            <w:vAlign w:val="center"/>
          </w:tcPr>
          <w:p>
            <w:pPr>
              <w:jc w:val="center"/>
            </w:pPr>
            <w:r>
              <w:rPr>
                <w:b/>
                <w:color w:val="FFFFFF"/>
                <w:sz w:val="17"/>
              </w:rPr>
              <w:t>Model</w:t>
            </w:r>
          </w:p>
        </w:tc>
        <w:tc>
          <w:tcPr>
            <w:tcW w:type="dxa" w:w="1440"/>
            <w:shd w:fill="2A6F9E"/>
            <w:tcMar>
              <w:top w:w="70" w:type="dxa"/>
              <w:start w:w="90" w:type="dxa"/>
              <w:bottom w:w="70" w:type="dxa"/>
              <w:end w:w="90" w:type="dxa"/>
            </w:tcMar>
            <w:vAlign w:val="center"/>
          </w:tcPr>
          <w:p>
            <w:pPr>
              <w:jc w:val="center"/>
            </w:pPr>
            <w:r>
              <w:rPr>
                <w:b/>
                <w:color w:val="FFFFFF"/>
                <w:sz w:val="17"/>
              </w:rPr>
              <w:t>MAE</w:t>
            </w:r>
          </w:p>
        </w:tc>
        <w:tc>
          <w:tcPr>
            <w:tcW w:type="dxa" w:w="1440"/>
            <w:shd w:fill="2A6F9E"/>
            <w:tcMar>
              <w:top w:w="70" w:type="dxa"/>
              <w:start w:w="90" w:type="dxa"/>
              <w:bottom w:w="70" w:type="dxa"/>
              <w:end w:w="90" w:type="dxa"/>
            </w:tcMar>
            <w:vAlign w:val="center"/>
          </w:tcPr>
          <w:p>
            <w:pPr>
              <w:jc w:val="center"/>
            </w:pPr>
            <w:r>
              <w:rPr>
                <w:b/>
                <w:color w:val="FFFFFF"/>
                <w:sz w:val="17"/>
              </w:rPr>
              <w:t>RMSE</w:t>
            </w:r>
          </w:p>
        </w:tc>
        <w:tc>
          <w:tcPr>
            <w:tcW w:type="dxa" w:w="1440"/>
            <w:shd w:fill="2A6F9E"/>
            <w:tcMar>
              <w:top w:w="70" w:type="dxa"/>
              <w:start w:w="90" w:type="dxa"/>
              <w:bottom w:w="70" w:type="dxa"/>
              <w:end w:w="90" w:type="dxa"/>
            </w:tcMar>
            <w:vAlign w:val="center"/>
          </w:tcPr>
          <w:p>
            <w:pPr>
              <w:jc w:val="center"/>
            </w:pPr>
            <w:r>
              <w:rPr>
                <w:b/>
                <w:color w:val="FFFFFF"/>
                <w:sz w:val="17"/>
              </w:rPr>
              <w:t>MAPE</w:t>
            </w:r>
          </w:p>
        </w:tc>
        <w:tc>
          <w:tcPr>
            <w:tcW w:type="dxa" w:w="3240"/>
            <w:shd w:fill="2A6F9E"/>
            <w:tcMar>
              <w:top w:w="70" w:type="dxa"/>
              <w:start w:w="90" w:type="dxa"/>
              <w:bottom w:w="70" w:type="dxa"/>
              <w:end w:w="90" w:type="dxa"/>
            </w:tcMar>
            <w:vAlign w:val="center"/>
          </w:tcPr>
          <w:p>
            <w:pPr>
              <w:jc w:val="center"/>
            </w:pPr>
            <w:r>
              <w:rPr>
                <w:b/>
                <w:color w:val="FFFFFF"/>
                <w:sz w:val="17"/>
              </w:rPr>
              <w:t>Interpretation</w:t>
            </w:r>
          </w:p>
        </w:tc>
      </w:tr>
      <w:tr>
        <w:trPr>
          <w:cantSplit/>
        </w:trPr>
        <w:tc>
          <w:tcPr>
            <w:tcW w:type="dxa" w:w="2304"/>
            <w:tcMar>
              <w:top w:w="70" w:type="dxa"/>
              <w:start w:w="90" w:type="dxa"/>
              <w:bottom w:w="70" w:type="dxa"/>
              <w:end w:w="90" w:type="dxa"/>
            </w:tcMar>
            <w:vAlign w:val="center"/>
          </w:tcPr>
          <w:p>
            <w:pPr>
              <w:spacing w:after="0" w:line="252" w:lineRule="auto"/>
            </w:pPr>
            <w:r>
              <w:rPr>
                <w:rFonts w:ascii="Arial" w:hAnsi="Arial"/>
                <w:sz w:val="16"/>
              </w:rPr>
              <w:t>Seasonal naive</w:t>
            </w:r>
          </w:p>
        </w:tc>
        <w:tc>
          <w:tcPr>
            <w:tcW w:type="dxa" w:w="1440"/>
            <w:tcMar>
              <w:top w:w="70" w:type="dxa"/>
              <w:start w:w="90" w:type="dxa"/>
              <w:bottom w:w="70" w:type="dxa"/>
              <w:end w:w="90" w:type="dxa"/>
            </w:tcMar>
            <w:vAlign w:val="center"/>
          </w:tcPr>
          <w:p>
            <w:pPr>
              <w:spacing w:after="0" w:line="252" w:lineRule="auto"/>
            </w:pPr>
            <w:r>
              <w:rPr>
                <w:rFonts w:ascii="Arial" w:hAnsi="Arial"/>
                <w:sz w:val="16"/>
              </w:rPr>
              <w:t>49,526.90</w:t>
            </w:r>
          </w:p>
        </w:tc>
        <w:tc>
          <w:tcPr>
            <w:tcW w:type="dxa" w:w="1440"/>
            <w:tcMar>
              <w:top w:w="70" w:type="dxa"/>
              <w:start w:w="90" w:type="dxa"/>
              <w:bottom w:w="70" w:type="dxa"/>
              <w:end w:w="90" w:type="dxa"/>
            </w:tcMar>
            <w:vAlign w:val="center"/>
          </w:tcPr>
          <w:p>
            <w:pPr>
              <w:spacing w:after="0" w:line="252" w:lineRule="auto"/>
            </w:pPr>
            <w:r>
              <w:rPr>
                <w:rFonts w:ascii="Arial" w:hAnsi="Arial"/>
                <w:sz w:val="16"/>
              </w:rPr>
              <w:t>64,285.40</w:t>
            </w:r>
          </w:p>
        </w:tc>
        <w:tc>
          <w:tcPr>
            <w:tcW w:type="dxa" w:w="1440"/>
            <w:tcMar>
              <w:top w:w="70" w:type="dxa"/>
              <w:start w:w="90" w:type="dxa"/>
              <w:bottom w:w="70" w:type="dxa"/>
              <w:end w:w="90" w:type="dxa"/>
            </w:tcMar>
            <w:vAlign w:val="center"/>
          </w:tcPr>
          <w:p>
            <w:pPr>
              <w:spacing w:after="0" w:line="252" w:lineRule="auto"/>
            </w:pPr>
            <w:r>
              <w:rPr>
                <w:rFonts w:ascii="Arial" w:hAnsi="Arial"/>
                <w:sz w:val="16"/>
              </w:rPr>
              <w:t>950.70%</w:t>
            </w:r>
          </w:p>
        </w:tc>
        <w:tc>
          <w:tcPr>
            <w:tcW w:type="dxa" w:w="3240"/>
            <w:tcMar>
              <w:top w:w="70" w:type="dxa"/>
              <w:start w:w="90" w:type="dxa"/>
              <w:bottom w:w="70" w:type="dxa"/>
              <w:end w:w="90" w:type="dxa"/>
            </w:tcMar>
            <w:vAlign w:val="center"/>
          </w:tcPr>
          <w:p>
            <w:pPr>
              <w:spacing w:after="0" w:line="252" w:lineRule="auto"/>
            </w:pPr>
            <w:r>
              <w:rPr>
                <w:rFonts w:ascii="Arial" w:hAnsi="Arial"/>
                <w:sz w:val="16"/>
              </w:rPr>
              <w:t>Required benchmark; percentage error unstable</w:t>
            </w:r>
          </w:p>
        </w:tc>
      </w:tr>
      <w:tr>
        <w:trPr>
          <w:cantSplit/>
        </w:trPr>
        <w:tc>
          <w:tcPr>
            <w:tcW w:type="dxa" w:w="2304"/>
            <w:tcMar>
              <w:top w:w="70" w:type="dxa"/>
              <w:start w:w="90" w:type="dxa"/>
              <w:bottom w:w="70" w:type="dxa"/>
              <w:end w:w="90" w:type="dxa"/>
            </w:tcMar>
            <w:vAlign w:val="center"/>
            <w:shd w:fill="EAF3F8"/>
          </w:tcPr>
          <w:p>
            <w:pPr>
              <w:spacing w:after="0" w:line="252" w:lineRule="auto"/>
            </w:pPr>
            <w:r>
              <w:rPr>
                <w:rFonts w:ascii="Arial" w:hAnsi="Arial"/>
                <w:sz w:val="16"/>
              </w:rPr>
              <w:t>GBR + disease</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48,970.90</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64,915.00</w:t>
            </w:r>
          </w:p>
        </w:tc>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1,247.30%</w:t>
            </w:r>
          </w:p>
        </w:tc>
        <w:tc>
          <w:tcPr>
            <w:tcW w:type="dxa" w:w="3240"/>
            <w:tcMar>
              <w:top w:w="70" w:type="dxa"/>
              <w:start w:w="90" w:type="dxa"/>
              <w:bottom w:w="70" w:type="dxa"/>
              <w:end w:w="90" w:type="dxa"/>
            </w:tcMar>
            <w:vAlign w:val="center"/>
            <w:shd w:fill="EAF3F8"/>
          </w:tcPr>
          <w:p>
            <w:pPr>
              <w:spacing w:after="0" w:line="252" w:lineRule="auto"/>
            </w:pPr>
            <w:r>
              <w:rPr>
                <w:rFonts w:ascii="Arial" w:hAnsi="Arial"/>
                <w:sz w:val="16"/>
              </w:rPr>
              <w:t>MAE slightly lower; RMSE and MAPE worse</w:t>
            </w:r>
          </w:p>
        </w:tc>
      </w:tr>
      <w:tr>
        <w:trPr>
          <w:cantSplit/>
        </w:trPr>
        <w:tc>
          <w:tcPr>
            <w:tcW w:type="dxa" w:w="2304"/>
            <w:tcMar>
              <w:top w:w="70" w:type="dxa"/>
              <w:start w:w="90" w:type="dxa"/>
              <w:bottom w:w="70" w:type="dxa"/>
              <w:end w:w="90" w:type="dxa"/>
            </w:tcMar>
            <w:vAlign w:val="center"/>
          </w:tcPr>
          <w:p>
            <w:pPr>
              <w:spacing w:after="0" w:line="252" w:lineRule="auto"/>
            </w:pPr>
            <w:r>
              <w:rPr>
                <w:rFonts w:ascii="Arial" w:hAnsi="Arial"/>
                <w:sz w:val="16"/>
              </w:rPr>
              <w:t>GBR + weather + disease</w:t>
            </w:r>
          </w:p>
        </w:tc>
        <w:tc>
          <w:tcPr>
            <w:tcW w:type="dxa" w:w="1440"/>
            <w:tcMar>
              <w:top w:w="70" w:type="dxa"/>
              <w:start w:w="90" w:type="dxa"/>
              <w:bottom w:w="70" w:type="dxa"/>
              <w:end w:w="90" w:type="dxa"/>
            </w:tcMar>
            <w:vAlign w:val="center"/>
          </w:tcPr>
          <w:p>
            <w:pPr>
              <w:spacing w:after="0" w:line="252" w:lineRule="auto"/>
            </w:pPr>
            <w:r>
              <w:rPr>
                <w:rFonts w:ascii="Arial" w:hAnsi="Arial"/>
                <w:sz w:val="16"/>
              </w:rPr>
              <w:t>47,804.40</w:t>
            </w:r>
          </w:p>
        </w:tc>
        <w:tc>
          <w:tcPr>
            <w:tcW w:type="dxa" w:w="1440"/>
            <w:tcMar>
              <w:top w:w="70" w:type="dxa"/>
              <w:start w:w="90" w:type="dxa"/>
              <w:bottom w:w="70" w:type="dxa"/>
              <w:end w:w="90" w:type="dxa"/>
            </w:tcMar>
            <w:vAlign w:val="center"/>
          </w:tcPr>
          <w:p>
            <w:pPr>
              <w:spacing w:after="0" w:line="252" w:lineRule="auto"/>
            </w:pPr>
            <w:r>
              <w:rPr>
                <w:rFonts w:ascii="Arial" w:hAnsi="Arial"/>
                <w:sz w:val="16"/>
              </w:rPr>
              <w:t>64,873.40</w:t>
            </w:r>
          </w:p>
        </w:tc>
        <w:tc>
          <w:tcPr>
            <w:tcW w:type="dxa" w:w="1440"/>
            <w:tcMar>
              <w:top w:w="70" w:type="dxa"/>
              <w:start w:w="90" w:type="dxa"/>
              <w:bottom w:w="70" w:type="dxa"/>
              <w:end w:w="90" w:type="dxa"/>
            </w:tcMar>
            <w:vAlign w:val="center"/>
          </w:tcPr>
          <w:p>
            <w:pPr>
              <w:spacing w:after="0" w:line="252" w:lineRule="auto"/>
            </w:pPr>
            <w:r>
              <w:rPr>
                <w:rFonts w:ascii="Arial" w:hAnsi="Arial"/>
                <w:sz w:val="16"/>
              </w:rPr>
              <w:t>1,331.35%</w:t>
            </w:r>
          </w:p>
        </w:tc>
        <w:tc>
          <w:tcPr>
            <w:tcW w:type="dxa" w:w="3240"/>
            <w:tcMar>
              <w:top w:w="70" w:type="dxa"/>
              <w:start w:w="90" w:type="dxa"/>
              <w:bottom w:w="70" w:type="dxa"/>
              <w:end w:w="90" w:type="dxa"/>
            </w:tcMar>
            <w:vAlign w:val="center"/>
          </w:tcPr>
          <w:p>
            <w:pPr>
              <w:spacing w:after="0" w:line="252" w:lineRule="auto"/>
            </w:pPr>
            <w:r>
              <w:rPr>
                <w:rFonts w:ascii="Arial" w:hAnsi="Arial"/>
                <w:sz w:val="16"/>
              </w:rPr>
              <w:t>Lowest MAE only; not a consistent win</w:t>
            </w:r>
          </w:p>
        </w:tc>
      </w:tr>
    </w:tbl>
    <w:p>
      <w:pPr>
        <w:keepNext w:val="0"/>
        <w:widowControl/>
        <w:spacing w:after="140"/>
      </w:pPr>
      <w:r>
        <w:rPr>
          <w:rFonts w:ascii="Arial" w:hAnsi="Arial"/>
          <w:i/>
          <w:color w:val="64748B"/>
          <w:sz w:val="16"/>
        </w:rPr>
        <w:t>Source note: `phase4_disease_model_results.json` and `phase5_weather_model_results.json`. Models are aggregate historical challengers and do not complete the product-region champion–challenger objective.</w:t>
      </w:r>
    </w:p>
    <w:p>
      <w:pPr>
        <w:widowControl/>
      </w:pPr>
      <w:r>
        <w:rPr>
          <w:rFonts w:ascii="Arial" w:hAnsi="Arial"/>
          <w:i w:val="0"/>
        </w:rPr>
        <w:t>The retraining design specified that a challenger would replace the incumbent only when it completed training, produced all required holdout predictions, and satisfied the approved comparison thresholds. If the incumbent failed to train, became ineligible because of missing history, or failed a publication gate, the DSS would substitute the best validated fallback from the same evaluation run. If no candidate qualified, the system would display Insufficient history or No publishable model instead of fabricating a forecast. The design also required the selected model, version, training cutoff, metrics, substitution reason, and approval status to be recorded. The repository demonstrated candidate evaluation and interface-level baseline fallback; however, fully automated retraining, model-registry promotion, and production substitution remained incomplete.</w:t>
      </w:r>
    </w:p>
    <w:p>
      <w:pPr>
        <w:widowControl/>
      </w:pPr>
      <w:r>
        <w:rPr>
          <w:rFonts w:ascii="Arial" w:hAnsi="Arial"/>
          <w:i w:val="0"/>
        </w:rPr>
        <w:t>A separate aggregate forecast artifact for 2026 provided 12 monthly values with wide 95% intervals. January had the highest point estimate at 62,220.37 units. Several later months were near 8,284 units, while all lower bounds were zero and the upper bounds exceeded 100,000 units. The uncertainty was too broad for direct procurement use, and the artifact lacked a product-region identifier. It was therefore presented as model evidence rather than as proof of completion of the territory-level demand objective. These forecast values were kept separate from the unavailable 2026 YTD historical actuals and were not used to fill the historical series.</w:t>
      </w:r>
    </w:p>
    <w:p>
      <w:pPr>
        <w:keepNext/>
        <w:widowControl/>
        <w:jc w:val="center"/>
      </w:pPr>
      <w:r>
        <w:rPr>
          <w:rFonts w:ascii="Arial" w:hAnsi="Arial"/>
        </w:rPr>
        <w:drawing>
          <wp:inline xmlns:a="http://schemas.openxmlformats.org/drawingml/2006/main" xmlns:pic="http://schemas.openxmlformats.org/drawingml/2006/picture">
            <wp:extent cx="6217920" cy="2710967"/>
            <wp:docPr id="7" name="Picture 7"/>
            <wp:cNvGraphicFramePr>
              <a:graphicFrameLocks noChangeAspect="1"/>
            </wp:cNvGraphicFramePr>
            <a:graphic>
              <a:graphicData uri="http://schemas.openxmlformats.org/drawingml/2006/picture">
                <pic:pic>
                  <pic:nvPicPr>
                    <pic:cNvPr id="0" name="forecast_2026.png"/>
                    <pic:cNvPicPr/>
                  </pic:nvPicPr>
                  <pic:blipFill>
                    <a:blip r:embed="rId19"/>
                    <a:stretch>
                      <a:fillRect/>
                    </a:stretch>
                  </pic:blipFill>
                  <pic:spPr>
                    <a:xfrm>
                      <a:off x="0" y="0"/>
                      <a:ext cx="6217920" cy="2710967"/>
                    </a:xfrm>
                    <a:prstGeom prst="rect"/>
                  </pic:spPr>
                </pic:pic>
              </a:graphicData>
            </a:graphic>
          </wp:inline>
        </w:drawing>
      </w:r>
    </w:p>
    <w:p>
      <w:pPr>
        <w:keepNext/>
        <w:widowControl/>
        <w:jc w:val="center"/>
      </w:pPr>
      <w:r>
        <w:rPr>
          <w:rFonts w:ascii="Arial" w:hAnsi="Arial"/>
          <w:b/>
          <w:i/>
          <w:sz w:val="19"/>
        </w:rPr>
        <w:t>Figure 4.5 Aggregate 2026 Forecast Artifact and 95% Interval</w:t>
      </w:r>
    </w:p>
    <w:p>
      <w:pPr>
        <w:keepNext w:val="0"/>
        <w:widowControl/>
        <w:spacing w:after="140"/>
      </w:pPr>
      <w:r>
        <w:rPr>
          <w:rFonts w:ascii="Arial" w:hAnsi="Arial"/>
          <w:i/>
          <w:color w:val="64748B"/>
          <w:sz w:val="16"/>
        </w:rPr>
        <w:t>Source note: `fact_demand_forecast_2026.csv`. This artifact is not treated as a product-region forecast and is not proof of SO3 completion.</w:t>
      </w:r>
    </w:p>
    <w:p>
      <w:pPr>
        <w:pStyle w:val="Heading2"/>
        <w:widowControl/>
      </w:pPr>
      <w:r>
        <w:rPr>
          <w:rFonts w:ascii="Arial" w:hAnsi="Arial"/>
        </w:rPr>
        <w:t>4.2.5 Prescriptive Scenario Results</w:t>
      </w:r>
    </w:p>
    <w:p>
      <w:pPr>
        <w:widowControl/>
      </w:pPr>
      <w:r>
        <w:rPr>
          <w:rFonts w:ascii="Arial" w:hAnsi="Arial"/>
          <w:i w:val="0"/>
        </w:rPr>
        <w:t>The prescriptive layer was evaluated as a scenario-based DSS rather than as an automated purchasing system. It combined EOQ, safety-stock, and reorder-point formula demonstrations with an authenticated mixed-integer linear programming allocation workflow and interactive MCDA sensitivity controls. The user selected a planning horizon and entered scenario demand, usable stock, protected stock, units per pack, pack cost, supplier limits, budget, and minimum fulfillment. Whenever an input changed, the previous solution was invalidated and the allocation had to be solved again under the revised assumptions.</w:t>
      </w:r>
    </w:p>
    <w:p>
      <w:pPr>
        <w:widowControl/>
      </w:pPr>
      <w:r>
        <w:rPr>
          <w:rFonts w:ascii="Arial" w:hAnsi="Arial"/>
          <w:i w:val="0"/>
        </w:rPr>
        <w:t>The repository EOQ demonstration used delivered sales from 2022–2024 and explicit cost assumptions. Base annualized demand was 147,488 units, and base revenue was ₱32.86 million. The assumptions included a ₱500 ordering cost, a 15% holding-cost rate, a 14-day lead time, a 95% service level, and 25% demand variability. These values were not presented as MedShield's audited procurement parameters; instead, they demonstrated how the scenario engine responded when planning inputs were supplied.</w:t>
      </w:r>
    </w:p>
    <w:p>
      <w:pPr>
        <w:keepNext/>
        <w:widowControl/>
        <w:jc w:val="center"/>
      </w:pPr>
      <w:r>
        <w:rPr>
          <w:rFonts w:ascii="Arial" w:hAnsi="Arial"/>
          <w:b/>
          <w:i/>
          <w:sz w:val="19"/>
        </w:rPr>
        <w:t>Table 4.8 Selected EOQ/ROP formula demonstrations</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1987"/>
        <w:gridCol w:w="1987"/>
        <w:gridCol w:w="1987"/>
        <w:gridCol w:w="1987"/>
        <w:gridCol w:w="1987"/>
      </w:tblGrid>
      <w:tr>
        <w:trPr>
          <w:tblHeader w:val="true"/>
        </w:trPr>
        <w:tc>
          <w:tcPr>
            <w:tcW w:type="dxa" w:w="3744"/>
            <w:shd w:fill="2A6F9E"/>
            <w:tcMar>
              <w:top w:w="70" w:type="dxa"/>
              <w:start w:w="90" w:type="dxa"/>
              <w:bottom w:w="70" w:type="dxa"/>
              <w:end w:w="90" w:type="dxa"/>
            </w:tcMar>
            <w:vAlign w:val="center"/>
          </w:tcPr>
          <w:p>
            <w:pPr>
              <w:jc w:val="center"/>
            </w:pPr>
            <w:r>
              <w:rPr>
                <w:b/>
                <w:color w:val="FFFFFF"/>
                <w:sz w:val="17"/>
              </w:rPr>
              <w:t>Scenario SKU</w:t>
            </w:r>
          </w:p>
        </w:tc>
        <w:tc>
          <w:tcPr>
            <w:tcW w:type="dxa" w:w="1512"/>
            <w:shd w:fill="2A6F9E"/>
            <w:tcMar>
              <w:top w:w="70" w:type="dxa"/>
              <w:start w:w="90" w:type="dxa"/>
              <w:bottom w:w="70" w:type="dxa"/>
              <w:end w:w="90" w:type="dxa"/>
            </w:tcMar>
            <w:vAlign w:val="center"/>
          </w:tcPr>
          <w:p>
            <w:pPr>
              <w:jc w:val="center"/>
            </w:pPr>
            <w:r>
              <w:rPr>
                <w:b/>
                <w:color w:val="FFFFFF"/>
                <w:sz w:val="17"/>
              </w:rPr>
              <w:t>Annual demand</w:t>
            </w:r>
          </w:p>
        </w:tc>
        <w:tc>
          <w:tcPr>
            <w:tcW w:type="dxa" w:w="1080"/>
            <w:shd w:fill="2A6F9E"/>
            <w:tcMar>
              <w:top w:w="70" w:type="dxa"/>
              <w:start w:w="90" w:type="dxa"/>
              <w:bottom w:w="70" w:type="dxa"/>
              <w:end w:w="90" w:type="dxa"/>
            </w:tcMar>
            <w:vAlign w:val="center"/>
          </w:tcPr>
          <w:p>
            <w:pPr>
              <w:jc w:val="center"/>
            </w:pPr>
            <w:r>
              <w:rPr>
                <w:b/>
                <w:color w:val="FFFFFF"/>
                <w:sz w:val="17"/>
              </w:rPr>
              <w:t>EOQ</w:t>
            </w:r>
          </w:p>
        </w:tc>
        <w:tc>
          <w:tcPr>
            <w:tcW w:type="dxa" w:w="1296"/>
            <w:shd w:fill="2A6F9E"/>
            <w:tcMar>
              <w:top w:w="70" w:type="dxa"/>
              <w:start w:w="90" w:type="dxa"/>
              <w:bottom w:w="70" w:type="dxa"/>
              <w:end w:w="90" w:type="dxa"/>
            </w:tcMar>
            <w:vAlign w:val="center"/>
          </w:tcPr>
          <w:p>
            <w:pPr>
              <w:jc w:val="center"/>
            </w:pPr>
            <w:r>
              <w:rPr>
                <w:b/>
                <w:color w:val="FFFFFF"/>
                <w:sz w:val="17"/>
              </w:rPr>
              <w:t>Safety stock</w:t>
            </w:r>
          </w:p>
        </w:tc>
        <w:tc>
          <w:tcPr>
            <w:tcW w:type="dxa" w:w="1080"/>
            <w:shd w:fill="2A6F9E"/>
            <w:tcMar>
              <w:top w:w="70" w:type="dxa"/>
              <w:start w:w="90" w:type="dxa"/>
              <w:bottom w:w="70" w:type="dxa"/>
              <w:end w:w="90" w:type="dxa"/>
            </w:tcMar>
            <w:vAlign w:val="center"/>
          </w:tcPr>
          <w:p>
            <w:pPr>
              <w:jc w:val="center"/>
            </w:pPr>
            <w:r>
              <w:rPr>
                <w:b/>
                <w:color w:val="FFFFFF"/>
                <w:sz w:val="17"/>
              </w:rPr>
              <w:t>ROP</w:t>
            </w:r>
          </w:p>
        </w:tc>
      </w:tr>
      <w:tr>
        <w:trPr>
          <w:cantSplit/>
        </w:trPr>
        <w:tc>
          <w:tcPr>
            <w:tcW w:type="dxa" w:w="3744"/>
            <w:tcMar>
              <w:top w:w="70" w:type="dxa"/>
              <w:start w:w="90" w:type="dxa"/>
              <w:bottom w:w="70" w:type="dxa"/>
              <w:end w:w="90" w:type="dxa"/>
            </w:tcMar>
            <w:vAlign w:val="center"/>
          </w:tcPr>
          <w:p>
            <w:pPr>
              <w:spacing w:after="0" w:line="252" w:lineRule="auto"/>
            </w:pPr>
            <w:r>
              <w:rPr>
                <w:rFonts w:ascii="Arial" w:hAnsi="Arial"/>
                <w:sz w:val="16"/>
              </w:rPr>
              <w:t>Paracetamol 500mg Tablet</w:t>
            </w:r>
          </w:p>
        </w:tc>
        <w:tc>
          <w:tcPr>
            <w:tcW w:type="dxa" w:w="1512"/>
            <w:tcMar>
              <w:top w:w="70" w:type="dxa"/>
              <w:start w:w="90" w:type="dxa"/>
              <w:bottom w:w="70" w:type="dxa"/>
              <w:end w:w="90" w:type="dxa"/>
            </w:tcMar>
            <w:vAlign w:val="center"/>
          </w:tcPr>
          <w:p>
            <w:pPr>
              <w:spacing w:after="0" w:line="252" w:lineRule="auto"/>
            </w:pPr>
            <w:r>
              <w:rPr>
                <w:rFonts w:ascii="Arial" w:hAnsi="Arial"/>
                <w:sz w:val="16"/>
              </w:rPr>
              <w:t>32,447</w:t>
            </w:r>
          </w:p>
        </w:tc>
        <w:tc>
          <w:tcPr>
            <w:tcW w:type="dxa" w:w="1080"/>
            <w:tcMar>
              <w:top w:w="70" w:type="dxa"/>
              <w:start w:w="90" w:type="dxa"/>
              <w:bottom w:w="70" w:type="dxa"/>
              <w:end w:w="90" w:type="dxa"/>
            </w:tcMar>
            <w:vAlign w:val="center"/>
          </w:tcPr>
          <w:p>
            <w:pPr>
              <w:spacing w:after="0" w:line="252" w:lineRule="auto"/>
            </w:pPr>
            <w:r>
              <w:rPr>
                <w:rFonts w:ascii="Arial" w:hAnsi="Arial"/>
                <w:sz w:val="16"/>
              </w:rPr>
              <w:t>5,045</w:t>
            </w:r>
          </w:p>
        </w:tc>
        <w:tc>
          <w:tcPr>
            <w:tcW w:type="dxa" w:w="1296"/>
            <w:tcMar>
              <w:top w:w="70" w:type="dxa"/>
              <w:start w:w="90" w:type="dxa"/>
              <w:bottom w:w="70" w:type="dxa"/>
              <w:end w:w="90" w:type="dxa"/>
            </w:tcMar>
            <w:vAlign w:val="center"/>
          </w:tcPr>
          <w:p>
            <w:pPr>
              <w:spacing w:after="0" w:line="252" w:lineRule="auto"/>
            </w:pPr>
            <w:r>
              <w:rPr>
                <w:rFonts w:ascii="Arial" w:hAnsi="Arial"/>
                <w:sz w:val="16"/>
              </w:rPr>
              <w:t>137</w:t>
            </w:r>
          </w:p>
        </w:tc>
        <w:tc>
          <w:tcPr>
            <w:tcW w:type="dxa" w:w="1080"/>
            <w:tcMar>
              <w:top w:w="70" w:type="dxa"/>
              <w:start w:w="90" w:type="dxa"/>
              <w:bottom w:w="70" w:type="dxa"/>
              <w:end w:w="90" w:type="dxa"/>
            </w:tcMar>
            <w:vAlign w:val="center"/>
          </w:tcPr>
          <w:p>
            <w:pPr>
              <w:spacing w:after="0" w:line="252" w:lineRule="auto"/>
            </w:pPr>
            <w:r>
              <w:rPr>
                <w:rFonts w:ascii="Arial" w:hAnsi="Arial"/>
                <w:sz w:val="16"/>
              </w:rPr>
              <w:t>1,382</w:t>
            </w:r>
          </w:p>
        </w:tc>
      </w:tr>
      <w:tr>
        <w:trPr>
          <w:cantSplit/>
        </w:trPr>
        <w:tc>
          <w:tcPr>
            <w:tcW w:type="dxa" w:w="3744"/>
            <w:tcMar>
              <w:top w:w="70" w:type="dxa"/>
              <w:start w:w="90" w:type="dxa"/>
              <w:bottom w:w="70" w:type="dxa"/>
              <w:end w:w="90" w:type="dxa"/>
            </w:tcMar>
            <w:vAlign w:val="center"/>
            <w:shd w:fill="EAF3F8"/>
          </w:tcPr>
          <w:p>
            <w:pPr>
              <w:spacing w:after="0" w:line="252" w:lineRule="auto"/>
            </w:pPr>
            <w:r>
              <w:rPr>
                <w:rFonts w:ascii="Arial" w:hAnsi="Arial"/>
                <w:sz w:val="16"/>
              </w:rPr>
              <w:t>Salbutamol 2.5mg Nebule</w:t>
            </w:r>
          </w:p>
        </w:tc>
        <w:tc>
          <w:tcPr>
            <w:tcW w:type="dxa" w:w="1512"/>
            <w:tcMar>
              <w:top w:w="70" w:type="dxa"/>
              <w:start w:w="90" w:type="dxa"/>
              <w:bottom w:w="70" w:type="dxa"/>
              <w:end w:w="90" w:type="dxa"/>
            </w:tcMar>
            <w:vAlign w:val="center"/>
            <w:shd w:fill="EAF3F8"/>
          </w:tcPr>
          <w:p>
            <w:pPr>
              <w:spacing w:after="0" w:line="252" w:lineRule="auto"/>
            </w:pPr>
            <w:r>
              <w:rPr>
                <w:rFonts w:ascii="Arial" w:hAnsi="Arial"/>
                <w:sz w:val="16"/>
              </w:rPr>
              <w:t>22,123</w:t>
            </w:r>
          </w:p>
        </w:tc>
        <w:tc>
          <w:tcPr>
            <w:tcW w:type="dxa" w:w="1080"/>
            <w:tcMar>
              <w:top w:w="70" w:type="dxa"/>
              <w:start w:w="90" w:type="dxa"/>
              <w:bottom w:w="70" w:type="dxa"/>
              <w:end w:w="90" w:type="dxa"/>
            </w:tcMar>
            <w:vAlign w:val="center"/>
            <w:shd w:fill="EAF3F8"/>
          </w:tcPr>
          <w:p>
            <w:pPr>
              <w:spacing w:after="0" w:line="252" w:lineRule="auto"/>
            </w:pPr>
            <w:r>
              <w:rPr>
                <w:rFonts w:ascii="Arial" w:hAnsi="Arial"/>
                <w:sz w:val="16"/>
              </w:rPr>
              <w:t>1,810</w:t>
            </w:r>
          </w:p>
        </w:tc>
        <w:tc>
          <w:tcPr>
            <w:tcW w:type="dxa" w:w="1296"/>
            <w:tcMar>
              <w:top w:w="70" w:type="dxa"/>
              <w:start w:w="90" w:type="dxa"/>
              <w:bottom w:w="70" w:type="dxa"/>
              <w:end w:w="90" w:type="dxa"/>
            </w:tcMar>
            <w:vAlign w:val="center"/>
            <w:shd w:fill="EAF3F8"/>
          </w:tcPr>
          <w:p>
            <w:pPr>
              <w:spacing w:after="0" w:line="252" w:lineRule="auto"/>
            </w:pPr>
            <w:r>
              <w:rPr>
                <w:rFonts w:ascii="Arial" w:hAnsi="Arial"/>
                <w:sz w:val="16"/>
              </w:rPr>
              <w:t>94</w:t>
            </w:r>
          </w:p>
        </w:tc>
        <w:tc>
          <w:tcPr>
            <w:tcW w:type="dxa" w:w="1080"/>
            <w:tcMar>
              <w:top w:w="70" w:type="dxa"/>
              <w:start w:w="90" w:type="dxa"/>
              <w:bottom w:w="70" w:type="dxa"/>
              <w:end w:w="90" w:type="dxa"/>
            </w:tcMar>
            <w:vAlign w:val="center"/>
            <w:shd w:fill="EAF3F8"/>
          </w:tcPr>
          <w:p>
            <w:pPr>
              <w:spacing w:after="0" w:line="252" w:lineRule="auto"/>
            </w:pPr>
            <w:r>
              <w:rPr>
                <w:rFonts w:ascii="Arial" w:hAnsi="Arial"/>
                <w:sz w:val="16"/>
              </w:rPr>
              <w:t>943</w:t>
            </w:r>
          </w:p>
        </w:tc>
      </w:tr>
      <w:tr>
        <w:trPr>
          <w:cantSplit/>
        </w:trPr>
        <w:tc>
          <w:tcPr>
            <w:tcW w:type="dxa" w:w="3744"/>
            <w:tcMar>
              <w:top w:w="70" w:type="dxa"/>
              <w:start w:w="90" w:type="dxa"/>
              <w:bottom w:w="70" w:type="dxa"/>
              <w:end w:w="90" w:type="dxa"/>
            </w:tcMar>
            <w:vAlign w:val="center"/>
          </w:tcPr>
          <w:p>
            <w:pPr>
              <w:spacing w:after="0" w:line="252" w:lineRule="auto"/>
            </w:pPr>
            <w:r>
              <w:rPr>
                <w:rFonts w:ascii="Arial" w:hAnsi="Arial"/>
                <w:sz w:val="16"/>
              </w:rPr>
              <w:t>Doxycycline 100mg Capsule</w:t>
            </w:r>
          </w:p>
        </w:tc>
        <w:tc>
          <w:tcPr>
            <w:tcW w:type="dxa" w:w="1512"/>
            <w:tcMar>
              <w:top w:w="70" w:type="dxa"/>
              <w:start w:w="90" w:type="dxa"/>
              <w:bottom w:w="70" w:type="dxa"/>
              <w:end w:w="90" w:type="dxa"/>
            </w:tcMar>
            <w:vAlign w:val="center"/>
          </w:tcPr>
          <w:p>
            <w:pPr>
              <w:spacing w:after="0" w:line="252" w:lineRule="auto"/>
            </w:pPr>
            <w:r>
              <w:rPr>
                <w:rFonts w:ascii="Arial" w:hAnsi="Arial"/>
                <w:sz w:val="16"/>
              </w:rPr>
              <w:t>11,799</w:t>
            </w:r>
          </w:p>
        </w:tc>
        <w:tc>
          <w:tcPr>
            <w:tcW w:type="dxa" w:w="1080"/>
            <w:tcMar>
              <w:top w:w="70" w:type="dxa"/>
              <w:start w:w="90" w:type="dxa"/>
              <w:bottom w:w="70" w:type="dxa"/>
              <w:end w:w="90" w:type="dxa"/>
            </w:tcMar>
            <w:vAlign w:val="center"/>
          </w:tcPr>
          <w:p>
            <w:pPr>
              <w:spacing w:after="0" w:line="252" w:lineRule="auto"/>
            </w:pPr>
            <w:r>
              <w:rPr>
                <w:rFonts w:ascii="Arial" w:hAnsi="Arial"/>
                <w:sz w:val="16"/>
              </w:rPr>
              <w:t>2,560</w:t>
            </w:r>
          </w:p>
        </w:tc>
        <w:tc>
          <w:tcPr>
            <w:tcW w:type="dxa" w:w="1296"/>
            <w:tcMar>
              <w:top w:w="70" w:type="dxa"/>
              <w:start w:w="90" w:type="dxa"/>
              <w:bottom w:w="70" w:type="dxa"/>
              <w:end w:w="90" w:type="dxa"/>
            </w:tcMar>
            <w:vAlign w:val="center"/>
          </w:tcPr>
          <w:p>
            <w:pPr>
              <w:spacing w:after="0" w:line="252" w:lineRule="auto"/>
            </w:pPr>
            <w:r>
              <w:rPr>
                <w:rFonts w:ascii="Arial" w:hAnsi="Arial"/>
                <w:sz w:val="16"/>
              </w:rPr>
              <w:t>50</w:t>
            </w:r>
          </w:p>
        </w:tc>
        <w:tc>
          <w:tcPr>
            <w:tcW w:type="dxa" w:w="1080"/>
            <w:tcMar>
              <w:top w:w="70" w:type="dxa"/>
              <w:start w:w="90" w:type="dxa"/>
              <w:bottom w:w="70" w:type="dxa"/>
              <w:end w:w="90" w:type="dxa"/>
            </w:tcMar>
            <w:vAlign w:val="center"/>
          </w:tcPr>
          <w:p>
            <w:pPr>
              <w:spacing w:after="0" w:line="252" w:lineRule="auto"/>
            </w:pPr>
            <w:r>
              <w:rPr>
                <w:rFonts w:ascii="Arial" w:hAnsi="Arial"/>
                <w:sz w:val="16"/>
              </w:rPr>
              <w:t>503</w:t>
            </w:r>
          </w:p>
        </w:tc>
      </w:tr>
      <w:tr>
        <w:trPr>
          <w:cantSplit/>
        </w:trPr>
        <w:tc>
          <w:tcPr>
            <w:tcW w:type="dxa" w:w="3744"/>
            <w:tcMar>
              <w:top w:w="70" w:type="dxa"/>
              <w:start w:w="90" w:type="dxa"/>
              <w:bottom w:w="70" w:type="dxa"/>
              <w:end w:w="90" w:type="dxa"/>
            </w:tcMar>
            <w:vAlign w:val="center"/>
            <w:shd w:fill="EAF3F8"/>
          </w:tcPr>
          <w:p>
            <w:pPr>
              <w:spacing w:after="0" w:line="252" w:lineRule="auto"/>
            </w:pPr>
            <w:r>
              <w:rPr>
                <w:rFonts w:ascii="Arial" w:hAnsi="Arial"/>
                <w:sz w:val="16"/>
              </w:rPr>
              <w:t>Co-Amoxiclav 625mg Tablet</w:t>
            </w:r>
          </w:p>
        </w:tc>
        <w:tc>
          <w:tcPr>
            <w:tcW w:type="dxa" w:w="1512"/>
            <w:tcMar>
              <w:top w:w="70" w:type="dxa"/>
              <w:start w:w="90" w:type="dxa"/>
              <w:bottom w:w="70" w:type="dxa"/>
              <w:end w:w="90" w:type="dxa"/>
            </w:tcMar>
            <w:vAlign w:val="center"/>
            <w:shd w:fill="EAF3F8"/>
          </w:tcPr>
          <w:p>
            <w:pPr>
              <w:spacing w:after="0" w:line="252" w:lineRule="auto"/>
            </w:pPr>
            <w:r>
              <w:rPr>
                <w:rFonts w:ascii="Arial" w:hAnsi="Arial"/>
                <w:sz w:val="16"/>
              </w:rPr>
              <w:t>17,699</w:t>
            </w:r>
          </w:p>
        </w:tc>
        <w:tc>
          <w:tcPr>
            <w:tcW w:type="dxa" w:w="1080"/>
            <w:tcMar>
              <w:top w:w="70" w:type="dxa"/>
              <w:start w:w="90" w:type="dxa"/>
              <w:bottom w:w="70" w:type="dxa"/>
              <w:end w:w="90" w:type="dxa"/>
            </w:tcMar>
            <w:vAlign w:val="center"/>
            <w:shd w:fill="EAF3F8"/>
          </w:tcPr>
          <w:p>
            <w:pPr>
              <w:spacing w:after="0" w:line="252" w:lineRule="auto"/>
            </w:pPr>
            <w:r>
              <w:rPr>
                <w:rFonts w:ascii="Arial" w:hAnsi="Arial"/>
                <w:sz w:val="16"/>
              </w:rPr>
              <w:t>1,465</w:t>
            </w:r>
          </w:p>
        </w:tc>
        <w:tc>
          <w:tcPr>
            <w:tcW w:type="dxa" w:w="1296"/>
            <w:tcMar>
              <w:top w:w="70" w:type="dxa"/>
              <w:start w:w="90" w:type="dxa"/>
              <w:bottom w:w="70" w:type="dxa"/>
              <w:end w:w="90" w:type="dxa"/>
            </w:tcMar>
            <w:vAlign w:val="center"/>
            <w:shd w:fill="EAF3F8"/>
          </w:tcPr>
          <w:p>
            <w:pPr>
              <w:spacing w:after="0" w:line="252" w:lineRule="auto"/>
            </w:pPr>
            <w:r>
              <w:rPr>
                <w:rFonts w:ascii="Arial" w:hAnsi="Arial"/>
                <w:sz w:val="16"/>
              </w:rPr>
              <w:t>75</w:t>
            </w:r>
          </w:p>
        </w:tc>
        <w:tc>
          <w:tcPr>
            <w:tcW w:type="dxa" w:w="1080"/>
            <w:tcMar>
              <w:top w:w="70" w:type="dxa"/>
              <w:start w:w="90" w:type="dxa"/>
              <w:bottom w:w="70" w:type="dxa"/>
              <w:end w:w="90" w:type="dxa"/>
            </w:tcMar>
            <w:vAlign w:val="center"/>
            <w:shd w:fill="EAF3F8"/>
          </w:tcPr>
          <w:p>
            <w:pPr>
              <w:spacing w:after="0" w:line="252" w:lineRule="auto"/>
            </w:pPr>
            <w:r>
              <w:rPr>
                <w:rFonts w:ascii="Arial" w:hAnsi="Arial"/>
                <w:sz w:val="16"/>
              </w:rPr>
              <w:t>754</w:t>
            </w:r>
          </w:p>
        </w:tc>
      </w:tr>
      <w:tr>
        <w:trPr>
          <w:cantSplit/>
        </w:trPr>
        <w:tc>
          <w:tcPr>
            <w:tcW w:type="dxa" w:w="3744"/>
            <w:tcMar>
              <w:top w:w="70" w:type="dxa"/>
              <w:start w:w="90" w:type="dxa"/>
              <w:bottom w:w="70" w:type="dxa"/>
              <w:end w:w="90" w:type="dxa"/>
            </w:tcMar>
            <w:vAlign w:val="center"/>
          </w:tcPr>
          <w:p>
            <w:pPr>
              <w:spacing w:after="0" w:line="252" w:lineRule="auto"/>
            </w:pPr>
            <w:r>
              <w:rPr>
                <w:rFonts w:ascii="Arial" w:hAnsi="Arial"/>
                <w:sz w:val="16"/>
              </w:rPr>
              <w:t>Oral Rehydration Salts (ORS)</w:t>
            </w:r>
          </w:p>
        </w:tc>
        <w:tc>
          <w:tcPr>
            <w:tcW w:type="dxa" w:w="1512"/>
            <w:tcMar>
              <w:top w:w="70" w:type="dxa"/>
              <w:start w:w="90" w:type="dxa"/>
              <w:bottom w:w="70" w:type="dxa"/>
              <w:end w:w="90" w:type="dxa"/>
            </w:tcMar>
            <w:vAlign w:val="center"/>
          </w:tcPr>
          <w:p>
            <w:pPr>
              <w:spacing w:after="0" w:line="252" w:lineRule="auto"/>
            </w:pPr>
            <w:r>
              <w:rPr>
                <w:rFonts w:ascii="Arial" w:hAnsi="Arial"/>
                <w:sz w:val="16"/>
              </w:rPr>
              <w:t>14,749</w:t>
            </w:r>
          </w:p>
        </w:tc>
        <w:tc>
          <w:tcPr>
            <w:tcW w:type="dxa" w:w="1080"/>
            <w:tcMar>
              <w:top w:w="70" w:type="dxa"/>
              <w:start w:w="90" w:type="dxa"/>
              <w:bottom w:w="70" w:type="dxa"/>
              <w:end w:w="90" w:type="dxa"/>
            </w:tcMar>
            <w:vAlign w:val="center"/>
          </w:tcPr>
          <w:p>
            <w:pPr>
              <w:spacing w:after="0" w:line="252" w:lineRule="auto"/>
            </w:pPr>
            <w:r>
              <w:rPr>
                <w:rFonts w:ascii="Arial" w:hAnsi="Arial"/>
                <w:sz w:val="16"/>
              </w:rPr>
              <w:t>4,228</w:t>
            </w:r>
          </w:p>
        </w:tc>
        <w:tc>
          <w:tcPr>
            <w:tcW w:type="dxa" w:w="1296"/>
            <w:tcMar>
              <w:top w:w="70" w:type="dxa"/>
              <w:start w:w="90" w:type="dxa"/>
              <w:bottom w:w="70" w:type="dxa"/>
              <w:end w:w="90" w:type="dxa"/>
            </w:tcMar>
            <w:vAlign w:val="center"/>
          </w:tcPr>
          <w:p>
            <w:pPr>
              <w:spacing w:after="0" w:line="252" w:lineRule="auto"/>
            </w:pPr>
            <w:r>
              <w:rPr>
                <w:rFonts w:ascii="Arial" w:hAnsi="Arial"/>
                <w:sz w:val="16"/>
              </w:rPr>
              <w:t>62</w:t>
            </w:r>
          </w:p>
        </w:tc>
        <w:tc>
          <w:tcPr>
            <w:tcW w:type="dxa" w:w="1080"/>
            <w:tcMar>
              <w:top w:w="70" w:type="dxa"/>
              <w:start w:w="90" w:type="dxa"/>
              <w:bottom w:w="70" w:type="dxa"/>
              <w:end w:w="90" w:type="dxa"/>
            </w:tcMar>
            <w:vAlign w:val="center"/>
          </w:tcPr>
          <w:p>
            <w:pPr>
              <w:spacing w:after="0" w:line="252" w:lineRule="auto"/>
            </w:pPr>
            <w:r>
              <w:rPr>
                <w:rFonts w:ascii="Arial" w:hAnsi="Arial"/>
                <w:sz w:val="16"/>
              </w:rPr>
              <w:t>628</w:t>
            </w:r>
          </w:p>
        </w:tc>
      </w:tr>
    </w:tbl>
    <w:p>
      <w:pPr>
        <w:keepNext w:val="0"/>
        <w:widowControl/>
        <w:spacing w:after="140"/>
      </w:pPr>
      <w:r>
        <w:rPr>
          <w:rFonts w:ascii="Arial" w:hAnsi="Arial"/>
          <w:i/>
          <w:color w:val="64748B"/>
          <w:sz w:val="16"/>
        </w:rPr>
        <w:t>Source note: `outputs/eoq_from_real_sales.json`. Demand is based on historical sales and category shares; all cost, lead-time, and service-level inputs are assumptions.</w:t>
      </w:r>
    </w:p>
    <w:p>
      <w:pPr>
        <w:widowControl/>
      </w:pPr>
      <w:r>
        <w:rPr>
          <w:rFonts w:ascii="Arial" w:hAnsi="Arial"/>
          <w:i w:val="0"/>
        </w:rPr>
        <w:t>The allocation solver maximized the equally weighted fulfilled-demand fraction across shortlisted products and then minimized purchase spending at the best feasible service level. Integer pack sizes, available stock, protected stock, supplier limits, budget, and minimum fulfillment were enforced as scenario constraints. When the requested minimum service could not be met within the entered budget or supplier limits, the system returned an infeasible scenario and published no allocation. This behavior represented constraint-triggered recalculation rather than autonomous learning or procurement execution.</w:t>
      </w:r>
    </w:p>
    <w:p>
      <w:pPr>
        <w:widowControl/>
      </w:pPr>
      <w:r>
        <w:rPr>
          <w:rFonts w:ascii="Arial" w:hAnsi="Arial"/>
          <w:i w:val="0"/>
        </w:rPr>
        <w:t>The ≤5% expiry-wastage value was treated as a prescriptive control threshold. The interface presented Normal, Monsoon Surge, and Island Logistics presets with scenario expiry values below the policy ceiling and documented a shelf-life demand bound for the candidate batch size. When a scenario assumption changed, the prior result was invalidated, and the user was required to solve the constrained plan again. Because the available dataset did not contain batch-level expiry dates or realized write-offs, the displayed values represented threshold-compliant what-if scenarios rather than measured historical wastage. The study therefore assessed whether the scenario logic observed the ≤5% rule; post-implementation data would still be required to determine whether actual wastage remained below the threshold.</w:t>
      </w:r>
    </w:p>
    <w:p>
      <w:pPr>
        <w:pStyle w:val="Heading1"/>
        <w:widowControl/>
      </w:pPr>
      <w:r>
        <w:rPr>
          <w:rFonts w:ascii="Arial" w:hAnsi="Arial"/>
        </w:rPr>
        <w:t>4.3 Dashboard</w:t>
      </w:r>
    </w:p>
    <w:p>
      <w:pPr>
        <w:widowControl/>
      </w:pPr>
      <w:r>
        <w:rPr>
          <w:rFonts w:ascii="Arial" w:hAnsi="Arial"/>
          <w:i w:val="0"/>
        </w:rPr>
        <w:t>This section described how the DSS translated the analytical results into a decision narrative for managers. It examined how the five dashboard modules guided the user from source context and historical performance to prioritization, forecast review, scenario planning, and human approval while preserving the status and limitations of each result.</w:t>
      </w:r>
    </w:p>
    <w:p>
      <w:pPr>
        <w:widowControl/>
      </w:pPr>
      <w:r>
        <w:rPr>
          <w:rFonts w:ascii="Arial" w:hAnsi="Arial"/>
          <w:i w:val="0"/>
        </w:rPr>
        <w:t>The latest predictive_draft DSS presented the analytical path as a guided data story that moved from context and historical patterns to product and geographic priorities, forecast uncertainty, scenario planning, and human review. Its interface used descriptive period windows, explicit source-verification status, scenario selectors, regional-group drilldown, selectable next-3-, next-6-, and next-12-month forecast horizons, and editable planning assumptions. The first forecast period advanced to the month after the reporting month whenever the calendar changed. Monthly granularity was used for seasonality and planning timing, while yearly granularity was used for long-term comparison. Pending, actual, estimated, forecast, proxy, unavailable, and scenario values were visually separated.</w:t>
      </w:r>
    </w:p>
    <w:p>
      <w:pPr>
        <w:pStyle w:val="Heading2"/>
        <w:widowControl/>
      </w:pPr>
      <w:r>
        <w:rPr>
          <w:rFonts w:ascii="Arial" w:hAnsi="Arial"/>
        </w:rPr>
        <w:t>4.3.1 Executive Overview and Sales Diagnostics</w:t>
      </w:r>
    </w:p>
    <w:p>
      <w:pPr>
        <w:widowControl/>
      </w:pPr>
      <w:r>
        <w:rPr>
          <w:rFonts w:ascii="Arial" w:hAnsi="Arial"/>
          <w:i w:val="0"/>
        </w:rPr>
        <w:t>The Executive Overview established the period, source endpoint, and decision focus before presenting the totals. Sales Diagnostics then explained the observed results through period-based revenue, gross profit, growth, quantity, complete-calendar status, and STL evidence. The module explicitly defined fulfilled demand, kept net sales separate from delivered units, and displayed pending or unavailable source states instead of silently substituting operational evidence.</w:t>
      </w:r>
    </w:p>
    <w:p>
      <w:pPr>
        <w:keepNext/>
        <w:widowControl/>
        <w:jc w:val="center"/>
      </w:pPr>
      <w:r>
        <w:rPr>
          <w:rFonts w:ascii="Arial" w:hAnsi="Arial"/>
        </w:rPr>
        <w:drawing>
          <wp:inline xmlns:a="http://schemas.openxmlformats.org/drawingml/2006/main" xmlns:pic="http://schemas.openxmlformats.org/drawingml/2006/picture">
            <wp:extent cx="6172200" cy="3857625"/>
            <wp:docPr id="8" name="Picture 8"/>
            <wp:cNvGraphicFramePr>
              <a:graphicFrameLocks noChangeAspect="1"/>
            </wp:cNvGraphicFramePr>
            <a:graphic>
              <a:graphicData uri="http://schemas.openxmlformats.org/drawingml/2006/picture">
                <pic:pic>
                  <pic:nvPicPr>
                    <pic:cNvPr id="0" name="sales-diagnostics.png"/>
                    <pic:cNvPicPr/>
                  </pic:nvPicPr>
                  <pic:blipFill>
                    <a:blip r:embed="rId20"/>
                    <a:stretch>
                      <a:fillRect/>
                    </a:stretch>
                  </pic:blipFill>
                  <pic:spPr>
                    <a:xfrm>
                      <a:off x="0" y="0"/>
                      <a:ext cx="6172200" cy="3857625"/>
                    </a:xfrm>
                    <a:prstGeom prst="rect"/>
                  </pic:spPr>
                </pic:pic>
              </a:graphicData>
            </a:graphic>
          </wp:inline>
        </w:drawing>
      </w:r>
    </w:p>
    <w:p>
      <w:pPr>
        <w:keepNext/>
        <w:widowControl/>
        <w:jc w:val="center"/>
      </w:pPr>
      <w:r>
        <w:rPr>
          <w:rFonts w:ascii="Arial" w:hAnsi="Arial"/>
          <w:b/>
          <w:i/>
          <w:sz w:val="19"/>
        </w:rPr>
        <w:t>Figure 4.6 Sales Diagnostics Interface and Evidence Status</w:t>
      </w:r>
    </w:p>
    <w:p>
      <w:pPr>
        <w:keepNext w:val="0"/>
        <w:widowControl/>
        <w:spacing w:after="140"/>
      </w:pPr>
      <w:r>
        <w:rPr>
          <w:rFonts w:ascii="Arial" w:hAnsi="Arial"/>
          <w:i/>
          <w:color w:val="64748B"/>
          <w:sz w:val="16"/>
        </w:rPr>
        <w:t>Source note: Predictive_draft runtime capture from the current project evidence set. Interface evidence only; the numerical findings in Section 4.2 use the reproducible descriptive outputs.</w:t>
      </w:r>
    </w:p>
    <w:p>
      <w:pPr>
        <w:pStyle w:val="Heading2"/>
        <w:widowControl/>
      </w:pPr>
      <w:r>
        <w:rPr>
          <w:rFonts w:ascii="Arial" w:hAnsi="Arial"/>
        </w:rPr>
        <w:t>4.3.2 Product and Area Prioritization</w:t>
      </w:r>
    </w:p>
    <w:p>
      <w:pPr>
        <w:widowControl/>
      </w:pPr>
      <w:r>
        <w:rPr>
          <w:rFonts w:ascii="Arial" w:hAnsi="Arial"/>
          <w:i w:val="0"/>
        </w:rPr>
        <w:t>Product Prioritization combined commercial ABC contribution, the WHO Vital–Essential–Non-Essential classification, configurable MCDA weights, and the Normal, Disease Outbreak, and Inclement Weather scenarios. The module elevated low-revenue vital items when the selected scenario required clinical protection, while it kept revenue and delivered units as separate measures. The resulting rankings remained decision-support outputs because the product master and clinical classifications had not yet received formal approval. Area Prioritization used four default regional groups: CALABARZON, MIMAROPA, Bicol, and Other National. It displayed actual sales separately from gap estimates. Selecting a study region changed the ranking to province or area detail, while the total regional-group rollup remained at the regional level. MedShield HQ and DOH Central were consolidated under Other National for operational comparison.</w:t>
      </w:r>
    </w:p>
    <w:p>
      <w:pPr>
        <w:keepNext/>
        <w:widowControl/>
        <w:jc w:val="center"/>
      </w:pPr>
      <w:r>
        <w:rPr>
          <w:rFonts w:ascii="Arial" w:hAnsi="Arial"/>
        </w:rPr>
        <w:drawing>
          <wp:inline xmlns:a="http://schemas.openxmlformats.org/drawingml/2006/main" xmlns:pic="http://schemas.openxmlformats.org/drawingml/2006/picture">
            <wp:extent cx="6172200" cy="3857625"/>
            <wp:docPr id="9" name="Picture 9"/>
            <wp:cNvGraphicFramePr>
              <a:graphicFrameLocks noChangeAspect="1"/>
            </wp:cNvGraphicFramePr>
            <a:graphic>
              <a:graphicData uri="http://schemas.openxmlformats.org/drawingml/2006/picture">
                <pic:pic>
                  <pic:nvPicPr>
                    <pic:cNvPr id="0" name="product-prioritization.png"/>
                    <pic:cNvPicPr/>
                  </pic:nvPicPr>
                  <pic:blipFill>
                    <a:blip r:embed="rId21"/>
                    <a:stretch>
                      <a:fillRect/>
                    </a:stretch>
                  </pic:blipFill>
                  <pic:spPr>
                    <a:xfrm>
                      <a:off x="0" y="0"/>
                      <a:ext cx="6172200" cy="3857625"/>
                    </a:xfrm>
                    <a:prstGeom prst="rect"/>
                  </pic:spPr>
                </pic:pic>
              </a:graphicData>
            </a:graphic>
          </wp:inline>
        </w:drawing>
      </w:r>
    </w:p>
    <w:p>
      <w:pPr>
        <w:keepNext/>
        <w:widowControl/>
        <w:jc w:val="center"/>
      </w:pPr>
      <w:r>
        <w:rPr>
          <w:rFonts w:ascii="Arial" w:hAnsi="Arial"/>
          <w:b/>
          <w:i/>
          <w:sz w:val="19"/>
        </w:rPr>
        <w:t>Figure 4.7 Scenario-Driven Product Prioritization Interface</w:t>
      </w:r>
    </w:p>
    <w:p>
      <w:pPr>
        <w:keepNext w:val="0"/>
        <w:widowControl/>
        <w:spacing w:after="140"/>
      </w:pPr>
      <w:r>
        <w:rPr>
          <w:rFonts w:ascii="Arial" w:hAnsi="Arial"/>
          <w:i/>
          <w:color w:val="64748B"/>
          <w:sz w:val="16"/>
        </w:rPr>
        <w:t>Source note: Predictive_draft runtime capture from the current project evidence set. ABC–VEN categories and MCDA scores illustrate interface behavior, not approved procurement classifications.</w:t>
      </w:r>
    </w:p>
    <w:p>
      <w:pPr>
        <w:keepNext/>
        <w:widowControl/>
        <w:jc w:val="center"/>
      </w:pPr>
      <w:r>
        <w:rPr>
          <w:rFonts w:ascii="Arial" w:hAnsi="Arial"/>
        </w:rPr>
        <w:drawing>
          <wp:inline xmlns:a="http://schemas.openxmlformats.org/drawingml/2006/main" xmlns:pic="http://schemas.openxmlformats.org/drawingml/2006/picture">
            <wp:extent cx="6172200" cy="3857625"/>
            <wp:docPr id="10" name="Picture 10"/>
            <wp:cNvGraphicFramePr>
              <a:graphicFrameLocks noChangeAspect="1"/>
            </wp:cNvGraphicFramePr>
            <a:graphic>
              <a:graphicData uri="http://schemas.openxmlformats.org/drawingml/2006/picture">
                <pic:pic>
                  <pic:nvPicPr>
                    <pic:cNvPr id="0" name="area-prioritization.png"/>
                    <pic:cNvPicPr/>
                  </pic:nvPicPr>
                  <pic:blipFill>
                    <a:blip r:embed="rId22"/>
                    <a:stretch>
                      <a:fillRect/>
                    </a:stretch>
                  </pic:blipFill>
                  <pic:spPr>
                    <a:xfrm>
                      <a:off x="0" y="0"/>
                      <a:ext cx="6172200" cy="3857625"/>
                    </a:xfrm>
                    <a:prstGeom prst="rect"/>
                  </pic:spPr>
                </pic:pic>
              </a:graphicData>
            </a:graphic>
          </wp:inline>
        </w:drawing>
      </w:r>
    </w:p>
    <w:p>
      <w:pPr>
        <w:keepNext/>
        <w:widowControl/>
        <w:jc w:val="center"/>
      </w:pPr>
      <w:r>
        <w:rPr>
          <w:rFonts w:ascii="Arial" w:hAnsi="Arial"/>
          <w:b/>
          <w:i/>
          <w:sz w:val="19"/>
        </w:rPr>
        <w:t>Figure 4.8 Regional-Group Area Prioritization Interface</w:t>
      </w:r>
    </w:p>
    <w:p>
      <w:pPr>
        <w:keepNext w:val="0"/>
        <w:widowControl/>
        <w:spacing w:after="140"/>
      </w:pPr>
      <w:r>
        <w:rPr>
          <w:rFonts w:ascii="Arial" w:hAnsi="Arial"/>
          <w:i/>
          <w:color w:val="64748B"/>
          <w:sz w:val="16"/>
        </w:rPr>
        <w:t>Source note: Predictive_draft runtime capture from the current project evidence set. The four-group rollup and area-drilldown behavior were verified in the focused browser suite.</w:t>
      </w:r>
    </w:p>
    <w:p>
      <w:pPr>
        <w:pStyle w:val="Heading2"/>
        <w:widowControl/>
      </w:pPr>
      <w:r>
        <w:rPr>
          <w:rFonts w:ascii="Arial" w:hAnsi="Arial"/>
        </w:rPr>
        <w:t>4.3.3 Forecast Modeling and Prescriptive Planning</w:t>
      </w:r>
    </w:p>
    <w:p>
      <w:pPr>
        <w:widowControl/>
      </w:pPr>
      <w:r>
        <w:rPr>
          <w:rFonts w:ascii="Arial" w:hAnsi="Arial"/>
          <w:i w:val="0"/>
        </w:rPr>
        <w:t>Forecast Modeling displayed buyer, product, target-measure, forecasting-engine, external-overlay, and rolling-horizon controls together with actual observations, retrospective holdout predictions, uncertainty bands, MAE, RMSE, WAPE, bias, and a common-holdout comparison. The selected 3-, 6-, or 12-month view began after the reporting month and displayed its exact start and end periods, model origin, observed-month count, and data-age warning. Its target operating design followed a champion–challenger portfolio in which retraining would compare Prophet, XGBoost, and other external-regressor candidates with seasonal naive, last-value naive, Holt–Winters, ARIMA, SARIMA, and SARIMAX on one common holdout. A failed or disqualified incumbent would be replaced only by the best validated candidate from the same run. When no candidate qualified, the page was designed to display Insufficient history or No publishable model. The interface presented benchmark and candidate states, but its labels and controlled fixture metrics did not constitute proof of an approved champion; automated retraining and registry-controlled promotion had not yet been completed. Prescriptive Planning provided Standard Baseline, Monsoon Surge and Epidemic Buffer, and Island Logistics presets. It accepted editable demand, usable stock, safety reserve, pack, supplier, budget, horizon, and minimum-fulfillment assumptions; invalidated stale results after edits; solved constrained allocations; and presented the ≤5% expiry target as a scenario guardrail for human review.</w:t>
      </w:r>
    </w:p>
    <w:p>
      <w:pPr>
        <w:keepNext/>
        <w:widowControl/>
        <w:jc w:val="center"/>
      </w:pPr>
      <w:r>
        <w:rPr>
          <w:rFonts w:ascii="Arial" w:hAnsi="Arial"/>
        </w:rPr>
        <w:drawing>
          <wp:inline xmlns:a="http://schemas.openxmlformats.org/drawingml/2006/main" xmlns:pic="http://schemas.openxmlformats.org/drawingml/2006/picture">
            <wp:extent cx="4892040" cy="7976318"/>
            <wp:docPr id="11" name="Picture 11"/>
            <wp:cNvGraphicFramePr>
              <a:graphicFrameLocks noChangeAspect="1"/>
            </wp:cNvGraphicFramePr>
            <a:graphic>
              <a:graphicData uri="http://schemas.openxmlformats.org/drawingml/2006/picture">
                <pic:pic>
                  <pic:nvPicPr>
                    <pic:cNvPr id="0" name="section-5-forecast.png"/>
                    <pic:cNvPicPr/>
                  </pic:nvPicPr>
                  <pic:blipFill>
                    <a:blip r:embed="rId23"/>
                    <a:stretch>
                      <a:fillRect/>
                    </a:stretch>
                  </pic:blipFill>
                  <pic:spPr>
                    <a:xfrm>
                      <a:off x="0" y="0"/>
                      <a:ext cx="4892040" cy="7976318"/>
                    </a:xfrm>
                    <a:prstGeom prst="rect"/>
                  </pic:spPr>
                </pic:pic>
              </a:graphicData>
            </a:graphic>
          </wp:inline>
        </w:drawing>
      </w:r>
    </w:p>
    <w:p>
      <w:pPr>
        <w:keepNext/>
        <w:widowControl/>
        <w:jc w:val="center"/>
      </w:pPr>
      <w:r>
        <w:rPr>
          <w:rFonts w:ascii="Arial" w:hAnsi="Arial"/>
          <w:b/>
          <w:i/>
          <w:sz w:val="19"/>
        </w:rPr>
        <w:t>Figure 4.9 Current Rolling-Horizon Forecast Modeling Interface</w:t>
      </w:r>
    </w:p>
    <w:p>
      <w:pPr>
        <w:keepNext w:val="0"/>
        <w:widowControl/>
        <w:spacing w:after="140"/>
      </w:pPr>
      <w:r>
        <w:rPr>
          <w:rFonts w:ascii="Arial" w:hAnsi="Arial"/>
          <w:i/>
          <w:color w:val="64748B"/>
          <w:sz w:val="16"/>
        </w:rPr>
        <w:t>Source note: Current predictive_draft runtime capture dated 25 September 2026 using controlled browser data. The capture demonstrates the selectable next-3-, next-6-, and next-12-month logic and its dynamic next-month start; fixture metrics remain interface evidence and still require product-region eligibility, common-holdout validation, and model approval.</w:t>
      </w:r>
    </w:p>
    <w:p>
      <w:pPr>
        <w:keepNext/>
        <w:widowControl/>
        <w:jc w:val="center"/>
      </w:pPr>
      <w:r>
        <w:rPr>
          <w:rFonts w:ascii="Arial" w:hAnsi="Arial"/>
        </w:rPr>
        <w:drawing>
          <wp:inline xmlns:a="http://schemas.openxmlformats.org/drawingml/2006/main" xmlns:pic="http://schemas.openxmlformats.org/drawingml/2006/picture">
            <wp:extent cx="6172200" cy="3857625"/>
            <wp:docPr id="12" name="Picture 12"/>
            <wp:cNvGraphicFramePr>
              <a:graphicFrameLocks noChangeAspect="1"/>
            </wp:cNvGraphicFramePr>
            <a:graphic>
              <a:graphicData uri="http://schemas.openxmlformats.org/drawingml/2006/picture">
                <pic:pic>
                  <pic:nvPicPr>
                    <pic:cNvPr id="0" name="prescriptive-planning.png"/>
                    <pic:cNvPicPr/>
                  </pic:nvPicPr>
                  <pic:blipFill>
                    <a:blip r:embed="rId24"/>
                    <a:stretch>
                      <a:fillRect/>
                    </a:stretch>
                  </pic:blipFill>
                  <pic:spPr>
                    <a:xfrm>
                      <a:off x="0" y="0"/>
                      <a:ext cx="6172200" cy="3857625"/>
                    </a:xfrm>
                    <a:prstGeom prst="rect"/>
                  </pic:spPr>
                </pic:pic>
              </a:graphicData>
            </a:graphic>
          </wp:inline>
        </w:drawing>
      </w:r>
    </w:p>
    <w:p>
      <w:pPr>
        <w:keepNext/>
        <w:widowControl/>
        <w:jc w:val="center"/>
      </w:pPr>
      <w:r>
        <w:rPr>
          <w:rFonts w:ascii="Arial" w:hAnsi="Arial"/>
          <w:b/>
          <w:i/>
          <w:sz w:val="19"/>
        </w:rPr>
        <w:t>Figure 4.10 Prescriptive Planning and Expiry-Threshold Interface</w:t>
      </w:r>
    </w:p>
    <w:p>
      <w:pPr>
        <w:keepNext w:val="0"/>
        <w:widowControl/>
        <w:spacing w:after="140"/>
      </w:pPr>
      <w:r>
        <w:rPr>
          <w:rFonts w:ascii="Arial" w:hAnsi="Arial"/>
          <w:i/>
          <w:color w:val="64748B"/>
          <w:sz w:val="16"/>
        </w:rPr>
        <w:t>Source note: Predictive_draft runtime capture from the current project evidence set. Displayed values are scenario outputs, not approved purchase instructions or observed wastage results.</w:t>
      </w:r>
    </w:p>
    <w:p>
      <w:pPr>
        <w:pStyle w:val="Heading2"/>
        <w:widowControl/>
      </w:pPr>
      <w:r>
        <w:rPr>
          <w:rFonts w:ascii="Arial" w:hAnsi="Arial"/>
        </w:rPr>
        <w:t>4.3.4 Dashboard Decision Narrative</w:t>
      </w:r>
    </w:p>
    <w:p>
      <w:pPr>
        <w:keepNext/>
        <w:widowControl/>
        <w:jc w:val="center"/>
      </w:pPr>
      <w:r>
        <w:rPr>
          <w:rFonts w:ascii="Arial" w:hAnsi="Arial"/>
          <w:b/>
          <w:i/>
          <w:sz w:val="19"/>
        </w:rPr>
        <w:t>Table 4.9 Data-story sequence implemented in the dashboard</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2484"/>
        <w:gridCol w:w="2484"/>
        <w:gridCol w:w="2484"/>
        <w:gridCol w:w="2484"/>
      </w:tblGrid>
      <w:tr>
        <w:trPr>
          <w:tblHeader w:val="true"/>
        </w:trPr>
        <w:tc>
          <w:tcPr>
            <w:tcW w:type="dxa" w:w="1440"/>
            <w:shd w:fill="2A6F9E"/>
            <w:tcMar>
              <w:top w:w="70" w:type="dxa"/>
              <w:start w:w="90" w:type="dxa"/>
              <w:bottom w:w="70" w:type="dxa"/>
              <w:end w:w="90" w:type="dxa"/>
            </w:tcMar>
            <w:vAlign w:val="center"/>
          </w:tcPr>
          <w:p>
            <w:pPr>
              <w:jc w:val="center"/>
            </w:pPr>
            <w:r>
              <w:rPr>
                <w:b/>
                <w:color w:val="FFFFFF"/>
                <w:sz w:val="17"/>
              </w:rPr>
              <w:t>Stage</w:t>
            </w:r>
          </w:p>
        </w:tc>
        <w:tc>
          <w:tcPr>
            <w:tcW w:type="dxa" w:w="2520"/>
            <w:shd w:fill="2A6F9E"/>
            <w:tcMar>
              <w:top w:w="70" w:type="dxa"/>
              <w:start w:w="90" w:type="dxa"/>
              <w:bottom w:w="70" w:type="dxa"/>
              <w:end w:w="90" w:type="dxa"/>
            </w:tcMar>
            <w:vAlign w:val="center"/>
          </w:tcPr>
          <w:p>
            <w:pPr>
              <w:jc w:val="center"/>
            </w:pPr>
            <w:r>
              <w:rPr>
                <w:b/>
                <w:color w:val="FFFFFF"/>
                <w:sz w:val="17"/>
              </w:rPr>
              <w:t>Decision question</w:t>
            </w:r>
          </w:p>
        </w:tc>
        <w:tc>
          <w:tcPr>
            <w:tcW w:type="dxa" w:w="3096"/>
            <w:shd w:fill="2A6F9E"/>
            <w:tcMar>
              <w:top w:w="70" w:type="dxa"/>
              <w:start w:w="90" w:type="dxa"/>
              <w:bottom w:w="70" w:type="dxa"/>
              <w:end w:w="90" w:type="dxa"/>
            </w:tcMar>
            <w:vAlign w:val="center"/>
          </w:tcPr>
          <w:p>
            <w:pPr>
              <w:jc w:val="center"/>
            </w:pPr>
            <w:r>
              <w:rPr>
                <w:b/>
                <w:color w:val="FFFFFF"/>
                <w:sz w:val="17"/>
              </w:rPr>
              <w:t>Primary evidence</w:t>
            </w:r>
          </w:p>
        </w:tc>
        <w:tc>
          <w:tcPr>
            <w:tcW w:type="dxa" w:w="2880"/>
            <w:shd w:fill="2A6F9E"/>
            <w:tcMar>
              <w:top w:w="70" w:type="dxa"/>
              <w:start w:w="90" w:type="dxa"/>
              <w:bottom w:w="70" w:type="dxa"/>
              <w:end w:w="90" w:type="dxa"/>
            </w:tcMar>
            <w:vAlign w:val="center"/>
          </w:tcPr>
          <w:p>
            <w:pPr>
              <w:jc w:val="center"/>
            </w:pPr>
            <w:r>
              <w:rPr>
                <w:b/>
                <w:color w:val="FFFFFF"/>
                <w:sz w:val="17"/>
              </w:rPr>
              <w:t>Boundary</w:t>
            </w:r>
          </w:p>
        </w:tc>
      </w:tr>
      <w:tr>
        <w:trPr>
          <w:cantSplit/>
        </w:trPr>
        <w:tc>
          <w:tcPr>
            <w:tcW w:type="dxa" w:w="1440"/>
            <w:tcMar>
              <w:top w:w="70" w:type="dxa"/>
              <w:start w:w="90" w:type="dxa"/>
              <w:bottom w:w="70" w:type="dxa"/>
              <w:end w:w="90" w:type="dxa"/>
            </w:tcMar>
            <w:vAlign w:val="center"/>
          </w:tcPr>
          <w:p>
            <w:pPr>
              <w:spacing w:after="0" w:line="252" w:lineRule="auto"/>
            </w:pPr>
            <w:r>
              <w:rPr>
                <w:rFonts w:ascii="Arial" w:hAnsi="Arial"/>
                <w:sz w:val="16"/>
              </w:rPr>
              <w:t>Context</w:t>
            </w:r>
          </w:p>
        </w:tc>
        <w:tc>
          <w:tcPr>
            <w:tcW w:type="dxa" w:w="2520"/>
            <w:tcMar>
              <w:top w:w="70" w:type="dxa"/>
              <w:start w:w="90" w:type="dxa"/>
              <w:bottom w:w="70" w:type="dxa"/>
              <w:end w:w="90" w:type="dxa"/>
            </w:tcMar>
            <w:vAlign w:val="center"/>
          </w:tcPr>
          <w:p>
            <w:pPr>
              <w:spacing w:after="0" w:line="252" w:lineRule="auto"/>
            </w:pPr>
            <w:r>
              <w:rPr>
                <w:rFonts w:ascii="Arial" w:hAnsi="Arial"/>
                <w:sz w:val="16"/>
              </w:rPr>
              <w:t>What evidence is available?</w:t>
            </w:r>
          </w:p>
        </w:tc>
        <w:tc>
          <w:tcPr>
            <w:tcW w:type="dxa" w:w="3096"/>
            <w:tcMar>
              <w:top w:w="70" w:type="dxa"/>
              <w:start w:w="90" w:type="dxa"/>
              <w:bottom w:w="70" w:type="dxa"/>
              <w:end w:w="90" w:type="dxa"/>
            </w:tcMar>
            <w:vAlign w:val="center"/>
          </w:tcPr>
          <w:p>
            <w:pPr>
              <w:spacing w:after="0" w:line="252" w:lineRule="auto"/>
            </w:pPr>
            <w:r>
              <w:rPr>
                <w:rFonts w:ascii="Arial" w:hAnsi="Arial"/>
                <w:sz w:val="16"/>
              </w:rPr>
              <w:t>Scope, endpoint, quality, and status</w:t>
            </w:r>
          </w:p>
        </w:tc>
        <w:tc>
          <w:tcPr>
            <w:tcW w:type="dxa" w:w="2880"/>
            <w:tcMar>
              <w:top w:w="70" w:type="dxa"/>
              <w:start w:w="90" w:type="dxa"/>
              <w:bottom w:w="70" w:type="dxa"/>
              <w:end w:w="90" w:type="dxa"/>
            </w:tcMar>
            <w:vAlign w:val="center"/>
          </w:tcPr>
          <w:p>
            <w:pPr>
              <w:spacing w:after="0" w:line="252" w:lineRule="auto"/>
            </w:pPr>
            <w:r>
              <w:rPr>
                <w:rFonts w:ascii="Arial" w:hAnsi="Arial"/>
                <w:sz w:val="16"/>
              </w:rPr>
              <w:t>Partial and unavailable sources remain visible</w:t>
            </w:r>
          </w:p>
        </w:tc>
      </w:tr>
      <w:tr>
        <w:trPr>
          <w:cantSplit/>
        </w:trPr>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Historical pattern</w:t>
            </w:r>
          </w:p>
        </w:tc>
        <w:tc>
          <w:tcPr>
            <w:tcW w:type="dxa" w:w="2520"/>
            <w:tcMar>
              <w:top w:w="70" w:type="dxa"/>
              <w:start w:w="90" w:type="dxa"/>
              <w:bottom w:w="70" w:type="dxa"/>
              <w:end w:w="90" w:type="dxa"/>
            </w:tcMar>
            <w:vAlign w:val="center"/>
            <w:shd w:fill="EAF3F8"/>
          </w:tcPr>
          <w:p>
            <w:pPr>
              <w:spacing w:after="0" w:line="252" w:lineRule="auto"/>
            </w:pPr>
            <w:r>
              <w:rPr>
                <w:rFonts w:ascii="Arial" w:hAnsi="Arial"/>
                <w:sz w:val="16"/>
              </w:rPr>
              <w:t>What happened and when?</w:t>
            </w:r>
          </w:p>
        </w:tc>
        <w:tc>
          <w:tcPr>
            <w:tcW w:type="dxa" w:w="3096"/>
            <w:tcMar>
              <w:top w:w="70" w:type="dxa"/>
              <w:start w:w="90" w:type="dxa"/>
              <w:bottom w:w="70" w:type="dxa"/>
              <w:end w:w="90" w:type="dxa"/>
            </w:tcMar>
            <w:vAlign w:val="center"/>
            <w:shd w:fill="EAF3F8"/>
          </w:tcPr>
          <w:p>
            <w:pPr>
              <w:spacing w:after="0" w:line="252" w:lineRule="auto"/>
            </w:pPr>
            <w:r>
              <w:rPr>
                <w:rFonts w:ascii="Arial" w:hAnsi="Arial"/>
                <w:sz w:val="16"/>
              </w:rPr>
              <w:t>Demand trend, YoY, STL</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Fulfilled sales do not measure unmet demand</w:t>
            </w:r>
          </w:p>
        </w:tc>
      </w:tr>
      <w:tr>
        <w:trPr>
          <w:cantSplit/>
        </w:trPr>
        <w:tc>
          <w:tcPr>
            <w:tcW w:type="dxa" w:w="1440"/>
            <w:tcMar>
              <w:top w:w="70" w:type="dxa"/>
              <w:start w:w="90" w:type="dxa"/>
              <w:bottom w:w="70" w:type="dxa"/>
              <w:end w:w="90" w:type="dxa"/>
            </w:tcMar>
            <w:vAlign w:val="center"/>
          </w:tcPr>
          <w:p>
            <w:pPr>
              <w:spacing w:after="0" w:line="252" w:lineRule="auto"/>
            </w:pPr>
            <w:r>
              <w:rPr>
                <w:rFonts w:ascii="Arial" w:hAnsi="Arial"/>
                <w:sz w:val="16"/>
              </w:rPr>
              <w:t>Priority</w:t>
            </w:r>
          </w:p>
        </w:tc>
        <w:tc>
          <w:tcPr>
            <w:tcW w:type="dxa" w:w="2520"/>
            <w:tcMar>
              <w:top w:w="70" w:type="dxa"/>
              <w:start w:w="90" w:type="dxa"/>
              <w:bottom w:w="70" w:type="dxa"/>
              <w:end w:w="90" w:type="dxa"/>
            </w:tcMar>
            <w:vAlign w:val="center"/>
          </w:tcPr>
          <w:p>
            <w:pPr>
              <w:spacing w:after="0" w:line="252" w:lineRule="auto"/>
            </w:pPr>
            <w:r>
              <w:rPr>
                <w:rFonts w:ascii="Arial" w:hAnsi="Arial"/>
                <w:sz w:val="16"/>
              </w:rPr>
              <w:t>Which products and areas deserve attention?</w:t>
            </w:r>
          </w:p>
        </w:tc>
        <w:tc>
          <w:tcPr>
            <w:tcW w:type="dxa" w:w="3096"/>
            <w:tcMar>
              <w:top w:w="70" w:type="dxa"/>
              <w:start w:w="90" w:type="dxa"/>
              <w:bottom w:w="70" w:type="dxa"/>
              <w:end w:w="90" w:type="dxa"/>
            </w:tcMar>
            <w:vAlign w:val="center"/>
          </w:tcPr>
          <w:p>
            <w:pPr>
              <w:spacing w:after="0" w:line="252" w:lineRule="auto"/>
            </w:pPr>
            <w:r>
              <w:rPr>
                <w:rFonts w:ascii="Arial" w:hAnsi="Arial"/>
                <w:sz w:val="16"/>
              </w:rPr>
              <w:t>Pareto, ABC, region/area ranking</w:t>
            </w:r>
          </w:p>
        </w:tc>
        <w:tc>
          <w:tcPr>
            <w:tcW w:type="dxa" w:w="2880"/>
            <w:tcMar>
              <w:top w:w="70" w:type="dxa"/>
              <w:start w:w="90" w:type="dxa"/>
              <w:bottom w:w="70" w:type="dxa"/>
              <w:end w:w="90" w:type="dxa"/>
            </w:tcMar>
            <w:vAlign w:val="center"/>
          </w:tcPr>
          <w:p>
            <w:pPr>
              <w:spacing w:after="0" w:line="252" w:lineRule="auto"/>
            </w:pPr>
            <w:r>
              <w:rPr>
                <w:rFonts w:ascii="Arial" w:hAnsi="Arial"/>
                <w:sz w:val="16"/>
              </w:rPr>
              <w:t>Revenue priority is not inventory urgency</w:t>
            </w:r>
          </w:p>
        </w:tc>
      </w:tr>
      <w:tr>
        <w:trPr>
          <w:cantSplit/>
        </w:trPr>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Forecast</w:t>
            </w:r>
          </w:p>
        </w:tc>
        <w:tc>
          <w:tcPr>
            <w:tcW w:type="dxa" w:w="2520"/>
            <w:tcMar>
              <w:top w:w="70" w:type="dxa"/>
              <w:start w:w="90" w:type="dxa"/>
              <w:bottom w:w="70" w:type="dxa"/>
              <w:end w:w="90" w:type="dxa"/>
            </w:tcMar>
            <w:vAlign w:val="center"/>
            <w:shd w:fill="EAF3F8"/>
          </w:tcPr>
          <w:p>
            <w:pPr>
              <w:spacing w:after="0" w:line="252" w:lineRule="auto"/>
            </w:pPr>
            <w:r>
              <w:rPr>
                <w:rFonts w:ascii="Arial" w:hAnsi="Arial"/>
                <w:sz w:val="16"/>
              </w:rPr>
              <w:t>What may happen next?</w:t>
            </w:r>
          </w:p>
        </w:tc>
        <w:tc>
          <w:tcPr>
            <w:tcW w:type="dxa" w:w="3096"/>
            <w:tcMar>
              <w:top w:w="70" w:type="dxa"/>
              <w:start w:w="90" w:type="dxa"/>
              <w:bottom w:w="70" w:type="dxa"/>
              <w:end w:w="90" w:type="dxa"/>
            </w:tcMar>
            <w:vAlign w:val="center"/>
            <w:shd w:fill="EAF3F8"/>
          </w:tcPr>
          <w:p>
            <w:pPr>
              <w:spacing w:after="0" w:line="252" w:lineRule="auto"/>
            </w:pPr>
            <w:r>
              <w:rPr>
                <w:rFonts w:ascii="Arial" w:hAnsi="Arial"/>
                <w:sz w:val="16"/>
              </w:rPr>
              <w:t>Actuals, forecast, uncertainty, baseline metrics</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External associations are not causal effects</w:t>
            </w:r>
          </w:p>
        </w:tc>
      </w:tr>
      <w:tr>
        <w:trPr>
          <w:cantSplit/>
        </w:trPr>
        <w:tc>
          <w:tcPr>
            <w:tcW w:type="dxa" w:w="1440"/>
            <w:tcMar>
              <w:top w:w="70" w:type="dxa"/>
              <w:start w:w="90" w:type="dxa"/>
              <w:bottom w:w="70" w:type="dxa"/>
              <w:end w:w="90" w:type="dxa"/>
            </w:tcMar>
            <w:vAlign w:val="center"/>
          </w:tcPr>
          <w:p>
            <w:pPr>
              <w:spacing w:after="0" w:line="252" w:lineRule="auto"/>
            </w:pPr>
            <w:r>
              <w:rPr>
                <w:rFonts w:ascii="Arial" w:hAnsi="Arial"/>
                <w:sz w:val="16"/>
              </w:rPr>
              <w:t>Scenario</w:t>
            </w:r>
          </w:p>
        </w:tc>
        <w:tc>
          <w:tcPr>
            <w:tcW w:type="dxa" w:w="2520"/>
            <w:tcMar>
              <w:top w:w="70" w:type="dxa"/>
              <w:start w:w="90" w:type="dxa"/>
              <w:bottom w:w="70" w:type="dxa"/>
              <w:end w:w="90" w:type="dxa"/>
            </w:tcMar>
            <w:vAlign w:val="center"/>
          </w:tcPr>
          <w:p>
            <w:pPr>
              <w:spacing w:after="0" w:line="252" w:lineRule="auto"/>
            </w:pPr>
            <w:r>
              <w:rPr>
                <w:rFonts w:ascii="Arial" w:hAnsi="Arial"/>
                <w:sz w:val="16"/>
              </w:rPr>
              <w:t>What plan should be reviewed?</w:t>
            </w:r>
          </w:p>
        </w:tc>
        <w:tc>
          <w:tcPr>
            <w:tcW w:type="dxa" w:w="3096"/>
            <w:tcMar>
              <w:top w:w="70" w:type="dxa"/>
              <w:start w:w="90" w:type="dxa"/>
              <w:bottom w:w="70" w:type="dxa"/>
              <w:end w:w="90" w:type="dxa"/>
            </w:tcMar>
            <w:vAlign w:val="center"/>
          </w:tcPr>
          <w:p>
            <w:pPr>
              <w:spacing w:after="0" w:line="252" w:lineRule="auto"/>
            </w:pPr>
            <w:r>
              <w:rPr>
                <w:rFonts w:ascii="Arial" w:hAnsi="Arial"/>
                <w:sz w:val="16"/>
              </w:rPr>
              <w:t>EOQ/ROP/SS, MCDA, MILP, and ≤5% control threshold</w:t>
            </w:r>
          </w:p>
        </w:tc>
        <w:tc>
          <w:tcPr>
            <w:tcW w:type="dxa" w:w="2880"/>
            <w:tcMar>
              <w:top w:w="70" w:type="dxa"/>
              <w:start w:w="90" w:type="dxa"/>
              <w:bottom w:w="70" w:type="dxa"/>
              <w:end w:w="90" w:type="dxa"/>
            </w:tcMar>
            <w:vAlign w:val="center"/>
          </w:tcPr>
          <w:p>
            <w:pPr>
              <w:spacing w:after="0" w:line="252" w:lineRule="auto"/>
            </w:pPr>
            <w:r>
              <w:rPr>
                <w:rFonts w:ascii="Arial" w:hAnsi="Arial"/>
                <w:sz w:val="16"/>
              </w:rPr>
              <w:t>Threshold compliance is scenario-based; realized expiry remains unmeasured</w:t>
            </w:r>
          </w:p>
        </w:tc>
      </w:tr>
      <w:tr>
        <w:trPr>
          <w:cantSplit/>
        </w:trPr>
        <w:tc>
          <w:tcPr>
            <w:tcW w:type="dxa" w:w="1440"/>
            <w:tcMar>
              <w:top w:w="70" w:type="dxa"/>
              <w:start w:w="90" w:type="dxa"/>
              <w:bottom w:w="70" w:type="dxa"/>
              <w:end w:w="90" w:type="dxa"/>
            </w:tcMar>
            <w:vAlign w:val="center"/>
            <w:shd w:fill="EAF3F8"/>
          </w:tcPr>
          <w:p>
            <w:pPr>
              <w:spacing w:after="0" w:line="252" w:lineRule="auto"/>
            </w:pPr>
            <w:r>
              <w:rPr>
                <w:rFonts w:ascii="Arial" w:hAnsi="Arial"/>
                <w:sz w:val="16"/>
              </w:rPr>
              <w:t>Human review</w:t>
            </w:r>
          </w:p>
        </w:tc>
        <w:tc>
          <w:tcPr>
            <w:tcW w:type="dxa" w:w="2520"/>
            <w:tcMar>
              <w:top w:w="70" w:type="dxa"/>
              <w:start w:w="90" w:type="dxa"/>
              <w:bottom w:w="70" w:type="dxa"/>
              <w:end w:w="90" w:type="dxa"/>
            </w:tcMar>
            <w:vAlign w:val="center"/>
            <w:shd w:fill="EAF3F8"/>
          </w:tcPr>
          <w:p>
            <w:pPr>
              <w:spacing w:after="0" w:line="252" w:lineRule="auto"/>
            </w:pPr>
            <w:r>
              <w:rPr>
                <w:rFonts w:ascii="Arial" w:hAnsi="Arial"/>
                <w:sz w:val="16"/>
              </w:rPr>
              <w:t>What is approved, rejected, or revised?</w:t>
            </w:r>
          </w:p>
        </w:tc>
        <w:tc>
          <w:tcPr>
            <w:tcW w:type="dxa" w:w="3096"/>
            <w:tcMar>
              <w:top w:w="70" w:type="dxa"/>
              <w:start w:w="90" w:type="dxa"/>
              <w:bottom w:w="70" w:type="dxa"/>
              <w:end w:w="90" w:type="dxa"/>
            </w:tcMar>
            <w:vAlign w:val="center"/>
            <w:shd w:fill="EAF3F8"/>
          </w:tcPr>
          <w:p>
            <w:pPr>
              <w:spacing w:after="0" w:line="252" w:lineRule="auto"/>
            </w:pPr>
            <w:r>
              <w:rPr>
                <w:rFonts w:ascii="Arial" w:hAnsi="Arial"/>
                <w:sz w:val="16"/>
              </w:rPr>
              <w:t>Status and evidence register</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The DSS supports; it does not replace management</w:t>
            </w:r>
          </w:p>
        </w:tc>
      </w:tr>
    </w:tbl>
    <w:p>
      <w:pPr>
        <w:keepNext w:val="0"/>
        <w:widowControl/>
        <w:spacing w:after="140"/>
      </w:pPr>
      <w:r>
        <w:rPr>
          <w:rFonts w:ascii="Arial" w:hAnsi="Arial"/>
          <w:i/>
          <w:color w:val="64748B"/>
          <w:sz w:val="16"/>
        </w:rPr>
        <w:t>Source note: Dashboard logic aligned with the repository North Star and data-story implementation plan.</w:t>
      </w:r>
    </w:p>
    <w:p>
      <w:pPr>
        <w:widowControl/>
      </w:pPr>
      <w:r>
        <w:rPr>
          <w:rFonts w:ascii="Arial" w:hAnsi="Arial"/>
        </w:rPr>
        <w:br w:type="page"/>
      </w:r>
    </w:p>
    <w:p>
      <w:pPr>
        <w:pStyle w:val="Heading1"/>
        <w:widowControl/>
      </w:pPr>
      <w:r>
        <w:rPr>
          <w:rFonts w:ascii="Arial" w:hAnsi="Arial"/>
        </w:rPr>
        <w:t>4.4 Summary of Findings</w:t>
      </w:r>
    </w:p>
    <w:p>
      <w:pPr>
        <w:widowControl/>
      </w:pPr>
      <w:r>
        <w:rPr>
          <w:rFonts w:ascii="Arial" w:hAnsi="Arial"/>
          <w:i w:val="0"/>
        </w:rPr>
        <w:t>This section consolidated the principal findings from the descriptive, predictive, prescriptive, and dashboard results. It related the available evidence to the study objectives, distinguished completed DSS capabilities from remaining validation gaps, and stated the conditions under which the results could support management decisions.</w:t>
      </w:r>
    </w:p>
    <w:p>
      <w:pPr>
        <w:widowControl/>
      </w:pPr>
      <w:r>
        <w:rPr>
          <w:rFonts w:ascii="Arial" w:hAnsi="Arial"/>
          <w:i w:val="0"/>
        </w:rPr>
        <w:t>The developed DSS established a functioning evidence chain from source validation to decision presentation. The descriptive layer processed multi-year sales records, preserved missing-data states, separated the study regions from Other National, performed Pareto and ABC analyses, and applied robust STL only to eligible product-region series. Historical predictive challengers did not consistently outperform the seasonal-naive benchmark, while supplemental tests confirmed that classical models were viable challenger and fallback candidates. SO3 was therefore interpreted as a governed champion–challenger portfolio in which retraining could substitute a validated model when the incumbent failed, without assuming that the most complex model would produce the best result. The prescriptive layer was substantially implemented for its intended purpose as a what-if DSS. It accepted explicit assumptions, compared operating presets, solved constrained allocation scenarios, rejected infeasible combinations, and applied the ≤5% expiry-wastage policy as a scenario guardrail. It did not execute purchases or claim an observed reduction in wastage.</w:t>
      </w:r>
    </w:p>
    <w:p>
      <w:pPr>
        <w:pStyle w:val="Heading2"/>
        <w:widowControl/>
      </w:pPr>
      <w:r>
        <w:rPr>
          <w:rFonts w:ascii="Arial" w:hAnsi="Arial"/>
        </w:rPr>
        <w:t>4.4.1 Consolidated Findings</w:t>
      </w:r>
    </w:p>
    <w:p>
      <w:pPr>
        <w:keepNext/>
        <w:widowControl/>
        <w:jc w:val="center"/>
      </w:pPr>
      <w:r>
        <w:rPr>
          <w:rFonts w:ascii="Arial" w:hAnsi="Arial"/>
          <w:b/>
          <w:i/>
          <w:sz w:val="19"/>
        </w:rPr>
        <w:t>Table 4.10 Consolidated findings and managerial meaning</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3312"/>
        <w:gridCol w:w="3312"/>
        <w:gridCol w:w="3312"/>
      </w:tblGrid>
      <w:tr>
        <w:trPr>
          <w:tblHeader w:val="true"/>
        </w:trPr>
        <w:tc>
          <w:tcPr>
            <w:tcW w:type="dxa" w:w="2880"/>
            <w:shd w:fill="2A6F9E"/>
            <w:tcMar>
              <w:top w:w="70" w:type="dxa"/>
              <w:start w:w="90" w:type="dxa"/>
              <w:bottom w:w="70" w:type="dxa"/>
              <w:end w:w="90" w:type="dxa"/>
            </w:tcMar>
            <w:vAlign w:val="center"/>
          </w:tcPr>
          <w:p>
            <w:pPr>
              <w:jc w:val="center"/>
            </w:pPr>
            <w:r>
              <w:rPr>
                <w:b/>
                <w:color w:val="FFFFFF"/>
                <w:sz w:val="17"/>
              </w:rPr>
              <w:t>Finding</w:t>
            </w:r>
          </w:p>
        </w:tc>
        <w:tc>
          <w:tcPr>
            <w:tcW w:type="dxa" w:w="3672"/>
            <w:shd w:fill="2A6F9E"/>
            <w:tcMar>
              <w:top w:w="70" w:type="dxa"/>
              <w:start w:w="90" w:type="dxa"/>
              <w:bottom w:w="70" w:type="dxa"/>
              <w:end w:w="90" w:type="dxa"/>
            </w:tcMar>
            <w:vAlign w:val="center"/>
          </w:tcPr>
          <w:p>
            <w:pPr>
              <w:jc w:val="center"/>
            </w:pPr>
            <w:r>
              <w:rPr>
                <w:b/>
                <w:color w:val="FFFFFF"/>
                <w:sz w:val="17"/>
              </w:rPr>
              <w:t>Evidence</w:t>
            </w:r>
          </w:p>
        </w:tc>
        <w:tc>
          <w:tcPr>
            <w:tcW w:type="dxa" w:w="3384"/>
            <w:shd w:fill="2A6F9E"/>
            <w:tcMar>
              <w:top w:w="70" w:type="dxa"/>
              <w:start w:w="90" w:type="dxa"/>
              <w:bottom w:w="70" w:type="dxa"/>
              <w:end w:w="90" w:type="dxa"/>
            </w:tcMar>
            <w:vAlign w:val="center"/>
          </w:tcPr>
          <w:p>
            <w:pPr>
              <w:jc w:val="center"/>
            </w:pPr>
            <w:r>
              <w:rPr>
                <w:b/>
                <w:color w:val="FFFFFF"/>
                <w:sz w:val="17"/>
              </w:rPr>
              <w:t>Decision implication</w:t>
            </w:r>
          </w:p>
        </w:tc>
      </w:tr>
      <w:tr>
        <w:trPr>
          <w:cantSplit/>
        </w:trPr>
        <w:tc>
          <w:tcPr>
            <w:tcW w:type="dxa" w:w="2880"/>
            <w:tcMar>
              <w:top w:w="70" w:type="dxa"/>
              <w:start w:w="90" w:type="dxa"/>
              <w:bottom w:w="70" w:type="dxa"/>
              <w:end w:w="90" w:type="dxa"/>
            </w:tcMar>
            <w:vAlign w:val="center"/>
          </w:tcPr>
          <w:p>
            <w:pPr>
              <w:spacing w:after="0" w:line="252" w:lineRule="auto"/>
            </w:pPr>
            <w:r>
              <w:rPr>
                <w:rFonts w:ascii="Arial" w:hAnsi="Arial"/>
                <w:sz w:val="16"/>
              </w:rPr>
              <w:t>The historical evidence was usable but not uniform.</w:t>
            </w:r>
          </w:p>
        </w:tc>
        <w:tc>
          <w:tcPr>
            <w:tcW w:type="dxa" w:w="3672"/>
            <w:tcMar>
              <w:top w:w="70" w:type="dxa"/>
              <w:start w:w="90" w:type="dxa"/>
              <w:bottom w:w="70" w:type="dxa"/>
              <w:end w:w="90" w:type="dxa"/>
            </w:tcMar>
            <w:vAlign w:val="center"/>
          </w:tcPr>
          <w:p>
            <w:pPr>
              <w:spacing w:after="0" w:line="252" w:lineRule="auto"/>
            </w:pPr>
            <w:r>
              <w:rPr>
                <w:rFonts w:ascii="Arial" w:hAnsi="Arial"/>
                <w:sz w:val="16"/>
              </w:rPr>
              <w:t>37,340 clean analytical rows; 2017–2026 YTD scope; validated actual endpoint Dec 2025; 2026 YTD unavailable; 2017–2019 Net CP unresolved</w:t>
            </w:r>
          </w:p>
        </w:tc>
        <w:tc>
          <w:tcPr>
            <w:tcW w:type="dxa" w:w="3384"/>
            <w:tcMar>
              <w:top w:w="70" w:type="dxa"/>
              <w:start w:w="90" w:type="dxa"/>
              <w:bottom w:w="70" w:type="dxa"/>
              <w:end w:w="90" w:type="dxa"/>
            </w:tcMar>
            <w:vAlign w:val="center"/>
          </w:tcPr>
          <w:p>
            <w:pPr>
              <w:spacing w:after="0" w:line="252" w:lineRule="auto"/>
            </w:pPr>
            <w:r>
              <w:rPr>
                <w:rFonts w:ascii="Arial" w:hAnsi="Arial"/>
                <w:sz w:val="16"/>
              </w:rPr>
              <w:t>The result supported quantity analysis at an explicit unit and grain and restricted revenue comparisons to supported periods.</w:t>
            </w:r>
          </w:p>
        </w:tc>
      </w:tr>
      <w:tr>
        <w:trPr>
          <w:cantSplit/>
        </w:trPr>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Demand exhibited seasonality that differed by series.</w:t>
            </w:r>
          </w:p>
        </w:tc>
        <w:tc>
          <w:tcPr>
            <w:tcW w:type="dxa" w:w="3672"/>
            <w:tcMar>
              <w:top w:w="70" w:type="dxa"/>
              <w:start w:w="90" w:type="dxa"/>
              <w:bottom w:w="70" w:type="dxa"/>
              <w:end w:w="90" w:type="dxa"/>
            </w:tcMar>
            <w:vAlign w:val="center"/>
            <w:shd w:fill="EAF3F8"/>
          </w:tcPr>
          <w:p>
            <w:pPr>
              <w:spacing w:after="0" w:line="252" w:lineRule="auto"/>
            </w:pPr>
            <w:r>
              <w:rPr>
                <w:rFonts w:ascii="Arial" w:hAnsi="Arial"/>
                <w:sz w:val="16"/>
              </w:rPr>
              <w:t>Overall seasonal strength 0.7244; primary HYCLENS–CALABARZON strength 0.3059</w:t>
            </w:r>
          </w:p>
        </w:tc>
        <w:tc>
          <w:tcPr>
            <w:tcW w:type="dxa" w:w="3384"/>
            <w:tcMar>
              <w:top w:w="70" w:type="dxa"/>
              <w:start w:w="90" w:type="dxa"/>
              <w:bottom w:w="70" w:type="dxa"/>
              <w:end w:w="90" w:type="dxa"/>
            </w:tcMar>
            <w:vAlign w:val="center"/>
            <w:shd w:fill="EAF3F8"/>
          </w:tcPr>
          <w:p>
            <w:pPr>
              <w:spacing w:after="0" w:line="252" w:lineRule="auto"/>
            </w:pPr>
            <w:r>
              <w:rPr>
                <w:rFonts w:ascii="Arial" w:hAnsi="Arial"/>
                <w:sz w:val="16"/>
              </w:rPr>
              <w:t>The result supported monthly planning and product-region eligibility rather than one pooled multiplier.</w:t>
            </w:r>
          </w:p>
        </w:tc>
      </w:tr>
      <w:tr>
        <w:trPr>
          <w:cantSplit/>
        </w:trPr>
        <w:tc>
          <w:tcPr>
            <w:tcW w:type="dxa" w:w="2880"/>
            <w:tcMar>
              <w:top w:w="70" w:type="dxa"/>
              <w:start w:w="90" w:type="dxa"/>
              <w:bottom w:w="70" w:type="dxa"/>
              <w:end w:w="90" w:type="dxa"/>
            </w:tcMar>
            <w:vAlign w:val="center"/>
          </w:tcPr>
          <w:p>
            <w:pPr>
              <w:spacing w:after="0" w:line="252" w:lineRule="auto"/>
            </w:pPr>
            <w:r>
              <w:rPr>
                <w:rFonts w:ascii="Arial" w:hAnsi="Arial"/>
                <w:sz w:val="16"/>
              </w:rPr>
              <w:t>Revenue was geographically concentrated.</w:t>
            </w:r>
          </w:p>
        </w:tc>
        <w:tc>
          <w:tcPr>
            <w:tcW w:type="dxa" w:w="3672"/>
            <w:tcMar>
              <w:top w:w="70" w:type="dxa"/>
              <w:start w:w="90" w:type="dxa"/>
              <w:bottom w:w="70" w:type="dxa"/>
              <w:end w:w="90" w:type="dxa"/>
            </w:tcMar>
            <w:vAlign w:val="center"/>
          </w:tcPr>
          <w:p>
            <w:pPr>
              <w:spacing w:after="0" w:line="252" w:lineRule="auto"/>
            </w:pPr>
            <w:r>
              <w:rPr>
                <w:rFonts w:ascii="Arial" w:hAnsi="Arial"/>
                <w:sz w:val="16"/>
              </w:rPr>
              <w:t>Quezon held 72.00% of mapped-territory Net CP revenue</w:t>
            </w:r>
          </w:p>
        </w:tc>
        <w:tc>
          <w:tcPr>
            <w:tcW w:type="dxa" w:w="3384"/>
            <w:tcMar>
              <w:top w:w="70" w:type="dxa"/>
              <w:start w:w="90" w:type="dxa"/>
              <w:bottom w:w="70" w:type="dxa"/>
              <w:end w:w="90" w:type="dxa"/>
            </w:tcMar>
            <w:vAlign w:val="center"/>
          </w:tcPr>
          <w:p>
            <w:pPr>
              <w:spacing w:after="0" w:line="252" w:lineRule="auto"/>
            </w:pPr>
            <w:r>
              <w:rPr>
                <w:rFonts w:ascii="Arial" w:hAnsi="Arial"/>
                <w:sz w:val="16"/>
              </w:rPr>
              <w:t>The result supported the review of high-contribution areas while estimated contract allocations remained separate.</w:t>
            </w:r>
          </w:p>
        </w:tc>
      </w:tr>
      <w:tr>
        <w:trPr>
          <w:cantSplit/>
        </w:trPr>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Product rankings required master-data review.</w:t>
            </w:r>
          </w:p>
        </w:tc>
        <w:tc>
          <w:tcPr>
            <w:tcW w:type="dxa" w:w="3672"/>
            <w:tcMar>
              <w:top w:w="70" w:type="dxa"/>
              <w:start w:w="90" w:type="dxa"/>
              <w:bottom w:w="70" w:type="dxa"/>
              <w:end w:w="90" w:type="dxa"/>
            </w:tcMar>
            <w:vAlign w:val="center"/>
            <w:shd w:fill="EAF3F8"/>
          </w:tcPr>
          <w:p>
            <w:pPr>
              <w:spacing w:after="0" w:line="252" w:lineRule="auto"/>
            </w:pPr>
            <w:r>
              <w:rPr>
                <w:rFonts w:ascii="Arial" w:hAnsi="Arial"/>
                <w:sz w:val="16"/>
              </w:rPr>
              <w:t>4,483 product labels; nonpharmaceutical labels appeared in the top revenue list</w:t>
            </w:r>
          </w:p>
        </w:tc>
        <w:tc>
          <w:tcPr>
            <w:tcW w:type="dxa" w:w="3384"/>
            <w:tcMar>
              <w:top w:w="70" w:type="dxa"/>
              <w:start w:w="90" w:type="dxa"/>
              <w:bottom w:w="70" w:type="dxa"/>
              <w:end w:w="90" w:type="dxa"/>
            </w:tcMar>
            <w:vAlign w:val="center"/>
            <w:shd w:fill="EAF3F8"/>
          </w:tcPr>
          <w:p>
            <w:pPr>
              <w:spacing w:after="0" w:line="252" w:lineRule="auto"/>
            </w:pPr>
            <w:r>
              <w:rPr>
                <w:rFonts w:ascii="Arial" w:hAnsi="Arial"/>
                <w:sz w:val="16"/>
              </w:rPr>
              <w:t>Canonical SKU and therapeutic mappings required approval before procurement use.</w:t>
            </w:r>
          </w:p>
        </w:tc>
      </w:tr>
      <w:tr>
        <w:trPr>
          <w:cantSplit/>
        </w:trPr>
        <w:tc>
          <w:tcPr>
            <w:tcW w:type="dxa" w:w="2880"/>
            <w:tcMar>
              <w:top w:w="70" w:type="dxa"/>
              <w:start w:w="90" w:type="dxa"/>
              <w:bottom w:w="70" w:type="dxa"/>
              <w:end w:w="90" w:type="dxa"/>
            </w:tcMar>
            <w:vAlign w:val="center"/>
          </w:tcPr>
          <w:p>
            <w:pPr>
              <w:spacing w:after="0" w:line="252" w:lineRule="auto"/>
            </w:pPr>
            <w:r>
              <w:rPr>
                <w:rFonts w:ascii="Arial" w:hAnsi="Arial"/>
                <w:sz w:val="16"/>
              </w:rPr>
              <w:t>Forecasting required a governed model portfolio.</w:t>
            </w:r>
          </w:p>
        </w:tc>
        <w:tc>
          <w:tcPr>
            <w:tcW w:type="dxa" w:w="3672"/>
            <w:tcMar>
              <w:top w:w="70" w:type="dxa"/>
              <w:start w:w="90" w:type="dxa"/>
              <w:bottom w:w="70" w:type="dxa"/>
              <w:end w:w="90" w:type="dxa"/>
            </w:tcMar>
            <w:vAlign w:val="center"/>
          </w:tcPr>
          <w:p>
            <w:pPr>
              <w:spacing w:after="0" w:line="252" w:lineRule="auto"/>
            </w:pPr>
            <w:r>
              <w:rPr>
                <w:rFonts w:ascii="Arial" w:hAnsi="Arial"/>
                <w:sz w:val="16"/>
              </w:rPr>
              <w:t>Classical and advanced candidates were evaluated; challengers improved some MAE values but worsened RMSE/MAPE</w:t>
            </w:r>
          </w:p>
        </w:tc>
        <w:tc>
          <w:tcPr>
            <w:tcW w:type="dxa" w:w="3384"/>
            <w:tcMar>
              <w:top w:w="70" w:type="dxa"/>
              <w:start w:w="90" w:type="dxa"/>
              <w:bottom w:w="70" w:type="dxa"/>
              <w:end w:w="90" w:type="dxa"/>
            </w:tcMar>
            <w:vAlign w:val="center"/>
          </w:tcPr>
          <w:p>
            <w:pPr>
              <w:spacing w:after="0" w:line="252" w:lineRule="auto"/>
            </w:pPr>
            <w:r>
              <w:rPr>
                <w:rFonts w:ascii="Arial" w:hAnsi="Arial"/>
                <w:sz w:val="16"/>
              </w:rPr>
              <w:t>The comparison supported common-holdout retraining and validated fallback substitution rather than automatic promotion.</w:t>
            </w:r>
          </w:p>
        </w:tc>
      </w:tr>
      <w:tr>
        <w:trPr>
          <w:cantSplit/>
        </w:trPr>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Prescriptive what-if analysis was substantially implemented.</w:t>
            </w:r>
          </w:p>
        </w:tc>
        <w:tc>
          <w:tcPr>
            <w:tcW w:type="dxa" w:w="3672"/>
            <w:tcMar>
              <w:top w:w="70" w:type="dxa"/>
              <w:start w:w="90" w:type="dxa"/>
              <w:bottom w:w="70" w:type="dxa"/>
              <w:end w:w="90" w:type="dxa"/>
            </w:tcMar>
            <w:vAlign w:val="center"/>
            <w:shd w:fill="EAF3F8"/>
          </w:tcPr>
          <w:p>
            <w:pPr>
              <w:spacing w:after="0" w:line="252" w:lineRule="auto"/>
            </w:pPr>
            <w:r>
              <w:rPr>
                <w:rFonts w:ascii="Arial" w:hAnsi="Arial"/>
                <w:sz w:val="16"/>
              </w:rPr>
              <w:t>EOQ/ROP references, MCDA sensitivity, MILP allocation, infeasibility handling, scenario presets, and a ≤5% expiry guardrail</w:t>
            </w:r>
          </w:p>
        </w:tc>
        <w:tc>
          <w:tcPr>
            <w:tcW w:type="dxa" w:w="3384"/>
            <w:tcMar>
              <w:top w:w="70" w:type="dxa"/>
              <w:start w:w="90" w:type="dxa"/>
              <w:bottom w:w="70" w:type="dxa"/>
              <w:end w:w="90" w:type="dxa"/>
            </w:tcMar>
            <w:vAlign w:val="center"/>
            <w:shd w:fill="EAF3F8"/>
          </w:tcPr>
          <w:p>
            <w:pPr>
              <w:spacing w:after="0" w:line="252" w:lineRule="auto"/>
            </w:pPr>
            <w:r>
              <w:rPr>
                <w:rFonts w:ascii="Arial" w:hAnsi="Arial"/>
                <w:sz w:val="16"/>
              </w:rPr>
              <w:t>The DSS supported scenario comparison and review, while realized wastage required separate post-implementation validation.</w:t>
            </w:r>
          </w:p>
        </w:tc>
      </w:tr>
    </w:tbl>
    <w:p>
      <w:pPr>
        <w:keepNext w:val="0"/>
        <w:widowControl/>
        <w:spacing w:after="140"/>
      </w:pPr>
      <w:r>
        <w:rPr>
          <w:rFonts w:ascii="Arial" w:hAnsi="Arial"/>
          <w:i/>
          <w:color w:val="64748B"/>
          <w:sz w:val="16"/>
        </w:rPr>
        <w:t>Source note: Synthesis of observed, model-derived, and scenario evidence in Sections 4.1–4.3.</w:t>
      </w:r>
    </w:p>
    <w:p>
      <w:pPr>
        <w:pStyle w:val="Heading2"/>
        <w:widowControl/>
      </w:pPr>
      <w:r>
        <w:rPr>
          <w:rFonts w:ascii="Arial" w:hAnsi="Arial"/>
        </w:rPr>
        <w:t>4.4.2 Objective–Evidence Matrix</w:t>
      </w:r>
    </w:p>
    <w:p>
      <w:pPr>
        <w:widowControl/>
      </w:pPr>
      <w:r>
        <w:rPr>
          <w:rFonts w:ascii="Arial" w:hAnsi="Arial"/>
          <w:i w:val="0"/>
        </w:rPr>
        <w:t>Evidence completeness was calculated by dividing the passed measures by the completion measures defined in the North Star reference. It was not treated as a subjective percentage of coding effort. A measure received credit only when a reproducible repository output existed at the required grain and within the required validation boundary.</w:t>
      </w:r>
    </w:p>
    <w:p>
      <w:pPr>
        <w:keepNext/>
        <w:widowControl/>
        <w:jc w:val="center"/>
      </w:pPr>
      <w:r>
        <w:rPr>
          <w:rFonts w:ascii="Arial" w:hAnsi="Arial"/>
          <w:b/>
          <w:i/>
          <w:sz w:val="19"/>
        </w:rPr>
        <w:t>Table 4.11 Objective–evidence matrix and evidence completeness</w:t>
      </w:r>
    </w:p>
    <w:tbl>
      <w:tblPr>
        <w:tblW w:type="auto" w:w="0"/>
        <w:jc w:val="center"/>
        <w:tblLayout w:type="fixed"/>
        <w:tblLook w:firstColumn="1" w:firstRow="1" w:lastColumn="0" w:lastRow="0" w:noHBand="0" w:noVBand="1" w:val="04A0"/>
        <w:tblBorders>
          <w:top w:val="single" w:sz="4" w:color="C9D5DD"/>
          <w:left w:val="single" w:sz="4" w:color="C9D5DD"/>
          <w:bottom w:val="single" w:sz="4" w:color="C9D5DD"/>
          <w:right w:val="single" w:sz="4" w:color="C9D5DD"/>
          <w:insideH w:val="single" w:sz="4" w:color="C9D5DD"/>
          <w:insideV w:val="single" w:sz="4" w:color="C9D5DD"/>
        </w:tblBorders>
      </w:tblPr>
      <w:tblGrid>
        <w:gridCol w:w="1987"/>
        <w:gridCol w:w="1987"/>
        <w:gridCol w:w="1987"/>
        <w:gridCol w:w="1987"/>
        <w:gridCol w:w="1987"/>
      </w:tblGrid>
      <w:tr>
        <w:trPr>
          <w:tblHeader w:val="true"/>
        </w:trPr>
        <w:tc>
          <w:tcPr>
            <w:tcW w:type="dxa" w:w="1080"/>
            <w:shd w:fill="2A6F9E"/>
            <w:tcMar>
              <w:top w:w="70" w:type="dxa"/>
              <w:start w:w="90" w:type="dxa"/>
              <w:bottom w:w="70" w:type="dxa"/>
              <w:end w:w="90" w:type="dxa"/>
            </w:tcMar>
            <w:vAlign w:val="center"/>
          </w:tcPr>
          <w:p>
            <w:pPr>
              <w:jc w:val="center"/>
            </w:pPr>
            <w:r>
              <w:rPr>
                <w:b/>
                <w:color w:val="FFFFFF"/>
                <w:sz w:val="17"/>
              </w:rPr>
              <w:t>Objective</w:t>
            </w:r>
          </w:p>
        </w:tc>
        <w:tc>
          <w:tcPr>
            <w:tcW w:type="dxa" w:w="2880"/>
            <w:shd w:fill="2A6F9E"/>
            <w:tcMar>
              <w:top w:w="70" w:type="dxa"/>
              <w:start w:w="90" w:type="dxa"/>
              <w:bottom w:w="70" w:type="dxa"/>
              <w:end w:w="90" w:type="dxa"/>
            </w:tcMar>
            <w:vAlign w:val="center"/>
          </w:tcPr>
          <w:p>
            <w:pPr>
              <w:jc w:val="center"/>
            </w:pPr>
            <w:r>
              <w:rPr>
                <w:b/>
                <w:color w:val="FFFFFF"/>
                <w:sz w:val="17"/>
              </w:rPr>
              <w:t>Required result</w:t>
            </w:r>
          </w:p>
        </w:tc>
        <w:tc>
          <w:tcPr>
            <w:tcW w:type="dxa" w:w="2376"/>
            <w:shd w:fill="2A6F9E"/>
            <w:tcMar>
              <w:top w:w="70" w:type="dxa"/>
              <w:start w:w="90" w:type="dxa"/>
              <w:bottom w:w="70" w:type="dxa"/>
              <w:end w:w="90" w:type="dxa"/>
            </w:tcMar>
            <w:vAlign w:val="center"/>
          </w:tcPr>
          <w:p>
            <w:pPr>
              <w:jc w:val="center"/>
            </w:pPr>
            <w:r>
              <w:rPr>
                <w:b/>
                <w:color w:val="FFFFFF"/>
                <w:sz w:val="17"/>
              </w:rPr>
              <w:t>Available evidence</w:t>
            </w:r>
          </w:p>
        </w:tc>
        <w:tc>
          <w:tcPr>
            <w:tcW w:type="dxa" w:w="1512"/>
            <w:shd w:fill="2A6F9E"/>
            <w:tcMar>
              <w:top w:w="70" w:type="dxa"/>
              <w:start w:w="90" w:type="dxa"/>
              <w:bottom w:w="70" w:type="dxa"/>
              <w:end w:w="90" w:type="dxa"/>
            </w:tcMar>
            <w:vAlign w:val="center"/>
          </w:tcPr>
          <w:p>
            <w:pPr>
              <w:jc w:val="center"/>
            </w:pPr>
            <w:r>
              <w:rPr>
                <w:b/>
                <w:color w:val="FFFFFF"/>
                <w:sz w:val="17"/>
              </w:rPr>
              <w:t>Evidence completeness</w:t>
            </w:r>
          </w:p>
        </w:tc>
        <w:tc>
          <w:tcPr>
            <w:tcW w:type="dxa" w:w="2088"/>
            <w:shd w:fill="2A6F9E"/>
            <w:tcMar>
              <w:top w:w="70" w:type="dxa"/>
              <w:start w:w="90" w:type="dxa"/>
              <w:bottom w:w="70" w:type="dxa"/>
              <w:end w:w="90" w:type="dxa"/>
            </w:tcMar>
            <w:vAlign w:val="center"/>
          </w:tcPr>
          <w:p>
            <w:pPr>
              <w:jc w:val="center"/>
            </w:pPr>
            <w:r>
              <w:rPr>
                <w:b/>
                <w:color w:val="FFFFFF"/>
                <w:sz w:val="17"/>
              </w:rPr>
              <w:t>Remaining gap</w:t>
            </w:r>
          </w:p>
        </w:tc>
      </w:tr>
      <w:tr>
        <w:trPr>
          <w:cantSplit/>
        </w:trPr>
        <w:tc>
          <w:tcPr>
            <w:tcW w:type="dxa" w:w="1080"/>
            <w:tcMar>
              <w:top w:w="70" w:type="dxa"/>
              <w:start w:w="90" w:type="dxa"/>
              <w:bottom w:w="70" w:type="dxa"/>
              <w:end w:w="90" w:type="dxa"/>
            </w:tcMar>
            <w:vAlign w:val="center"/>
          </w:tcPr>
          <w:p>
            <w:pPr>
              <w:spacing w:after="0" w:line="252" w:lineRule="auto"/>
            </w:pPr>
            <w:r>
              <w:rPr>
                <w:rFonts w:ascii="Arial" w:hAnsi="Arial"/>
                <w:sz w:val="16"/>
              </w:rPr>
              <w:t>General objective</w:t>
            </w:r>
          </w:p>
        </w:tc>
        <w:tc>
          <w:tcPr>
            <w:tcW w:type="dxa" w:w="2880"/>
            <w:tcMar>
              <w:top w:w="70" w:type="dxa"/>
              <w:start w:w="90" w:type="dxa"/>
              <w:bottom w:w="70" w:type="dxa"/>
              <w:end w:w="90" w:type="dxa"/>
            </w:tcMar>
            <w:vAlign w:val="center"/>
          </w:tcPr>
          <w:p>
            <w:pPr>
              <w:spacing w:after="0" w:line="252" w:lineRule="auto"/>
            </w:pPr>
            <w:r>
              <w:rPr>
                <w:rFonts w:ascii="Arial" w:hAnsi="Arial"/>
                <w:sz w:val="16"/>
              </w:rPr>
              <w:t>Integrated descriptive, predictive, and prescriptive DSS by December 2026</w:t>
            </w:r>
          </w:p>
        </w:tc>
        <w:tc>
          <w:tcPr>
            <w:tcW w:type="dxa" w:w="2376"/>
            <w:tcMar>
              <w:top w:w="70" w:type="dxa"/>
              <w:start w:w="90" w:type="dxa"/>
              <w:bottom w:w="70" w:type="dxa"/>
              <w:end w:w="90" w:type="dxa"/>
            </w:tcMar>
            <w:vAlign w:val="center"/>
          </w:tcPr>
          <w:p>
            <w:pPr>
              <w:spacing w:after="0" w:line="252" w:lineRule="auto"/>
            </w:pPr>
            <w:r>
              <w:rPr>
                <w:rFonts w:ascii="Arial" w:hAnsi="Arial"/>
                <w:sz w:val="16"/>
              </w:rPr>
              <w:t>Five-module workflow, evidence status, QA</w:t>
            </w:r>
          </w:p>
        </w:tc>
        <w:tc>
          <w:tcPr>
            <w:tcW w:type="dxa" w:w="1512"/>
            <w:tcMar>
              <w:top w:w="70" w:type="dxa"/>
              <w:start w:w="90" w:type="dxa"/>
              <w:bottom w:w="70" w:type="dxa"/>
              <w:end w:w="90" w:type="dxa"/>
            </w:tcMar>
            <w:vAlign w:val="center"/>
          </w:tcPr>
          <w:p>
            <w:pPr>
              <w:spacing w:after="0" w:line="252" w:lineRule="auto"/>
            </w:pPr>
            <w:r>
              <w:rPr>
                <w:rFonts w:ascii="Arial" w:hAnsi="Arial"/>
                <w:sz w:val="16"/>
              </w:rPr>
              <w:t>Partially achieved</w:t>
            </w:r>
          </w:p>
        </w:tc>
        <w:tc>
          <w:tcPr>
            <w:tcW w:type="dxa" w:w="2088"/>
            <w:tcMar>
              <w:top w:w="70" w:type="dxa"/>
              <w:start w:w="90" w:type="dxa"/>
              <w:bottom w:w="70" w:type="dxa"/>
              <w:end w:w="90" w:type="dxa"/>
            </w:tcMar>
            <w:vAlign w:val="center"/>
          </w:tcPr>
          <w:p>
            <w:pPr>
              <w:spacing w:after="0" w:line="252" w:lineRule="auto"/>
            </w:pPr>
            <w:r>
              <w:rPr>
                <w:rFonts w:ascii="Arial" w:hAnsi="Arial"/>
                <w:sz w:val="16"/>
              </w:rPr>
              <w:t>The system was integrated, but operational outcome evidence was not yet available.</w:t>
            </w:r>
          </w:p>
        </w:tc>
      </w:tr>
      <w:tr>
        <w:trPr>
          <w:cantSplit/>
        </w:trPr>
        <w:tc>
          <w:tcPr>
            <w:tcW w:type="dxa" w:w="1080"/>
            <w:tcMar>
              <w:top w:w="70" w:type="dxa"/>
              <w:start w:w="90" w:type="dxa"/>
              <w:bottom w:w="70" w:type="dxa"/>
              <w:end w:w="90" w:type="dxa"/>
            </w:tcMar>
            <w:vAlign w:val="center"/>
            <w:shd w:fill="EAF3F8"/>
          </w:tcPr>
          <w:p>
            <w:pPr>
              <w:spacing w:after="0" w:line="252" w:lineRule="auto"/>
            </w:pPr>
            <w:r>
              <w:rPr>
                <w:rFonts w:ascii="Arial" w:hAnsi="Arial"/>
                <w:sz w:val="16"/>
              </w:rPr>
              <w:t>SO1</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Analyze 2017–2026 sales across CALABARZON, MIMAROPA, and Bicol using YoY and STL</w:t>
            </w:r>
          </w:p>
        </w:tc>
        <w:tc>
          <w:tcPr>
            <w:tcW w:type="dxa" w:w="2376"/>
            <w:tcMar>
              <w:top w:w="70" w:type="dxa"/>
              <w:start w:w="90" w:type="dxa"/>
              <w:bottom w:w="70" w:type="dxa"/>
              <w:end w:w="90" w:type="dxa"/>
            </w:tcMar>
            <w:vAlign w:val="center"/>
            <w:shd w:fill="EAF3F8"/>
          </w:tcPr>
          <w:p>
            <w:pPr>
              <w:spacing w:after="0" w:line="252" w:lineRule="auto"/>
            </w:pPr>
            <w:r>
              <w:rPr>
                <w:rFonts w:ascii="Arial" w:hAnsi="Arial"/>
                <w:sz w:val="16"/>
              </w:rPr>
              <w:t>Monthly calendar; 4 STL decompositions; 2 eligible study-region series</w:t>
            </w:r>
          </w:p>
        </w:tc>
        <w:tc>
          <w:tcPr>
            <w:tcW w:type="dxa" w:w="1512"/>
            <w:tcMar>
              <w:top w:w="70" w:type="dxa"/>
              <w:start w:w="90" w:type="dxa"/>
              <w:bottom w:w="70" w:type="dxa"/>
              <w:end w:w="90" w:type="dxa"/>
            </w:tcMar>
            <w:vAlign w:val="center"/>
            <w:shd w:fill="EAF3F8"/>
          </w:tcPr>
          <w:p>
            <w:pPr>
              <w:spacing w:after="0" w:line="252" w:lineRule="auto"/>
            </w:pPr>
            <w:r>
              <w:rPr>
                <w:rFonts w:ascii="Arial" w:hAnsi="Arial"/>
                <w:sz w:val="16"/>
              </w:rPr>
              <w:t>71% (5/7)</w:t>
            </w:r>
          </w:p>
        </w:tc>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Validated actuals ended in Dec 2025; 2026 YTD transactions through 23 Sep 2026 were unavailable, while historical Net CP and mapping gaps remained.</w:t>
            </w:r>
          </w:p>
        </w:tc>
      </w:tr>
      <w:tr>
        <w:trPr>
          <w:cantSplit/>
        </w:trPr>
        <w:tc>
          <w:tcPr>
            <w:tcW w:type="dxa" w:w="1080"/>
            <w:tcMar>
              <w:top w:w="70" w:type="dxa"/>
              <w:start w:w="90" w:type="dxa"/>
              <w:bottom w:w="70" w:type="dxa"/>
              <w:end w:w="90" w:type="dxa"/>
            </w:tcMar>
            <w:vAlign w:val="center"/>
          </w:tcPr>
          <w:p>
            <w:pPr>
              <w:spacing w:after="0" w:line="252" w:lineRule="auto"/>
            </w:pPr>
            <w:r>
              <w:rPr>
                <w:rFonts w:ascii="Arial" w:hAnsi="Arial"/>
                <w:sz w:val="16"/>
              </w:rPr>
              <w:t>SO2</w:t>
            </w:r>
          </w:p>
        </w:tc>
        <w:tc>
          <w:tcPr>
            <w:tcW w:type="dxa" w:w="2880"/>
            <w:tcMar>
              <w:top w:w="70" w:type="dxa"/>
              <w:start w:w="90" w:type="dxa"/>
              <w:bottom w:w="70" w:type="dxa"/>
              <w:end w:w="90" w:type="dxa"/>
            </w:tcMar>
            <w:vAlign w:val="center"/>
          </w:tcPr>
          <w:p>
            <w:pPr>
              <w:spacing w:after="0" w:line="252" w:lineRule="auto"/>
            </w:pPr>
            <w:r>
              <w:rPr>
                <w:rFonts w:ascii="Arial" w:hAnsi="Arial"/>
                <w:sz w:val="16"/>
              </w:rPr>
              <w:t>Prioritize territories, accounts, and SKUs using volume, revenue, growth, Pareto/ABC, and XGBoost</w:t>
            </w:r>
          </w:p>
        </w:tc>
        <w:tc>
          <w:tcPr>
            <w:tcW w:type="dxa" w:w="2376"/>
            <w:tcMar>
              <w:top w:w="70" w:type="dxa"/>
              <w:start w:w="90" w:type="dxa"/>
              <w:bottom w:w="70" w:type="dxa"/>
              <w:end w:w="90" w:type="dxa"/>
            </w:tcMar>
            <w:vAlign w:val="center"/>
          </w:tcPr>
          <w:p>
            <w:pPr>
              <w:spacing w:after="0" w:line="252" w:lineRule="auto"/>
            </w:pPr>
            <w:r>
              <w:rPr>
                <w:rFonts w:ascii="Arial" w:hAnsi="Arial"/>
                <w:sz w:val="16"/>
              </w:rPr>
              <w:t>Pareto/ABC–VEN, MCDA sensitivity, four-group regional rollup, area drilldown, buyer rules, and mapping coverage</w:t>
            </w:r>
          </w:p>
        </w:tc>
        <w:tc>
          <w:tcPr>
            <w:tcW w:type="dxa" w:w="1512"/>
            <w:tcMar>
              <w:top w:w="70" w:type="dxa"/>
              <w:start w:w="90" w:type="dxa"/>
              <w:bottom w:w="70" w:type="dxa"/>
              <w:end w:w="90" w:type="dxa"/>
            </w:tcMar>
            <w:vAlign w:val="center"/>
          </w:tcPr>
          <w:p>
            <w:pPr>
              <w:spacing w:after="0" w:line="252" w:lineRule="auto"/>
            </w:pPr>
            <w:r>
              <w:rPr>
                <w:rFonts w:ascii="Arial" w:hAnsi="Arial"/>
                <w:sz w:val="16"/>
              </w:rPr>
              <w:t>67% (4/6)</w:t>
            </w:r>
          </w:p>
        </w:tc>
        <w:tc>
          <w:tcPr>
            <w:tcW w:type="dxa" w:w="2088"/>
            <w:tcMar>
              <w:top w:w="70" w:type="dxa"/>
              <w:start w:w="90" w:type="dxa"/>
              <w:bottom w:w="70" w:type="dxa"/>
              <w:end w:w="90" w:type="dxa"/>
            </w:tcMar>
            <w:vAlign w:val="center"/>
          </w:tcPr>
          <w:p>
            <w:pPr>
              <w:spacing w:after="0" w:line="252" w:lineRule="auto"/>
            </w:pPr>
            <w:r>
              <w:rPr>
                <w:rFonts w:ascii="Arial" w:hAnsi="Arial"/>
                <w:sz w:val="16"/>
              </w:rPr>
              <w:t>Deterministic priority was reproducible; canonical clinical/product mapping and validated XGBoost evidence remained incomplete.</w:t>
            </w:r>
          </w:p>
        </w:tc>
      </w:tr>
      <w:tr>
        <w:trPr>
          <w:cantSplit/>
        </w:trPr>
        <w:tc>
          <w:tcPr>
            <w:tcW w:type="dxa" w:w="1080"/>
            <w:tcMar>
              <w:top w:w="70" w:type="dxa"/>
              <w:start w:w="90" w:type="dxa"/>
              <w:bottom w:w="70" w:type="dxa"/>
              <w:end w:w="90" w:type="dxa"/>
            </w:tcMar>
            <w:vAlign w:val="center"/>
            <w:shd w:fill="EAF3F8"/>
          </w:tcPr>
          <w:p>
            <w:pPr>
              <w:spacing w:after="0" w:line="252" w:lineRule="auto"/>
            </w:pPr>
            <w:r>
              <w:rPr>
                <w:rFonts w:ascii="Arial" w:hAnsi="Arial"/>
                <w:sz w:val="16"/>
              </w:rPr>
              <w:t>SO3</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Forecast product-region demand for rolling next-3-, next-6-, or next-12-month horizons through a champion–challenger portfolio: Prophet/XGBoost with DII/RSI plus classical fallback models</w:t>
            </w:r>
          </w:p>
        </w:tc>
        <w:tc>
          <w:tcPr>
            <w:tcW w:type="dxa" w:w="2376"/>
            <w:tcMar>
              <w:top w:w="70" w:type="dxa"/>
              <w:start w:w="90" w:type="dxa"/>
              <w:bottom w:w="70" w:type="dxa"/>
              <w:end w:w="90" w:type="dxa"/>
            </w:tcMar>
            <w:vAlign w:val="center"/>
            <w:shd w:fill="EAF3F8"/>
          </w:tcPr>
          <w:p>
            <w:pPr>
              <w:spacing w:after="0" w:line="252" w:lineRule="auto"/>
            </w:pPr>
            <w:r>
              <w:rPr>
                <w:rFonts w:ascii="Arial" w:hAnsi="Arial"/>
                <w:sz w:val="16"/>
              </w:rPr>
              <w:t>Dynamic next-month window; naive benchmarks; Holt–Winters/ARIMA/SARIMA/SARIMAX tests; advanced challenger evaluation; aggregate forecast artifact</w:t>
            </w:r>
          </w:p>
        </w:tc>
        <w:tc>
          <w:tcPr>
            <w:tcW w:type="dxa" w:w="1512"/>
            <w:tcMar>
              <w:top w:w="70" w:type="dxa"/>
              <w:start w:w="90" w:type="dxa"/>
              <w:bottom w:w="70" w:type="dxa"/>
              <w:end w:w="90" w:type="dxa"/>
            </w:tcMar>
            <w:vAlign w:val="center"/>
            <w:shd w:fill="EAF3F8"/>
          </w:tcPr>
          <w:p>
            <w:pPr>
              <w:spacing w:after="0" w:line="252" w:lineRule="auto"/>
            </w:pPr>
            <w:r>
              <w:rPr>
                <w:rFonts w:ascii="Arial" w:hAnsi="Arial"/>
                <w:sz w:val="16"/>
              </w:rPr>
              <w:t>57% (4/7)</w:t>
            </w:r>
          </w:p>
        </w:tc>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No final common-holdout product-region champion was published; automated retraining, registry promotion, and controlled substitution were not production-complete.</w:t>
            </w:r>
          </w:p>
        </w:tc>
      </w:tr>
      <w:tr>
        <w:trPr>
          <w:cantSplit/>
        </w:trPr>
        <w:tc>
          <w:tcPr>
            <w:tcW w:type="dxa" w:w="1080"/>
            <w:tcMar>
              <w:top w:w="70" w:type="dxa"/>
              <w:start w:w="90" w:type="dxa"/>
              <w:bottom w:w="70" w:type="dxa"/>
              <w:end w:w="90" w:type="dxa"/>
            </w:tcMar>
            <w:vAlign w:val="center"/>
          </w:tcPr>
          <w:p>
            <w:pPr>
              <w:spacing w:after="0" w:line="252" w:lineRule="auto"/>
            </w:pPr>
            <w:r>
              <w:rPr>
                <w:rFonts w:ascii="Arial" w:hAnsi="Arial"/>
                <w:sz w:val="16"/>
              </w:rPr>
              <w:t>SO4</w:t>
            </w:r>
          </w:p>
        </w:tc>
        <w:tc>
          <w:tcPr>
            <w:tcW w:type="dxa" w:w="2880"/>
            <w:tcMar>
              <w:top w:w="70" w:type="dxa"/>
              <w:start w:w="90" w:type="dxa"/>
              <w:bottom w:w="70" w:type="dxa"/>
              <w:end w:w="90" w:type="dxa"/>
            </w:tcMar>
            <w:vAlign w:val="center"/>
          </w:tcPr>
          <w:p>
            <w:pPr>
              <w:spacing w:after="0" w:line="252" w:lineRule="auto"/>
            </w:pPr>
            <w:r>
              <w:rPr>
                <w:rFonts w:ascii="Arial" w:hAnsi="Arial"/>
                <w:sz w:val="16"/>
              </w:rPr>
              <w:t>Optimize procurement and enforce an expiry-wastage scenario threshold ≤5% using EOQ, ROP, LP, and MCDA</w:t>
            </w:r>
          </w:p>
        </w:tc>
        <w:tc>
          <w:tcPr>
            <w:tcW w:type="dxa" w:w="2376"/>
            <w:tcMar>
              <w:top w:w="70" w:type="dxa"/>
              <w:start w:w="90" w:type="dxa"/>
              <w:bottom w:w="70" w:type="dxa"/>
              <w:end w:w="90" w:type="dxa"/>
            </w:tcMar>
            <w:vAlign w:val="center"/>
          </w:tcPr>
          <w:p>
            <w:pPr>
              <w:spacing w:after="0" w:line="252" w:lineRule="auto"/>
            </w:pPr>
            <w:r>
              <w:rPr>
                <w:rFonts w:ascii="Arial" w:hAnsi="Arial"/>
                <w:sz w:val="16"/>
              </w:rPr>
              <w:t>EOQ/ROP/SS scenarios; MCDA sensitivity; MILP allocation; presets; infeasibility and threshold guardrails</w:t>
            </w:r>
          </w:p>
        </w:tc>
        <w:tc>
          <w:tcPr>
            <w:tcW w:type="dxa" w:w="1512"/>
            <w:tcMar>
              <w:top w:w="70" w:type="dxa"/>
              <w:start w:w="90" w:type="dxa"/>
              <w:bottom w:w="70" w:type="dxa"/>
              <w:end w:w="90" w:type="dxa"/>
            </w:tcMar>
            <w:vAlign w:val="center"/>
          </w:tcPr>
          <w:p>
            <w:pPr>
              <w:spacing w:after="0" w:line="252" w:lineRule="auto"/>
            </w:pPr>
            <w:r>
              <w:rPr>
                <w:rFonts w:ascii="Arial" w:hAnsi="Arial"/>
                <w:sz w:val="16"/>
              </w:rPr>
              <w:t>86% (6/7)</w:t>
            </w:r>
          </w:p>
        </w:tc>
        <w:tc>
          <w:tcPr>
            <w:tcW w:type="dxa" w:w="2088"/>
            <w:tcMar>
              <w:top w:w="70" w:type="dxa"/>
              <w:start w:w="90" w:type="dxa"/>
              <w:bottom w:w="70" w:type="dxa"/>
              <w:end w:w="90" w:type="dxa"/>
            </w:tcMar>
            <w:vAlign w:val="center"/>
          </w:tcPr>
          <w:p>
            <w:pPr>
              <w:spacing w:after="0" w:line="252" w:lineRule="auto"/>
            </w:pPr>
            <w:r>
              <w:rPr>
                <w:rFonts w:ascii="Arial" w:hAnsi="Arial"/>
                <w:sz w:val="16"/>
              </w:rPr>
              <w:t>Scenario methods were implemented; validation of the realized expiry outcome required post-implementation batch and write-off data.</w:t>
            </w:r>
          </w:p>
        </w:tc>
      </w:tr>
      <w:tr>
        <w:trPr>
          <w:cantSplit/>
        </w:trPr>
        <w:tc>
          <w:tcPr>
            <w:tcW w:type="dxa" w:w="1080"/>
            <w:tcMar>
              <w:top w:w="70" w:type="dxa"/>
              <w:start w:w="90" w:type="dxa"/>
              <w:bottom w:w="70" w:type="dxa"/>
              <w:end w:w="90" w:type="dxa"/>
            </w:tcMar>
            <w:vAlign w:val="center"/>
            <w:shd w:fill="EAF3F8"/>
          </w:tcPr>
          <w:p>
            <w:pPr>
              <w:spacing w:after="0" w:line="252" w:lineRule="auto"/>
            </w:pPr>
            <w:r>
              <w:rPr>
                <w:rFonts w:ascii="Arial" w:hAnsi="Arial"/>
                <w:sz w:val="16"/>
              </w:rPr>
              <w:t>SO5</w:t>
            </w:r>
          </w:p>
        </w:tc>
        <w:tc>
          <w:tcPr>
            <w:tcW w:type="dxa" w:w="2880"/>
            <w:tcMar>
              <w:top w:w="70" w:type="dxa"/>
              <w:start w:w="90" w:type="dxa"/>
              <w:bottom w:w="70" w:type="dxa"/>
              <w:end w:w="90" w:type="dxa"/>
            </w:tcMar>
            <w:vAlign w:val="center"/>
            <w:shd w:fill="EAF3F8"/>
          </w:tcPr>
          <w:p>
            <w:pPr>
              <w:spacing w:after="0" w:line="252" w:lineRule="auto"/>
            </w:pPr>
            <w:r>
              <w:rPr>
                <w:rFonts w:ascii="Arial" w:hAnsi="Arial"/>
                <w:sz w:val="16"/>
              </w:rPr>
              <w:t>Present five governed modules with upload validation, alerts, and recommendations</w:t>
            </w:r>
          </w:p>
        </w:tc>
        <w:tc>
          <w:tcPr>
            <w:tcW w:type="dxa" w:w="2376"/>
            <w:tcMar>
              <w:top w:w="70" w:type="dxa"/>
              <w:start w:w="90" w:type="dxa"/>
              <w:bottom w:w="70" w:type="dxa"/>
              <w:end w:w="90" w:type="dxa"/>
            </w:tcMar>
            <w:vAlign w:val="center"/>
            <w:shd w:fill="EAF3F8"/>
          </w:tcPr>
          <w:p>
            <w:pPr>
              <w:spacing w:after="0" w:line="252" w:lineRule="auto"/>
            </w:pPr>
            <w:r>
              <w:rPr>
                <w:rFonts w:ascii="Arial" w:hAnsi="Arial"/>
                <w:sz w:val="16"/>
              </w:rPr>
              <w:t>Five modules, ingestion validation, freshness/status, 57/57 historical checks, and 15 active current-runtime browser checks</w:t>
            </w:r>
          </w:p>
        </w:tc>
        <w:tc>
          <w:tcPr>
            <w:tcW w:type="dxa" w:w="1512"/>
            <w:tcMar>
              <w:top w:w="70" w:type="dxa"/>
              <w:start w:w="90" w:type="dxa"/>
              <w:bottom w:w="70" w:type="dxa"/>
              <w:end w:w="90" w:type="dxa"/>
            </w:tcMar>
            <w:vAlign w:val="center"/>
            <w:shd w:fill="EAF3F8"/>
          </w:tcPr>
          <w:p>
            <w:pPr>
              <w:spacing w:after="0" w:line="252" w:lineRule="auto"/>
            </w:pPr>
            <w:r>
              <w:rPr>
                <w:rFonts w:ascii="Arial" w:hAnsi="Arial"/>
                <w:sz w:val="16"/>
              </w:rPr>
              <w:t>43% (3/7)</w:t>
            </w:r>
          </w:p>
        </w:tc>
        <w:tc>
          <w:tcPr>
            <w:tcW w:type="dxa" w:w="2088"/>
            <w:tcMar>
              <w:top w:w="70" w:type="dxa"/>
              <w:start w:w="90" w:type="dxa"/>
              <w:bottom w:w="70" w:type="dxa"/>
              <w:end w:w="90" w:type="dxa"/>
            </w:tcMar>
            <w:vAlign w:val="center"/>
            <w:shd w:fill="EAF3F8"/>
          </w:tcPr>
          <w:p>
            <w:pPr>
              <w:spacing w:after="0" w:line="252" w:lineRule="auto"/>
            </w:pPr>
            <w:r>
              <w:rPr>
                <w:rFonts w:ascii="Arial" w:hAnsi="Arial"/>
                <w:sz w:val="16"/>
              </w:rPr>
              <w:t>Authenticated release acceptance, official alert validation, recommendation acknowledgement, and outcome capture remained incomplete.</w:t>
            </w:r>
          </w:p>
        </w:tc>
      </w:tr>
    </w:tbl>
    <w:p>
      <w:pPr>
        <w:keepNext w:val="0"/>
        <w:widowControl/>
        <w:spacing w:after="140"/>
      </w:pPr>
      <w:r>
        <w:rPr>
          <w:rFonts w:ascii="Arial" w:hAnsi="Arial"/>
          <w:i/>
          <w:color w:val="64748B"/>
          <w:sz w:val="16"/>
        </w:rPr>
        <w:t>Source note: North Star completion measures. Percentages measure available objective evidence, not total software effort.</w:t>
      </w:r>
    </w:p>
    <w:p>
      <w:pPr>
        <w:widowControl/>
      </w:pPr>
      <w:r>
        <w:rPr>
          <w:rFonts w:ascii="Arial" w:hAnsi="Arial"/>
          <w:i w:val="0"/>
        </w:rPr>
        <w:t>Across the five specific objectives, 22 of 34 defined evidence measures were reproducible, which was equivalent to 64.7% evidence completeness. SO3 comprised seven measures: eligible product-region data, simple benchmarks, classical candidate evaluation, advanced challenger evaluation, a forward forecast artifact, governed retraining and substitution, and approved publication. Four measures were supported by evidence, while common-holdout product-region validation, automated registry-controlled substitution, and final publication remained incomplete. SO4 contributed six completed scenario-method measures: EOQ, ROP with safety stock, MCDA sensitivity, constrained allocation, combined what-if and infeasibility controls, and the ≤5% policy guardrail. The remaining SO4 measure concerned realized expiry performance, which would require post-implementation batch, expiry, and write-off records. The percentage therefore distinguished decision-support implementation from operational outcome validation.</w:t>
      </w:r>
    </w:p>
    <w:p>
      <w:pPr>
        <w:pStyle w:val="Heading2"/>
        <w:widowControl/>
      </w:pPr>
      <w:r>
        <w:rPr>
          <w:rFonts w:ascii="Arial" w:hAnsi="Arial"/>
        </w:rPr>
        <w:t>4.4.3 Final Discussion</w:t>
      </w:r>
    </w:p>
    <w:p>
      <w:pPr>
        <w:widowControl/>
      </w:pPr>
      <w:r>
        <w:rPr>
          <w:rFonts w:ascii="Arial" w:hAnsi="Arial"/>
          <w:i w:val="0"/>
        </w:rPr>
        <w:t>The central result of the study was that MedShield could use a single DSS to connect historical sales visibility, seasonal demand analysis, priority ranking, forecast review, and scenario-based procurement planning, provided that evidence status remained explicit. The predictive layer was considered appropriate only for eligible product-region series and was designed to use a governed champion–challenger process. Each retraining run would compare advanced and classical candidates on the same holdout, retain the incumbent when no challenger qualified, substitute the best validated fallback when the incumbent failed, and withhold publication when every candidate was ineligible. The prescriptive layer served its intended decision-support purpose by allowing planners to change assumptions, compare presets, observe how constraints altered allocations, and submit a threshold-compliant scenario for review without allowing the system to execute a purchase.</w:t>
      </w:r>
    </w:p>
    <w:p>
      <w:pPr>
        <w:widowControl/>
      </w:pPr>
      <w:r>
        <w:rPr>
          <w:rFonts w:ascii="Arial" w:hAnsi="Arial"/>
          <w:i w:val="0"/>
        </w:rPr>
        <w:t>Accordingly, the ≤5% value was interpreted as a control threshold within the what-if analysis. Exceeding the threshold would invalidate the candidate plan and trigger constrained recalculation or an infeasible-scenario warning. This behavior made the logic defensible as a self-correcting planning control while preserving human approval. The study did not claim that MedShield had already achieved an actual wastage rate of 5% or less. The validation of realized performance would still require batch and expiry dates, inventory movements, approved recommendations, and write-off outcomes. The DSS demonstrated threshold enforcement during planning; subsequent operational records would determine whether the policy reduced wastage in practice.</w:t>
      </w:r>
    </w:p>
    <w:sectPr w:rsidR="00FC693F" w:rsidRPr="0006063C" w:rsidSect="00034616">
      <w:headerReference w:type="default" r:id="rId9"/>
      <w:footerReference w:type="default" r:id="rId10"/>
      <w:headerReference w:type="first" r:id="rId11"/>
      <w:footerReference w:type="first" r:id="rId12"/>
      <w:pgSz w:w="12240" w:h="15840"/>
      <w:pgMar w:top="1037"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64748B"/>
        <w:sz w:val="16"/>
      </w:rPr>
      <w:t>MEDSHIELD DECISION SUPPORT SYSTEM  |  CHAPTER 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07" w:after="120"/>
      <w:jc w:val="both"/>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20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 — MedShield DSS</dc:title>
  <dc:subject>Observed, model-derived, and scenario results aligned with the MedShield North Star</dc:subject>
  <dc:creator>MedShield Capstone Group 9</dc:creator>
  <cp:keywords>MedShield, DSS, Chapter 4, descriptive analytics, forecasting, prescriptive analytics</cp:keywords>
  <dc:description>generated by python-docx</dc:description>
  <cp:lastModifiedBy/>
  <cp:revision>1</cp:revision>
  <dcterms:created xsi:type="dcterms:W3CDTF">2013-12-23T23:15:00Z</dcterms:created>
  <dcterms:modified xsi:type="dcterms:W3CDTF">2013-12-23T23:15:00Z</dcterms:modified>
  <cp:category/>
</cp:coreProperties>
</file>