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4</w:t>
      </w:r>
    </w:p>
    <w:p>
      <w:pPr>
        <w:spacing w:after="360"/>
        <w:jc w:val="center"/>
      </w:pPr>
      <w:r>
        <w:rPr>
          <w:rFonts w:ascii="Times New Roman" w:hAnsi="Times New Roman" w:eastAsia="Times New Roman"/>
          <w:b/>
          <w:color w:val="000000"/>
          <w:sz w:val="30"/>
        </w:rPr>
        <w:t>RESULTS AND DISCUSSION</w:t>
      </w:r>
    </w:p>
    <w:p>
      <w:pPr>
        <w:keepLines w:val="0"/>
        <w:ind w:firstLine="720"/>
        <w:jc w:val="both"/>
      </w:pPr>
      <w:r>
        <w:t>The proponents examined how the MedShield Decision Support System answered the capstone questions using the results available at the time of review. The main result was a dashboard linked to 37,728 accepted sales records from 2017 to 2025. It showed missing months rather than treating them as zero sales and gave users ways to inspect products, areas, and forecasting results. The proponents also identified unfinished work. No forecast had been approved for operational use, external signals had not improved a published model, and inventory scenarios had not yet produced measured business outcomes.</w:t>
      </w:r>
    </w:p>
    <w:p>
      <w:pPr>
        <w:keepLines w:val="0"/>
        <w:ind w:firstLine="720"/>
        <w:jc w:val="both"/>
      </w:pPr>
      <w:r>
        <w:t>The discussion followed the proposal's guiding question: How could MedShield use historical sales, validated external signals, and planning scenarios to improve demand visibility and reduce expiry-driven inventory losses for the 2026 planning cycle? The proponents compared each objective with a result they could verify. Sales records, proposed mappings, model tests, weather proxies, and planning scenarios did not carry the same level of certainty. A working dashboard alone did not prove a reliable forecast or fewer expired products. Published research informed the methods, while MedShield records supplied the evidence for the reported results (Nguyen et al., 2021; World Health Organization, 2024).</w:t>
      </w:r>
    </w:p>
    <w:p>
      <w:pPr>
        <w:keepLines w:val="0"/>
        <w:ind w:firstLine="720"/>
        <w:jc w:val="both"/>
      </w:pPr>
      <w:r>
        <w:t>The latest observed MedShield sales month was December 2025. For elapsed months in 2026 without uploaded client records, the dashboard displayed estimates based on the same calendar months in earlier years. The proponents treated the estimates as temporary planning values while actual sales were pending. They did not include the estimates in historical totals or use them to judge forecast accuracy. Future 2026 months remained unavailable until the needed records or forecasts became available.</w:t>
      </w:r>
    </w:p>
    <w:p>
      <w:pPr>
        <w:pStyle w:val="Heading1"/>
        <w:keepNext/>
      </w:pPr>
      <w:r>
        <w:t>4.1 Presentation of Results</w:t>
      </w:r>
    </w:p>
    <w:p>
      <w:pPr>
        <w:keepLines w:val="0"/>
        <w:ind w:firstLine="720"/>
        <w:jc w:val="both"/>
      </w:pPr>
      <w:r>
        <w:t>Section 4.1 presented what the proponents completed and the data used to support the results. The section first compared the five objectives with the available outputs, then described the application and the quality of the sales record. Historical results came from observed transactions dated 2017 to 2025. Any displayed 2026 value without an uploaded actual carried an estimate label.</w:t>
      </w:r>
    </w:p>
    <w:p>
      <w:pPr>
        <w:pStyle w:val="Heading2"/>
        <w:keepNext/>
      </w:pPr>
      <w:r>
        <w:t>4.1.1 Alignment With the Research Questions and Objectives</w:t>
      </w:r>
    </w:p>
    <w:p>
      <w:pPr>
        <w:keepLines w:val="0"/>
        <w:ind w:firstLine="720"/>
        <w:jc w:val="both"/>
      </w:pPr>
      <w:r>
        <w:t>The proposal called for analysis of sales patterns, product and area priorities, demand forecasts with external signals, inventory decisions, and a five-module dashboard. The proponents made the most progress on sales analysis, prioritization, and presentation. They tested forecasting methods but did not approve one for release. The planning module solved scenarios with entered assumptions, although stock, expiry, lead-time, supplier, and cost records were unavailable for measuring a real reduction in wastage.</w:t>
      </w:r>
    </w:p>
    <w:p>
      <w:pPr>
        <w:pStyle w:val="Caption"/>
        <w:keepNext/>
        <w:pageBreakBefore w:val="0"/>
        <w:spacing w:after="80"/>
      </w:pPr>
      <w:r>
        <w:rPr>
          <w:rFonts w:ascii="Times New Roman" w:hAnsi="Times New Roman" w:eastAsia="Times New Roman"/>
          <w:b/>
          <w:color w:val="000000"/>
          <w:sz w:val="20"/>
        </w:rPr>
        <w:t>Table 4.1 Objective achievement audit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40"/>
        <w:gridCol w:w="2340"/>
        <w:gridCol w:w="2340"/>
        <w:gridCol w:w="2340"/>
      </w:tblGrid>
      <w:tr>
        <w:trPr>
          <w:tblHeader w:val="true"/>
          <w:cantSplit/>
        </w:trPr>
        <w:tc>
          <w:tcPr>
            <w:tcW w:type="dxa" w:w="1080"/>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Objective</w:t>
            </w:r>
          </w:p>
        </w:tc>
        <w:tc>
          <w:tcPr>
            <w:tcW w:type="dxa" w:w="2376"/>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Evidence expected</w:t>
            </w:r>
          </w:p>
        </w:tc>
        <w:tc>
          <w:tcPr>
            <w:tcW w:type="dxa" w:w="4320"/>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Observed result</w:t>
            </w:r>
          </w:p>
        </w:tc>
        <w:tc>
          <w:tcPr>
            <w:tcW w:type="dxa" w:w="1584"/>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Assessment</w:t>
            </w:r>
          </w:p>
        </w:tc>
      </w:tr>
      <w:tr>
        <w:trPr>
          <w:cantSplit/>
        </w:trPr>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SO1</w:t>
            </w:r>
          </w:p>
        </w:tc>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Sales performance, year-over-year patterns, and STL seasonality</w:t>
            </w:r>
          </w:p>
        </w:tc>
        <w:tc>
          <w:tcPr>
            <w:tcW w:type="dxa" w:w="4320"/>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Historical summaries and a 72-month STL decomposition were available. Ten earlier months remained unobserved, and the full geography mapping still needed owner approval.</w:t>
            </w:r>
          </w:p>
        </w:tc>
        <w:tc>
          <w:tcPr>
            <w:tcW w:type="dxa" w:w="1584"/>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Partially achieved</w:t>
            </w:r>
          </w:p>
        </w:tc>
      </w:tr>
      <w:tr>
        <w:trPr>
          <w:cantSplit/>
        </w:trPr>
        <w:tc>
          <w:tcPr>
            <w:tcW w:type="dxa" w:w="108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SO2</w:t>
            </w:r>
          </w:p>
        </w:tc>
        <w:tc>
          <w:tcPr>
            <w:tcW w:type="dxa" w:w="23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Product, territory, and account priorities using Pareto ABC and predictive scoring</w:t>
            </w:r>
          </w:p>
        </w:tc>
        <w:tc>
          <w:tcPr>
            <w:tcW w:type="dxa" w:w="4320"/>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Deterministic Pareto and ABC candidate views were implemented. Product labels were not approved SKUs, and no XGBoost classifier was published.</w:t>
            </w:r>
          </w:p>
        </w:tc>
        <w:tc>
          <w:tcPr>
            <w:tcW w:type="dxa" w:w="1584"/>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Partially achieved</w:t>
            </w:r>
          </w:p>
        </w:tc>
      </w:tr>
      <w:tr>
        <w:trPr>
          <w:cantSplit/>
        </w:trPr>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SO3</w:t>
            </w:r>
          </w:p>
        </w:tc>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Territory forecasts using sales, DII, RSI, Prophet, and XGBoost</w:t>
            </w:r>
          </w:p>
        </w:tc>
        <w:tc>
          <w:tcPr>
            <w:tcW w:type="dxa" w:w="4320"/>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Sales-only baselines and offline candidates were evaluated. External joins had zero forecast-eligible rows, and no model was approved or activated.</w:t>
            </w:r>
          </w:p>
        </w:tc>
        <w:tc>
          <w:tcPr>
            <w:tcW w:type="dxa" w:w="1584"/>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Not achieved for operational use at review</w:t>
            </w:r>
          </w:p>
        </w:tc>
      </w:tr>
      <w:tr>
        <w:trPr>
          <w:cantSplit/>
        </w:trPr>
        <w:tc>
          <w:tcPr>
            <w:tcW w:type="dxa" w:w="108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SO4</w:t>
            </w:r>
          </w:p>
        </w:tc>
        <w:tc>
          <w:tcPr>
            <w:tcW w:type="dxa" w:w="23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EOQ, ROP, and allocation decisions aimed at expiry wastage of at most 5 percent</w:t>
            </w:r>
          </w:p>
        </w:tc>
        <w:tc>
          <w:tcPr>
            <w:tcW w:type="dxa" w:w="4320"/>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The interface supported reviewed allocation scenarios. Real inventory and expiry outcomes were absent, so the 5 percent target was not tested.</w:t>
            </w:r>
          </w:p>
        </w:tc>
        <w:tc>
          <w:tcPr>
            <w:tcW w:type="dxa" w:w="1584"/>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Scenario capability only</w:t>
            </w:r>
          </w:p>
        </w:tc>
      </w:tr>
      <w:tr>
        <w:trPr>
          <w:cantSplit/>
        </w:trPr>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SO5</w:t>
            </w:r>
          </w:p>
        </w:tc>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Five dashboard modules with upload validation and decision support</w:t>
            </w:r>
          </w:p>
        </w:tc>
        <w:tc>
          <w:tcPr>
            <w:tcW w:type="dxa" w:w="4320"/>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The five principal modules existed. Browser-to-warehouse CSV ingestion remained unfinished; Signal 2 alerts and collaborative filtering were not verified outputs.</w:t>
            </w:r>
          </w:p>
        </w:tc>
        <w:tc>
          <w:tcPr>
            <w:tcW w:type="dxa" w:w="1584"/>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Partially achieved</w:t>
            </w:r>
          </w:p>
        </w:tc>
      </w:tr>
    </w:tbl>
    <w:p>
      <w:pPr>
        <w:spacing w:before="40" w:after="160"/>
        <w:jc w:val="left"/>
      </w:pPr>
      <w:r>
        <w:rPr>
          <w:rFonts w:ascii="Times New Roman" w:hAnsi="Times New Roman" w:eastAsia="Times New Roman"/>
          <w:i/>
          <w:color w:val="4D4D4D"/>
          <w:sz w:val="17"/>
        </w:rPr>
        <w:t>Source: Capstone proposal objectives and the MedShield current-state, analytics, and QA records as of 27 September 2026.</w:t>
      </w:r>
    </w:p>
    <w:p>
      <w:pPr>
        <w:keepLines w:val="0"/>
        <w:ind w:firstLine="720"/>
        <w:jc w:val="both"/>
      </w:pPr>
      <w:r>
        <w:t>The proponents distinguished a completed screen from a completed research objective. The forecast page showed a baseline, but no approved model. The planning page could solve an allocation, but its inputs were not verified stock records. The objective audit therefore reported what each feature did and what its results could not yet establish.</w:t>
      </w:r>
    </w:p>
    <w:p>
      <w:pPr>
        <w:pStyle w:val="Heading2"/>
        <w:keepNext/>
      </w:pPr>
      <w:r>
        <w:t>4.1.2 Application and Data Architecture</w:t>
      </w:r>
    </w:p>
    <w:p>
      <w:pPr>
        <w:keepLines w:val="0"/>
        <w:ind w:firstLine="720"/>
        <w:jc w:val="both"/>
      </w:pPr>
      <w:r>
        <w:t>MedShield ran as an authenticated web application. Its Next.js dashboard requested analytical results through an Express and TypeScript gateway, which checked requests and queried Databricks. Databricks Unity Catalog held the sales data and candidate analytical views. Supabase handled identity and audit support, not dashboard sales measures. Python tools supported data preparation and model evaluation outside the browser. The arrangement let the proponents trace a dashboard figure back to its analytical source.</w:t>
      </w:r>
    </w:p>
    <w:p>
      <w:pPr>
        <w:keepLines w:val="0"/>
        <w:ind w:firstLine="720"/>
        <w:jc w:val="both"/>
      </w:pPr>
      <w:r>
        <w:t>The dashboard did not substitute a local spreadsheet or sample value when Databricks was unavailable. The gateway returned an error, and the affected view showed an unavailable state. The proponents kept the behavior visible because a plausible-looking number without a live source would have weakened the sales analysis.</w:t>
      </w:r>
    </w:p>
    <w:p>
      <w:pPr>
        <w:keepNext/>
        <w:pageBreakBefore w:val="0"/>
        <w:jc w:val="center"/>
      </w:pPr>
      <w:r>
        <w:drawing>
          <wp:inline xmlns:a="http://schemas.openxmlformats.org/drawingml/2006/main" xmlns:pic="http://schemas.openxmlformats.org/drawingml/2006/picture">
            <wp:extent cx="5715000" cy="2857500"/>
            <wp:docPr id="1" name="Picture 1" title="Figure 4.1 MedShield runtime architecture" descr="Flow from sales and external source data through Databricks Bronze, Silver, and Gold to the authenticated API gateway and Next.js dashboard, with Supabase providing identity."/>
            <wp:cNvGraphicFramePr>
              <a:graphicFrameLocks noChangeAspect="1"/>
            </wp:cNvGraphicFramePr>
            <a:graphic>
              <a:graphicData uri="http://schemas.openxmlformats.org/drawingml/2006/picture">
                <pic:pic>
                  <pic:nvPicPr>
                    <pic:cNvPr id="0" name="medshield_architecture.png"/>
                    <pic:cNvPicPr/>
                  </pic:nvPicPr>
                  <pic:blipFill>
                    <a:blip r:embed="rId10"/>
                    <a:stretch>
                      <a:fillRect/>
                    </a:stretch>
                  </pic:blipFill>
                  <pic:spPr>
                    <a:xfrm>
                      <a:off x="0" y="0"/>
                      <a:ext cx="5715000" cy="2857500"/>
                    </a:xfrm>
                    <a:prstGeom prst="rect"/>
                  </pic:spPr>
                </pic:pic>
              </a:graphicData>
            </a:graphic>
          </wp:inline>
        </w:drawing>
      </w:r>
    </w:p>
    <w:p>
      <w:pPr>
        <w:pStyle w:val="Caption"/>
        <w:keepNext/>
        <w:spacing w:before="80" w:after="40"/>
        <w:jc w:val="center"/>
      </w:pPr>
      <w:r>
        <w:rPr>
          <w:rFonts w:ascii="Times New Roman" w:hAnsi="Times New Roman" w:eastAsia="Times New Roman"/>
          <w:b/>
          <w:color w:val="000000"/>
          <w:sz w:val="20"/>
        </w:rPr>
        <w:t>Figure 4.1 MedShield runtime architecture</w:t>
      </w:r>
    </w:p>
    <w:p>
      <w:pPr>
        <w:spacing w:before="40" w:after="160"/>
        <w:jc w:val="left"/>
      </w:pPr>
      <w:r>
        <w:rPr>
          <w:rFonts w:ascii="Times New Roman" w:hAnsi="Times New Roman" w:eastAsia="Times New Roman"/>
          <w:i/>
          <w:color w:val="4D4D4D"/>
          <w:sz w:val="17"/>
        </w:rPr>
        <w:t>Source: MedShield Architecture and Database documentation, September 2026.</w:t>
      </w:r>
    </w:p>
    <w:p>
      <w:pPr>
        <w:pStyle w:val="Caption"/>
        <w:keepNext/>
        <w:pageBreakBefore w:val="0"/>
        <w:spacing w:after="80"/>
      </w:pPr>
      <w:r>
        <w:rPr>
          <w:rFonts w:ascii="Times New Roman" w:hAnsi="Times New Roman" w:eastAsia="Times New Roman"/>
          <w:b/>
          <w:color w:val="000000"/>
          <w:sz w:val="20"/>
        </w:rPr>
        <w:t>Table 4.2 Implemented application layers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40"/>
        <w:gridCol w:w="2340"/>
        <w:gridCol w:w="2340"/>
        <w:gridCol w:w="2340"/>
      </w:tblGrid>
      <w:tr>
        <w:trPr>
          <w:tblHeader w:val="true"/>
          <w:cantSplit/>
        </w:trPr>
        <w:tc>
          <w:tcPr>
            <w:tcW w:type="dxa" w:w="1440"/>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Layer</w:t>
            </w:r>
          </w:p>
        </w:tc>
        <w:tc>
          <w:tcPr>
            <w:tcW w:type="dxa" w:w="2376"/>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Implemented component</w:t>
            </w:r>
          </w:p>
        </w:tc>
        <w:tc>
          <w:tcPr>
            <w:tcW w:type="dxa" w:w="3528"/>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Responsibility</w:t>
            </w:r>
          </w:p>
        </w:tc>
        <w:tc>
          <w:tcPr>
            <w:tcW w:type="dxa" w:w="2088"/>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Boundary</w:t>
            </w:r>
          </w:p>
        </w:tc>
      </w:tr>
      <w:tr>
        <w:trPr>
          <w:cantSplit/>
        </w:trPr>
        <w:tc>
          <w:tcPr>
            <w:tcW w:type="dxa" w:w="1440"/>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Presentation</w:t>
            </w:r>
          </w:p>
        </w:tc>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Next.js, React, TypeScript, Chart.js</w:t>
            </w:r>
          </w:p>
        </w:tc>
        <w:tc>
          <w:tcPr>
            <w:tcW w:type="dxa" w:w="352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Filters, charts, tables, exports, readiness labels, and scenario forms</w:t>
            </w:r>
          </w:p>
        </w:tc>
        <w:tc>
          <w:tcPr>
            <w:tcW w:type="dxa" w:w="208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Did not query Databricks or external providers directly</w:t>
            </w:r>
          </w:p>
        </w:tc>
      </w:tr>
      <w:tr>
        <w:trPr>
          <w:cantSplit/>
        </w:trPr>
        <w:tc>
          <w:tcPr>
            <w:tcW w:type="dxa" w:w="1440"/>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Gateway</w:t>
            </w:r>
          </w:p>
        </w:tc>
        <w:tc>
          <w:tcPr>
            <w:tcW w:type="dxa" w:w="23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Express and TypeScript</w:t>
            </w:r>
          </w:p>
        </w:tc>
        <w:tc>
          <w:tcPr>
            <w:tcW w:type="dxa" w:w="352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Authentication checks, parameter validation, query orchestration, and response contracts</w:t>
            </w:r>
          </w:p>
        </w:tc>
        <w:tc>
          <w:tcPr>
            <w:tcW w:type="dxa" w:w="208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Server-only credentials; explicit unavailable states</w:t>
            </w:r>
          </w:p>
        </w:tc>
      </w:tr>
      <w:tr>
        <w:trPr>
          <w:cantSplit/>
        </w:trPr>
        <w:tc>
          <w:tcPr>
            <w:tcW w:type="dxa" w:w="1440"/>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Analytical store</w:t>
            </w:r>
          </w:p>
        </w:tc>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Databricks Unity Catalog</w:t>
            </w:r>
          </w:p>
        </w:tc>
        <w:tc>
          <w:tcPr>
            <w:tcW w:type="dxa" w:w="352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Bronze source evidence, Silver assessed records, Gold candidate facts and aggregates</w:t>
            </w:r>
          </w:p>
        </w:tc>
        <w:tc>
          <w:tcPr>
            <w:tcW w:type="dxa" w:w="208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Candidate publication awaited business approval</w:t>
            </w:r>
          </w:p>
        </w:tc>
      </w:tr>
      <w:tr>
        <w:trPr>
          <w:cantSplit/>
        </w:trPr>
        <w:tc>
          <w:tcPr>
            <w:tcW w:type="dxa" w:w="1440"/>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Identity and audit</w:t>
            </w:r>
          </w:p>
        </w:tc>
        <w:tc>
          <w:tcPr>
            <w:tcW w:type="dxa" w:w="23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Supabase Auth and audit persistence</w:t>
            </w:r>
          </w:p>
        </w:tc>
        <w:tc>
          <w:tcPr>
            <w:tcW w:type="dxa" w:w="352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Session identity, roles, and application audit events</w:t>
            </w:r>
          </w:p>
        </w:tc>
        <w:tc>
          <w:tcPr>
            <w:tcW w:type="dxa" w:w="208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Was not an analytical source</w:t>
            </w:r>
          </w:p>
        </w:tc>
      </w:tr>
      <w:tr>
        <w:trPr>
          <w:cantSplit/>
        </w:trPr>
        <w:tc>
          <w:tcPr>
            <w:tcW w:type="dxa" w:w="1440"/>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Offline analytics</w:t>
            </w:r>
          </w:p>
        </w:tc>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Python jobs and tests</w:t>
            </w:r>
          </w:p>
        </w:tc>
        <w:tc>
          <w:tcPr>
            <w:tcW w:type="dxa" w:w="352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Reconciliation, STL, model evaluation, and scenario validation</w:t>
            </w:r>
          </w:p>
        </w:tc>
        <w:tc>
          <w:tcPr>
            <w:tcW w:type="dxa" w:w="208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Was not a live dashboard dependency</w:t>
            </w:r>
          </w:p>
        </w:tc>
      </w:tr>
    </w:tbl>
    <w:p>
      <w:pPr>
        <w:spacing w:before="40" w:after="160"/>
        <w:jc w:val="left"/>
      </w:pPr>
      <w:r>
        <w:rPr>
          <w:rFonts w:ascii="Times New Roman" w:hAnsi="Times New Roman" w:eastAsia="Times New Roman"/>
          <w:i/>
          <w:color w:val="4D4D4D"/>
          <w:sz w:val="17"/>
        </w:rPr>
        <w:t>Source: MedShield Architecture, Database, Security, and Project documentation.</w:t>
      </w:r>
    </w:p>
    <w:p>
      <w:pPr>
        <w:pStyle w:val="Heading2"/>
        <w:keepNext/>
      </w:pPr>
      <w:r>
        <w:t>4.1.3 Data Sources Coverage and Quality</w:t>
      </w:r>
    </w:p>
    <w:p>
      <w:pPr>
        <w:keepLines w:val="0"/>
        <w:ind w:firstLine="720"/>
        <w:jc w:val="both"/>
      </w:pPr>
      <w:r>
        <w:t>The sales data available for analysis covered 2017 to 2025 and contained 37,728 accepted records. Although the proposal focused on 2021 to 2025 and three Philippine regions, the proponents retained the earlier records to give the trends more context. Regional conclusions remained provisional because the area mapping had not been approved. Department of Health and weather data supplied background, but none had been accepted as a forecasting input for sales.</w:t>
      </w:r>
    </w:p>
    <w:p>
      <w:pPr>
        <w:pStyle w:val="Caption"/>
        <w:keepNext/>
        <w:pageBreakBefore w:val="0"/>
        <w:spacing w:after="80"/>
      </w:pPr>
      <w:r>
        <w:rPr>
          <w:rFonts w:ascii="Times New Roman" w:hAnsi="Times New Roman" w:eastAsia="Times New Roman"/>
          <w:b/>
          <w:color w:val="000000"/>
          <w:sz w:val="20"/>
        </w:rPr>
        <w:t>Table 4.3 Data sources and current analytical status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40"/>
        <w:gridCol w:w="2340"/>
        <w:gridCol w:w="2340"/>
        <w:gridCol w:w="2340"/>
      </w:tblGrid>
      <w:tr>
        <w:trPr>
          <w:tblHeader w:val="true"/>
          <w:cantSplit/>
        </w:trPr>
        <w:tc>
          <w:tcPr>
            <w:tcW w:type="dxa" w:w="1656"/>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Source</w:t>
            </w:r>
          </w:p>
        </w:tc>
        <w:tc>
          <w:tcPr>
            <w:tcW w:type="dxa" w:w="1944"/>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Coverage</w:t>
            </w:r>
          </w:p>
        </w:tc>
        <w:tc>
          <w:tcPr>
            <w:tcW w:type="dxa" w:w="3384"/>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Use at review</w:t>
            </w:r>
          </w:p>
        </w:tc>
        <w:tc>
          <w:tcPr>
            <w:tcW w:type="dxa" w:w="2376"/>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Status and limitation at review</w:t>
            </w:r>
          </w:p>
        </w:tc>
      </w:tr>
      <w:tr>
        <w:trPr>
          <w:cantSplit/>
        </w:trPr>
        <w:tc>
          <w:tcPr>
            <w:tcW w:type="dxa" w:w="165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MedShield sales</w:t>
            </w:r>
          </w:p>
        </w:tc>
        <w:tc>
          <w:tcPr>
            <w:tcW w:type="dxa" w:w="1944"/>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2017 to 2025 actuals; 2026 actuals were pending</w:t>
            </w:r>
          </w:p>
        </w:tc>
        <w:tc>
          <w:tcPr>
            <w:tcW w:type="dxa" w:w="3384"/>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Historical demand, revenue, product, area, and baseline forecast evaluation</w:t>
            </w:r>
          </w:p>
        </w:tc>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37,728 accepted facts; elapsed 2026 gaps could be estimated and remained separately labeled</w:t>
            </w:r>
          </w:p>
        </w:tc>
      </w:tr>
      <w:tr>
        <w:trPr>
          <w:cantSplit/>
        </w:trPr>
        <w:tc>
          <w:tcPr>
            <w:tcW w:type="dxa" w:w="165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DOH surveillance</w:t>
            </w:r>
          </w:p>
        </w:tc>
        <w:tc>
          <w:tcPr>
            <w:tcW w:type="dxa" w:w="1944"/>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2018 to 2026 declared; 2026 partial</w:t>
            </w:r>
          </w:p>
        </w:tc>
        <w:tc>
          <w:tcPr>
            <w:tcW w:type="dxa" w:w="3384"/>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Historical disease context and candidate regressors</w:t>
            </w:r>
          </w:p>
        </w:tc>
        <w:tc>
          <w:tcPr>
            <w:tcW w:type="dxa" w:w="23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Territory join not approved; no individual health inference</w:t>
            </w:r>
          </w:p>
        </w:tc>
      </w:tr>
      <w:tr>
        <w:trPr>
          <w:cantSplit/>
        </w:trPr>
        <w:tc>
          <w:tcPr>
            <w:tcW w:type="dxa" w:w="165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PAGASA observations</w:t>
            </w:r>
          </w:p>
        </w:tc>
        <w:tc>
          <w:tcPr>
            <w:tcW w:type="dxa" w:w="1944"/>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2017 to 2024</w:t>
            </w:r>
          </w:p>
        </w:tc>
        <w:tc>
          <w:tcPr>
            <w:tcW w:type="dxa" w:w="3384"/>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Official historical weather context</w:t>
            </w:r>
          </w:p>
        </w:tc>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No official 2025 observations in the project; no approved sales match</w:t>
            </w:r>
          </w:p>
        </w:tc>
      </w:tr>
      <w:tr>
        <w:trPr>
          <w:cantSplit/>
        </w:trPr>
        <w:tc>
          <w:tcPr>
            <w:tcW w:type="dxa" w:w="165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NASA POWER</w:t>
            </w:r>
          </w:p>
        </w:tc>
        <w:tc>
          <w:tcPr>
            <w:tcW w:type="dxa" w:w="1944"/>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108 monthly rows for nine areas in 2025</w:t>
            </w:r>
          </w:p>
        </w:tc>
        <w:tc>
          <w:tcPr>
            <w:tcW w:type="dxa" w:w="3384"/>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Separately labeled weather proxy</w:t>
            </w:r>
          </w:p>
        </w:tc>
        <w:tc>
          <w:tcPr>
            <w:tcW w:type="dxa" w:w="23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Provider proxy, not PAGASA; 32 candidate matches did not approve regression</w:t>
            </w:r>
          </w:p>
        </w:tc>
      </w:tr>
      <w:tr>
        <w:trPr>
          <w:cantSplit/>
        </w:trPr>
        <w:tc>
          <w:tcPr>
            <w:tcW w:type="dxa" w:w="165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Operational inventory</w:t>
            </w:r>
          </w:p>
        </w:tc>
        <w:tc>
          <w:tcPr>
            <w:tcW w:type="dxa" w:w="1944"/>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Not supplied</w:t>
            </w:r>
          </w:p>
        </w:tc>
        <w:tc>
          <w:tcPr>
            <w:tcW w:type="dxa" w:w="3384"/>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Would have supported EOQ, ROP, safety stock, allocation, and expiry analysis</w:t>
            </w:r>
          </w:p>
        </w:tc>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Scenario inputs only</w:t>
            </w:r>
          </w:p>
        </w:tc>
      </w:tr>
    </w:tbl>
    <w:p>
      <w:pPr>
        <w:spacing w:before="40" w:after="160"/>
        <w:jc w:val="left"/>
      </w:pPr>
      <w:r>
        <w:rPr>
          <w:rFonts w:ascii="Times New Roman" w:hAnsi="Times New Roman" w:eastAsia="Times New Roman"/>
          <w:i/>
          <w:color w:val="4D4D4D"/>
          <w:sz w:val="17"/>
        </w:rPr>
        <w:t>Source: MedShield Current State, application documentation, and publication-readiness evidence.</w:t>
      </w:r>
    </w:p>
    <w:p>
      <w:pPr>
        <w:keepLines w:val="0"/>
        <w:ind w:firstLine="720"/>
        <w:jc w:val="both"/>
      </w:pPr>
      <w:r>
        <w:t>The calendar spanned 108 months, but transactions appeared in only 98. The missing months were May, June, July, August, and October 2017; January and February 2018; and October, November, and December 2019. The proponents kept the months blank because the available records could not show whether sales were zero or files were missing. Filling the gaps with zero would have distorted the trend and later model tests.</w:t>
      </w:r>
    </w:p>
    <w:p>
      <w:pPr>
        <w:pStyle w:val="Caption"/>
        <w:keepNext/>
        <w:pageBreakBefore w:val="0"/>
        <w:spacing w:after="80"/>
      </w:pPr>
      <w:r>
        <w:rPr>
          <w:rFonts w:ascii="Times New Roman" w:hAnsi="Times New Roman" w:eastAsia="Times New Roman"/>
          <w:b/>
          <w:color w:val="000000"/>
          <w:sz w:val="20"/>
        </w:rPr>
        <w:t>Table 4.4 Sales candidate quality profile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cantSplit/>
        </w:trPr>
        <w:tc>
          <w:tcPr>
            <w:tcW w:type="dxa" w:w="2448"/>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Quality measure</w:t>
            </w:r>
          </w:p>
        </w:tc>
        <w:tc>
          <w:tcPr>
            <w:tcW w:type="dxa" w:w="2376"/>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Observed value</w:t>
            </w:r>
          </w:p>
        </w:tc>
        <w:tc>
          <w:tcPr>
            <w:tcW w:type="dxa" w:w="4392"/>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Interpretation</w:t>
            </w:r>
          </w:p>
        </w:tc>
      </w:tr>
      <w:tr>
        <w:trPr>
          <w:cantSplit/>
        </w:trPr>
        <w:tc>
          <w:tcPr>
            <w:tcW w:type="dxa" w:w="244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Accepted fact rows</w:t>
            </w:r>
          </w:p>
        </w:tc>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37,728</w:t>
            </w:r>
          </w:p>
        </w:tc>
        <w:tc>
          <w:tcPr>
            <w:tcW w:type="dxa" w:w="4392"/>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Checksum-bound candidate population</w:t>
            </w:r>
          </w:p>
        </w:tc>
      </w:tr>
      <w:tr>
        <w:trPr>
          <w:cantSplit/>
        </w:trPr>
        <w:tc>
          <w:tcPr>
            <w:tcW w:type="dxa" w:w="244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Revenue-eligible rows</w:t>
            </w:r>
          </w:p>
        </w:tc>
        <w:tc>
          <w:tcPr>
            <w:tcW w:type="dxa" w:w="23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36,848</w:t>
            </w:r>
          </w:p>
        </w:tc>
        <w:tc>
          <w:tcPr>
            <w:tcW w:type="dxa" w:w="4392"/>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Rows were included in the net-sales measure</w:t>
            </w:r>
          </w:p>
        </w:tc>
      </w:tr>
      <w:tr>
        <w:trPr>
          <w:cantSplit/>
        </w:trPr>
        <w:tc>
          <w:tcPr>
            <w:tcW w:type="dxa" w:w="244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Margin-eligible rows</w:t>
            </w:r>
          </w:p>
        </w:tc>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34,105</w:t>
            </w:r>
          </w:p>
        </w:tc>
        <w:tc>
          <w:tcPr>
            <w:tcW w:type="dxa" w:w="4392"/>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Rows with a valid margin denominator</w:t>
            </w:r>
          </w:p>
        </w:tc>
      </w:tr>
      <w:tr>
        <w:trPr>
          <w:cantSplit/>
        </w:trPr>
        <w:tc>
          <w:tcPr>
            <w:tcW w:type="dxa" w:w="244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Warning-bearing rows</w:t>
            </w:r>
          </w:p>
        </w:tc>
        <w:tc>
          <w:tcPr>
            <w:tcW w:type="dxa" w:w="23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32,749</w:t>
            </w:r>
          </w:p>
        </w:tc>
        <w:tc>
          <w:tcPr>
            <w:tcW w:type="dxa" w:w="4392"/>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Warnings remained visible and were not equivalent to rejection</w:t>
            </w:r>
          </w:p>
        </w:tc>
      </w:tr>
      <w:tr>
        <w:trPr>
          <w:cantSplit/>
        </w:trPr>
        <w:tc>
          <w:tcPr>
            <w:tcW w:type="dxa" w:w="244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Calendar coverage</w:t>
            </w:r>
          </w:p>
        </w:tc>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108 months total; 98 observed; 10 missing</w:t>
            </w:r>
          </w:p>
        </w:tc>
        <w:tc>
          <w:tcPr>
            <w:tcW w:type="dxa" w:w="4392"/>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Missing periods remained unavailable rather than zero-filled</w:t>
            </w:r>
          </w:p>
        </w:tc>
      </w:tr>
      <w:tr>
        <w:trPr>
          <w:cantSplit/>
        </w:trPr>
        <w:tc>
          <w:tcPr>
            <w:tcW w:type="dxa" w:w="244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Product identity</w:t>
            </w:r>
          </w:p>
        </w:tc>
        <w:tc>
          <w:tcPr>
            <w:tcW w:type="dxa" w:w="23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4,561 source labels; 0 approved master entries</w:t>
            </w:r>
          </w:p>
        </w:tc>
        <w:tc>
          <w:tcPr>
            <w:tcW w:type="dxa" w:w="4392"/>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Product findings described labels, not verified canonical SKUs</w:t>
            </w:r>
          </w:p>
        </w:tc>
      </w:tr>
      <w:tr>
        <w:trPr>
          <w:cantSplit/>
        </w:trPr>
        <w:tc>
          <w:tcPr>
            <w:tcW w:type="dxa" w:w="244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Area identity</w:t>
            </w:r>
          </w:p>
        </w:tc>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22 derived labels</w:t>
            </w:r>
          </w:p>
        </w:tc>
        <w:tc>
          <w:tcPr>
            <w:tcW w:type="dxa" w:w="4392"/>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Some labels mixed geography, customer type, or business line and required approval</w:t>
            </w:r>
          </w:p>
        </w:tc>
      </w:tr>
      <w:tr>
        <w:trPr>
          <w:cantSplit/>
        </w:trPr>
        <w:tc>
          <w:tcPr>
            <w:tcW w:type="dxa" w:w="244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Returns evidence</w:t>
            </w:r>
          </w:p>
        </w:tc>
        <w:tc>
          <w:tcPr>
            <w:tcW w:type="dxa" w:w="23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673 rows</w:t>
            </w:r>
          </w:p>
        </w:tc>
        <w:tc>
          <w:tcPr>
            <w:tcW w:type="dxa" w:w="4392"/>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Signed returns remained separate while contributing to net revenue</w:t>
            </w:r>
          </w:p>
        </w:tc>
      </w:tr>
    </w:tbl>
    <w:p>
      <w:pPr>
        <w:spacing w:before="40" w:after="160"/>
        <w:jc w:val="left"/>
      </w:pPr>
      <w:r>
        <w:rPr>
          <w:rFonts w:ascii="Times New Roman" w:hAnsi="Times New Roman" w:eastAsia="Times New Roman"/>
          <w:i/>
          <w:color w:val="4D4D4D"/>
          <w:sz w:val="17"/>
        </w:rPr>
        <w:t>Source: Version-bound publication and QA evidence for the 37,728-row Databricks candidate.</w:t>
      </w:r>
    </w:p>
    <w:p>
      <w:pPr>
        <w:pStyle w:val="Heading1"/>
        <w:keepNext/>
      </w:pPr>
      <w:r>
        <w:t>4.2 Data Analysis</w:t>
      </w:r>
    </w:p>
    <w:p>
      <w:pPr>
        <w:keepLines w:val="0"/>
        <w:ind w:firstLine="720"/>
        <w:jc w:val="both"/>
      </w:pPr>
      <w:r>
        <w:t>Section 4.2 examined what the recorded sales revealed about annual performance, seasonality, product and area priorities, and the forecasting and planning objectives. The proponents separated observed transactions from model estimates and user-entered assumptions. Pending 2026 actuals did not enter the 2017 to 2025 totals or the forecast-accuracy calculations.</w:t>
      </w:r>
    </w:p>
    <w:p>
      <w:pPr>
        <w:keepLines w:val="0"/>
        <w:ind w:firstLine="720"/>
        <w:jc w:val="both"/>
      </w:pPr>
      <w:r>
        <w:t>The dashboard's default October 2025 to September 2026 window illustrated the need for separate labels. It contained ₱61,082,570 in observed sales and ₱88,804,257 in estimates for missing months, for a combined display of ₱149,886,827 after rounding. The combined figure was not actual 2026 revenue. The proponents could replace an estimate with a client sales record only after ingestion and publication checks were completed (MedShield Capstone Group 9, 2026c).</w:t>
      </w:r>
    </w:p>
    <w:p>
      <w:pPr>
        <w:pStyle w:val="Heading2"/>
        <w:keepNext/>
      </w:pPr>
      <w:r>
        <w:t>4.2.1 Historical Sales Performance and Seasonality</w:t>
      </w:r>
    </w:p>
    <w:p>
      <w:pPr>
        <w:keepLines w:val="0"/>
        <w:ind w:firstLine="720"/>
        <w:jc w:val="both"/>
      </w:pPr>
      <w:r>
        <w:t>The accepted sales data recorded ₱626,946,741.81 in net sales and ₱288,487,498.72 in workbook gross profit. The reported weighted gross-margin rate was 60.26 percent, calculated from ₱478,720,670.03 in sales with enough information for the margin calculation. The proponents did not treat workbook gross profit as company net income. Dividing gross profit by all net sales would not reproduce the reported rate because the margin-eligible sales base was smaller.</w:t>
      </w:r>
    </w:p>
    <w:p>
      <w:pPr>
        <w:pStyle w:val="Caption"/>
        <w:keepNext/>
        <w:pageBreakBefore w:val="0"/>
        <w:spacing w:after="80"/>
      </w:pPr>
      <w:r>
        <w:rPr>
          <w:rFonts w:ascii="Times New Roman" w:hAnsi="Times New Roman" w:eastAsia="Times New Roman"/>
          <w:b/>
          <w:color w:val="000000"/>
          <w:sz w:val="20"/>
        </w:rPr>
        <w:t>Table 4.5 Annual sales and workbook gross profit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72"/>
        <w:gridCol w:w="1872"/>
        <w:gridCol w:w="1872"/>
        <w:gridCol w:w="1872"/>
        <w:gridCol w:w="1872"/>
      </w:tblGrid>
      <w:tr>
        <w:trPr>
          <w:tblHeader w:val="true"/>
          <w:cantSplit/>
        </w:trPr>
        <w:tc>
          <w:tcPr>
            <w:tcW w:type="dxa" w:w="936"/>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Year</w:t>
            </w:r>
          </w:p>
        </w:tc>
        <w:tc>
          <w:tcPr>
            <w:tcW w:type="dxa" w:w="1512"/>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Transactions</w:t>
            </w:r>
          </w:p>
        </w:tc>
        <w:tc>
          <w:tcPr>
            <w:tcW w:type="dxa" w:w="2232"/>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Net sales</w:t>
            </w:r>
          </w:p>
        </w:tc>
        <w:tc>
          <w:tcPr>
            <w:tcW w:type="dxa" w:w="2232"/>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Workbook gross profit</w:t>
            </w:r>
          </w:p>
        </w:tc>
        <w:tc>
          <w:tcPr>
            <w:tcW w:type="dxa" w:w="2232"/>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Margin eligible sales</w:t>
            </w:r>
          </w:p>
        </w:tc>
      </w:tr>
      <w:tr>
        <w:trPr>
          <w:cantSplit/>
        </w:trPr>
        <w:tc>
          <w:tcPr>
            <w:tcW w:type="dxa" w:w="936"/>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2017</w:t>
            </w:r>
          </w:p>
        </w:tc>
        <w:tc>
          <w:tcPr>
            <w:tcW w:type="dxa" w:w="1512"/>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1,978</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₱10,211,167.35</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₱6,316,157.68</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₱9,212,606.10</w:t>
            </w:r>
          </w:p>
        </w:tc>
      </w:tr>
      <w:tr>
        <w:trPr>
          <w:cantSplit/>
        </w:trPr>
        <w:tc>
          <w:tcPr>
            <w:tcW w:type="dxa" w:w="936"/>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2018</w:t>
            </w:r>
          </w:p>
        </w:tc>
        <w:tc>
          <w:tcPr>
            <w:tcW w:type="dxa" w:w="1512"/>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6,181</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₱51,619,691.27</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₱28,328,721.76</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₱44,882,495.39</w:t>
            </w:r>
          </w:p>
        </w:tc>
      </w:tr>
      <w:tr>
        <w:trPr>
          <w:cantSplit/>
        </w:trPr>
        <w:tc>
          <w:tcPr>
            <w:tcW w:type="dxa" w:w="936"/>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2019</w:t>
            </w:r>
          </w:p>
        </w:tc>
        <w:tc>
          <w:tcPr>
            <w:tcW w:type="dxa" w:w="1512"/>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5,446</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₱62,542,304.49</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₱29,125,469.95</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₱41,211,281.42</w:t>
            </w:r>
          </w:p>
        </w:tc>
      </w:tr>
      <w:tr>
        <w:trPr>
          <w:cantSplit/>
        </w:trPr>
        <w:tc>
          <w:tcPr>
            <w:tcW w:type="dxa" w:w="936"/>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2020</w:t>
            </w:r>
          </w:p>
        </w:tc>
        <w:tc>
          <w:tcPr>
            <w:tcW w:type="dxa" w:w="1512"/>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3,980</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₱63,593,274.63</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₱28,013,993.68</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₱40,259,988.09</w:t>
            </w:r>
          </w:p>
        </w:tc>
      </w:tr>
      <w:tr>
        <w:trPr>
          <w:cantSplit/>
        </w:trPr>
        <w:tc>
          <w:tcPr>
            <w:tcW w:type="dxa" w:w="936"/>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2021</w:t>
            </w:r>
          </w:p>
        </w:tc>
        <w:tc>
          <w:tcPr>
            <w:tcW w:type="dxa" w:w="1512"/>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3,407</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₱77,860,206.26</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₱50,420,770.93</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₱77,804,247.26</w:t>
            </w:r>
          </w:p>
        </w:tc>
      </w:tr>
      <w:tr>
        <w:trPr>
          <w:cantSplit/>
        </w:trPr>
        <w:tc>
          <w:tcPr>
            <w:tcW w:type="dxa" w:w="936"/>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2022</w:t>
            </w:r>
          </w:p>
        </w:tc>
        <w:tc>
          <w:tcPr>
            <w:tcW w:type="dxa" w:w="1512"/>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3,980</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₱63,234,990.04</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₱40,799,049.06</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₱60,493,221.21</w:t>
            </w:r>
          </w:p>
        </w:tc>
      </w:tr>
      <w:tr>
        <w:trPr>
          <w:cantSplit/>
        </w:trPr>
        <w:tc>
          <w:tcPr>
            <w:tcW w:type="dxa" w:w="936"/>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2023</w:t>
            </w:r>
          </w:p>
        </w:tc>
        <w:tc>
          <w:tcPr>
            <w:tcW w:type="dxa" w:w="1512"/>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5,381</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₱62,228,966.85</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₱33,585,582.48</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₱59,822,843.64</w:t>
            </w:r>
          </w:p>
        </w:tc>
      </w:tr>
      <w:tr>
        <w:trPr>
          <w:cantSplit/>
        </w:trPr>
        <w:tc>
          <w:tcPr>
            <w:tcW w:type="dxa" w:w="936"/>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2024</w:t>
            </w:r>
          </w:p>
        </w:tc>
        <w:tc>
          <w:tcPr>
            <w:tcW w:type="dxa" w:w="1512"/>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2,831</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₱50,259,319.88</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₱19,563,837.42</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₱49,956,893.05</w:t>
            </w:r>
          </w:p>
        </w:tc>
      </w:tr>
      <w:tr>
        <w:trPr>
          <w:cantSplit/>
        </w:trPr>
        <w:tc>
          <w:tcPr>
            <w:tcW w:type="dxa" w:w="936"/>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2025</w:t>
            </w:r>
          </w:p>
        </w:tc>
        <w:tc>
          <w:tcPr>
            <w:tcW w:type="dxa" w:w="1512"/>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4,544</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₱185,396,821.04</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₱52,333,915.76</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₱95,077,093.87</w:t>
            </w:r>
          </w:p>
        </w:tc>
      </w:tr>
    </w:tbl>
    <w:p>
      <w:pPr>
        <w:spacing w:before="40" w:after="160"/>
        <w:jc w:val="left"/>
      </w:pPr>
      <w:r>
        <w:rPr>
          <w:rFonts w:ascii="Times New Roman" w:hAnsi="Times New Roman" w:eastAsia="Times New Roman"/>
          <w:i/>
          <w:color w:val="4D4D4D"/>
          <w:sz w:val="17"/>
        </w:rPr>
        <w:t>Source: Local descriptive calculation receipt for Delta version 15, 26 September 2026. Current-state and QA summaries reported matching overall totals for version 16; the version-16 calculation receipt was unavailable in the local checkout. Amounts were candidate values in Philippine pesos.</w:t>
      </w:r>
    </w:p>
    <w:p>
      <w:pPr>
        <w:keepNext/>
        <w:pageBreakBefore w:val="0"/>
        <w:jc w:val="center"/>
      </w:pPr>
      <w:r>
        <w:drawing>
          <wp:inline xmlns:a="http://schemas.openxmlformats.org/drawingml/2006/main" xmlns:pic="http://schemas.openxmlformats.org/drawingml/2006/picture">
            <wp:extent cx="5715000" cy="3016250"/>
            <wp:docPr id="2" name="Picture 2" title="Figure 4.2 Annual net sales and workbook gross profit" descr="Grouped bars showing annual net sales and workbook gross profit from 2017 through 2025. Net sales are highest in 2025, while the gross-profit series uses a separate eligible basis."/>
            <wp:cNvGraphicFramePr>
              <a:graphicFrameLocks noChangeAspect="1"/>
            </wp:cNvGraphicFramePr>
            <a:graphic>
              <a:graphicData uri="http://schemas.openxmlformats.org/drawingml/2006/picture">
                <pic:pic>
                  <pic:nvPicPr>
                    <pic:cNvPr id="0" name="annual_sales_profit.png"/>
                    <pic:cNvPicPr/>
                  </pic:nvPicPr>
                  <pic:blipFill>
                    <a:blip r:embed="rId11"/>
                    <a:stretch>
                      <a:fillRect/>
                    </a:stretch>
                  </pic:blipFill>
                  <pic:spPr>
                    <a:xfrm>
                      <a:off x="0" y="0"/>
                      <a:ext cx="5715000" cy="3016250"/>
                    </a:xfrm>
                    <a:prstGeom prst="rect"/>
                  </pic:spPr>
                </pic:pic>
              </a:graphicData>
            </a:graphic>
          </wp:inline>
        </w:drawing>
      </w:r>
    </w:p>
    <w:p>
      <w:pPr>
        <w:pStyle w:val="Caption"/>
        <w:keepNext/>
        <w:spacing w:before="80" w:after="40"/>
        <w:jc w:val="center"/>
      </w:pPr>
      <w:r>
        <w:rPr>
          <w:rFonts w:ascii="Times New Roman" w:hAnsi="Times New Roman" w:eastAsia="Times New Roman"/>
          <w:b/>
          <w:color w:val="000000"/>
          <w:sz w:val="20"/>
        </w:rPr>
        <w:t>Figure 4.2 Annual net sales and workbook gross profit</w:t>
      </w:r>
    </w:p>
    <w:p>
      <w:pPr>
        <w:spacing w:before="40" w:after="160"/>
        <w:jc w:val="left"/>
      </w:pPr>
      <w:r>
        <w:rPr>
          <w:rFonts w:ascii="Times New Roman" w:hAnsi="Times New Roman" w:eastAsia="Times New Roman"/>
          <w:i/>
          <w:color w:val="4D4D4D"/>
          <w:sz w:val="17"/>
        </w:rPr>
        <w:t>Source: Generated from the version-bound descriptive calculation receipt.</w:t>
      </w:r>
    </w:p>
    <w:p>
      <w:pPr>
        <w:keepLines w:val="0"/>
        <w:ind w:firstLine="720"/>
        <w:jc w:val="both"/>
      </w:pPr>
      <w:r>
        <w:t>Annual sales varied across the record, and the 2025 increase stood out. The proponents reported the increase as a recorded result while recognizing differences in source coverage between years. Adjustments in the underlying records also left the product-level explanation for 2025 open to review, even though the overall financial total reconciled.</w:t>
      </w:r>
    </w:p>
    <w:p>
      <w:pPr>
        <w:keepLines w:val="0"/>
        <w:ind w:firstLine="720"/>
        <w:jc w:val="both"/>
      </w:pPr>
      <w:r>
        <w:t>Net sales rose from ₱50.26 million in 2024 to ₱185.40 million in 2025, an increase of about 268.9 percent. Workbook gross profit also rose, from ₱19.56 million to ₱52.33 million, but its proportional increase was smaller at about 167.5 percent. The difference did not, by itself, prove an increase in costs or discounts. In 2024, ₱49.96 million, or 99.4 percent of sales, had the fields needed for a gross-margin calculation. In 2025, only ₱95.08 million, or 51.3 percent, had the same fields. On the matched basis, the calculated margin rate was about 39.2 percent in 2024 and 55.0 percent in 2025. The proponents therefore attributed the gap between the revenue and gross-profit growth rates primarily to unequal calculation coverage in the available records, not to an established change in product mix or profitability. A fuller explanation required matched cost data and finance approval.</w:t>
      </w:r>
    </w:p>
    <w:p>
      <w:pPr>
        <w:keepNext/>
        <w:pageBreakBefore w:val="0"/>
        <w:jc w:val="center"/>
      </w:pPr>
      <w:r>
        <w:drawing>
          <wp:inline xmlns:a="http://schemas.openxmlformats.org/drawingml/2006/main" xmlns:pic="http://schemas.openxmlformats.org/drawingml/2006/picture">
            <wp:extent cx="5715000" cy="3016250"/>
            <wp:docPr id="3" name="Picture 3" title="Figure 4.3 Monthly net sales and missing coverage" descr="Monthly net-sales line from 2017 through 2025 with light red bands marking ten months without observed transactions."/>
            <wp:cNvGraphicFramePr>
              <a:graphicFrameLocks noChangeAspect="1"/>
            </wp:cNvGraphicFramePr>
            <a:graphic>
              <a:graphicData uri="http://schemas.openxmlformats.org/drawingml/2006/picture">
                <pic:pic>
                  <pic:nvPicPr>
                    <pic:cNvPr id="0" name="monthly_sales_gaps.png"/>
                    <pic:cNvPicPr/>
                  </pic:nvPicPr>
                  <pic:blipFill>
                    <a:blip r:embed="rId12"/>
                    <a:stretch>
                      <a:fillRect/>
                    </a:stretch>
                  </pic:blipFill>
                  <pic:spPr>
                    <a:xfrm>
                      <a:off x="0" y="0"/>
                      <a:ext cx="5715000" cy="3016250"/>
                    </a:xfrm>
                    <a:prstGeom prst="rect"/>
                  </pic:spPr>
                </pic:pic>
              </a:graphicData>
            </a:graphic>
          </wp:inline>
        </w:drawing>
      </w:r>
    </w:p>
    <w:p>
      <w:pPr>
        <w:pStyle w:val="Caption"/>
        <w:keepNext/>
        <w:spacing w:before="80" w:after="40"/>
        <w:jc w:val="center"/>
      </w:pPr>
      <w:r>
        <w:rPr>
          <w:rFonts w:ascii="Times New Roman" w:hAnsi="Times New Roman" w:eastAsia="Times New Roman"/>
          <w:b/>
          <w:color w:val="000000"/>
          <w:sz w:val="20"/>
        </w:rPr>
        <w:t>Figure 4.3 Monthly net sales and missing coverage</w:t>
      </w:r>
    </w:p>
    <w:p>
      <w:pPr>
        <w:spacing w:before="40" w:after="160"/>
        <w:jc w:val="left"/>
      </w:pPr>
      <w:r>
        <w:rPr>
          <w:rFonts w:ascii="Times New Roman" w:hAnsi="Times New Roman" w:eastAsia="Times New Roman"/>
          <w:i/>
          <w:color w:val="4D4D4D"/>
          <w:sz w:val="17"/>
        </w:rPr>
        <w:t>Source: Generated from the 108-month Databricks descriptive snapshot.</w:t>
      </w:r>
    </w:p>
    <w:p>
      <w:pPr>
        <w:keepLines w:val="0"/>
        <w:ind w:firstLine="720"/>
        <w:jc w:val="both"/>
      </w:pPr>
      <w:r>
        <w:t>May had the highest observed calendar-month average at ₱9.87 million, followed by June at ₱7.55 million. The result gave the proponents a reason to examine seasonality, but it did not prove a link with disease outbreaks or weather. Infectious diseases could follow seasonal cycles, yet matching calendar patterns alone did not establish cause (Martinez, 2018). The proponents therefore kept simple month averages separate from the STL analysis.</w:t>
      </w:r>
    </w:p>
    <w:p>
      <w:pPr>
        <w:pStyle w:val="Caption"/>
        <w:keepNext/>
        <w:pageBreakBefore w:val="0"/>
        <w:spacing w:after="80"/>
      </w:pPr>
      <w:r>
        <w:rPr>
          <w:rFonts w:ascii="Times New Roman" w:hAnsi="Times New Roman" w:eastAsia="Times New Roman"/>
          <w:b/>
          <w:color w:val="000000"/>
          <w:sz w:val="20"/>
        </w:rPr>
        <w:t>Table 4.6 Observed calendar month averages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cantSplit/>
        </w:trPr>
        <w:tc>
          <w:tcPr>
            <w:tcW w:type="dxa" w:w="1728"/>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7"/>
              </w:rPr>
              <w:t>Month</w:t>
            </w:r>
          </w:p>
        </w:tc>
        <w:tc>
          <w:tcPr>
            <w:tcW w:type="dxa" w:w="3456"/>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7"/>
              </w:rPr>
              <w:t>Average net sales</w:t>
            </w:r>
          </w:p>
        </w:tc>
        <w:tc>
          <w:tcPr>
            <w:tcW w:type="dxa" w:w="2160"/>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7"/>
              </w:rPr>
              <w:t>Observed years</w:t>
            </w:r>
          </w:p>
        </w:tc>
      </w:tr>
      <w:tr>
        <w:trPr>
          <w:cantSplit/>
        </w:trPr>
        <w:tc>
          <w:tcPr>
            <w:tcW w:type="dxa" w:w="172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7"/>
              </w:rPr>
              <w:t>Jan</w:t>
            </w:r>
          </w:p>
        </w:tc>
        <w:tc>
          <w:tcPr>
            <w:tcW w:type="dxa" w:w="3456"/>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7"/>
              </w:rPr>
              <w:t>₱6,405,176.08</w:t>
            </w:r>
          </w:p>
        </w:tc>
        <w:tc>
          <w:tcPr>
            <w:tcW w:type="dxa" w:w="216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7"/>
              </w:rPr>
              <w:t>8</w:t>
            </w:r>
          </w:p>
        </w:tc>
      </w:tr>
      <w:tr>
        <w:trPr>
          <w:cantSplit/>
        </w:trPr>
        <w:tc>
          <w:tcPr>
            <w:tcW w:type="dxa" w:w="172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7"/>
              </w:rPr>
              <w:t>Feb</w:t>
            </w:r>
          </w:p>
        </w:tc>
        <w:tc>
          <w:tcPr>
            <w:tcW w:type="dxa" w:w="3456"/>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7"/>
              </w:rPr>
              <w:t>₱7,098,050.31</w:t>
            </w:r>
          </w:p>
        </w:tc>
        <w:tc>
          <w:tcPr>
            <w:tcW w:type="dxa" w:w="216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7"/>
              </w:rPr>
              <w:t>8</w:t>
            </w:r>
          </w:p>
        </w:tc>
      </w:tr>
      <w:tr>
        <w:trPr>
          <w:cantSplit/>
        </w:trPr>
        <w:tc>
          <w:tcPr>
            <w:tcW w:type="dxa" w:w="172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7"/>
              </w:rPr>
              <w:t>Mar</w:t>
            </w:r>
          </w:p>
        </w:tc>
        <w:tc>
          <w:tcPr>
            <w:tcW w:type="dxa" w:w="3456"/>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7"/>
              </w:rPr>
              <w:t>₱3,879,490.79</w:t>
            </w:r>
          </w:p>
        </w:tc>
        <w:tc>
          <w:tcPr>
            <w:tcW w:type="dxa" w:w="216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7"/>
              </w:rPr>
              <w:t>9</w:t>
            </w:r>
          </w:p>
        </w:tc>
      </w:tr>
      <w:tr>
        <w:trPr>
          <w:cantSplit/>
        </w:trPr>
        <w:tc>
          <w:tcPr>
            <w:tcW w:type="dxa" w:w="172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7"/>
              </w:rPr>
              <w:t>Apr</w:t>
            </w:r>
          </w:p>
        </w:tc>
        <w:tc>
          <w:tcPr>
            <w:tcW w:type="dxa" w:w="3456"/>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7"/>
              </w:rPr>
              <w:t>₱4,433,381.20</w:t>
            </w:r>
          </w:p>
        </w:tc>
        <w:tc>
          <w:tcPr>
            <w:tcW w:type="dxa" w:w="216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7"/>
              </w:rPr>
              <w:t>9</w:t>
            </w:r>
          </w:p>
        </w:tc>
      </w:tr>
      <w:tr>
        <w:trPr>
          <w:cantSplit/>
        </w:trPr>
        <w:tc>
          <w:tcPr>
            <w:tcW w:type="dxa" w:w="172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7"/>
              </w:rPr>
              <w:t>May</w:t>
            </w:r>
          </w:p>
        </w:tc>
        <w:tc>
          <w:tcPr>
            <w:tcW w:type="dxa" w:w="3456"/>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7"/>
              </w:rPr>
              <w:t>₱9,871,031.23</w:t>
            </w:r>
          </w:p>
        </w:tc>
        <w:tc>
          <w:tcPr>
            <w:tcW w:type="dxa" w:w="216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7"/>
              </w:rPr>
              <w:t>8</w:t>
            </w:r>
          </w:p>
        </w:tc>
      </w:tr>
      <w:tr>
        <w:trPr>
          <w:cantSplit/>
        </w:trPr>
        <w:tc>
          <w:tcPr>
            <w:tcW w:type="dxa" w:w="172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7"/>
              </w:rPr>
              <w:t>Jun</w:t>
            </w:r>
          </w:p>
        </w:tc>
        <w:tc>
          <w:tcPr>
            <w:tcW w:type="dxa" w:w="3456"/>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7"/>
              </w:rPr>
              <w:t>₱7,553,552.93</w:t>
            </w:r>
          </w:p>
        </w:tc>
        <w:tc>
          <w:tcPr>
            <w:tcW w:type="dxa" w:w="216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7"/>
              </w:rPr>
              <w:t>8</w:t>
            </w:r>
          </w:p>
        </w:tc>
      </w:tr>
      <w:tr>
        <w:trPr>
          <w:cantSplit/>
        </w:trPr>
        <w:tc>
          <w:tcPr>
            <w:tcW w:type="dxa" w:w="172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7"/>
              </w:rPr>
              <w:t>Jul</w:t>
            </w:r>
          </w:p>
        </w:tc>
        <w:tc>
          <w:tcPr>
            <w:tcW w:type="dxa" w:w="3456"/>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7"/>
              </w:rPr>
              <w:t>₱6,832,765.69</w:t>
            </w:r>
          </w:p>
        </w:tc>
        <w:tc>
          <w:tcPr>
            <w:tcW w:type="dxa" w:w="216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7"/>
              </w:rPr>
              <w:t>8</w:t>
            </w:r>
          </w:p>
        </w:tc>
      </w:tr>
      <w:tr>
        <w:trPr>
          <w:cantSplit/>
        </w:trPr>
        <w:tc>
          <w:tcPr>
            <w:tcW w:type="dxa" w:w="172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7"/>
              </w:rPr>
              <w:t>Aug</w:t>
            </w:r>
          </w:p>
        </w:tc>
        <w:tc>
          <w:tcPr>
            <w:tcW w:type="dxa" w:w="3456"/>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7"/>
              </w:rPr>
              <w:t>₱5,074,209.17</w:t>
            </w:r>
          </w:p>
        </w:tc>
        <w:tc>
          <w:tcPr>
            <w:tcW w:type="dxa" w:w="216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7"/>
              </w:rPr>
              <w:t>8</w:t>
            </w:r>
          </w:p>
        </w:tc>
      </w:tr>
      <w:tr>
        <w:trPr>
          <w:cantSplit/>
        </w:trPr>
        <w:tc>
          <w:tcPr>
            <w:tcW w:type="dxa" w:w="172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7"/>
              </w:rPr>
              <w:t>Sep</w:t>
            </w:r>
          </w:p>
        </w:tc>
        <w:tc>
          <w:tcPr>
            <w:tcW w:type="dxa" w:w="3456"/>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7"/>
              </w:rPr>
              <w:t>₱6,073,372.18</w:t>
            </w:r>
          </w:p>
        </w:tc>
        <w:tc>
          <w:tcPr>
            <w:tcW w:type="dxa" w:w="216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7"/>
              </w:rPr>
              <w:t>9</w:t>
            </w:r>
          </w:p>
        </w:tc>
      </w:tr>
      <w:tr>
        <w:trPr>
          <w:cantSplit/>
        </w:trPr>
        <w:tc>
          <w:tcPr>
            <w:tcW w:type="dxa" w:w="172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7"/>
              </w:rPr>
              <w:t>Oct</w:t>
            </w:r>
          </w:p>
        </w:tc>
        <w:tc>
          <w:tcPr>
            <w:tcW w:type="dxa" w:w="3456"/>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7"/>
              </w:rPr>
              <w:t>₱6,538,044.40</w:t>
            </w:r>
          </w:p>
        </w:tc>
        <w:tc>
          <w:tcPr>
            <w:tcW w:type="dxa" w:w="216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7"/>
              </w:rPr>
              <w:t>7</w:t>
            </w:r>
          </w:p>
        </w:tc>
      </w:tr>
      <w:tr>
        <w:trPr>
          <w:cantSplit/>
        </w:trPr>
        <w:tc>
          <w:tcPr>
            <w:tcW w:type="dxa" w:w="172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7"/>
              </w:rPr>
              <w:t>Nov</w:t>
            </w:r>
          </w:p>
        </w:tc>
        <w:tc>
          <w:tcPr>
            <w:tcW w:type="dxa" w:w="3456"/>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7"/>
              </w:rPr>
              <w:t>₱6,502,031.32</w:t>
            </w:r>
          </w:p>
        </w:tc>
        <w:tc>
          <w:tcPr>
            <w:tcW w:type="dxa" w:w="216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7"/>
              </w:rPr>
              <w:t>8</w:t>
            </w:r>
          </w:p>
        </w:tc>
      </w:tr>
      <w:tr>
        <w:trPr>
          <w:cantSplit/>
        </w:trPr>
        <w:tc>
          <w:tcPr>
            <w:tcW w:type="dxa" w:w="172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7"/>
              </w:rPr>
              <w:t>Dec</w:t>
            </w:r>
          </w:p>
        </w:tc>
        <w:tc>
          <w:tcPr>
            <w:tcW w:type="dxa" w:w="3456"/>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7"/>
              </w:rPr>
              <w:t>₱7,126,212.47</w:t>
            </w:r>
          </w:p>
        </w:tc>
        <w:tc>
          <w:tcPr>
            <w:tcW w:type="dxa" w:w="216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7"/>
              </w:rPr>
              <w:t>8</w:t>
            </w:r>
          </w:p>
        </w:tc>
      </w:tr>
    </w:tbl>
    <w:p>
      <w:pPr>
        <w:spacing w:before="40" w:after="160"/>
        <w:jc w:val="left"/>
      </w:pPr>
      <w:r>
        <w:rPr>
          <w:rFonts w:ascii="Times New Roman" w:hAnsi="Times New Roman" w:eastAsia="Times New Roman"/>
          <w:i/>
          <w:color w:val="4D4D4D"/>
          <w:sz w:val="17"/>
        </w:rPr>
        <w:t>Source: Descriptive snapshot. The method was an observed calendar-month average, not STL.</w:t>
      </w:r>
    </w:p>
    <w:p>
      <w:pPr>
        <w:keepLines w:val="0"/>
        <w:ind w:firstLine="720"/>
        <w:jc w:val="both"/>
      </w:pPr>
      <w:r>
        <w:t>The proponents used STL to examine the part of the sales record with enough uninterrupted observations. The routine used a 12-month period, a seasonal window of 13, robust fitting, and no imputation. Earlier gaps left January 2020 to December 2025 as the eligible 72-month series. The resulting plot separated trend, seasonality, and remaining variation (Cleveland et al., 1990). It helped describe the sales pattern but did not identify disease or weather as its cause.</w:t>
      </w:r>
    </w:p>
    <w:p>
      <w:pPr>
        <w:keepNext/>
        <w:pageBreakBefore w:val="0"/>
        <w:jc w:val="center"/>
      </w:pPr>
      <w:r>
        <w:drawing>
          <wp:inline xmlns:a="http://schemas.openxmlformats.org/drawingml/2006/main" xmlns:pic="http://schemas.openxmlformats.org/drawingml/2006/picture">
            <wp:extent cx="5715000" cy="3968750"/>
            <wp:docPr id="4" name="Picture 4" title="Figure 4.4 STL decomposition of eligible net sales" descr="Four aligned line charts for observed net sales, trend, seasonal component, and residual from January 2020 through December 2025."/>
            <wp:cNvGraphicFramePr>
              <a:graphicFrameLocks noChangeAspect="1"/>
            </wp:cNvGraphicFramePr>
            <a:graphic>
              <a:graphicData uri="http://schemas.openxmlformats.org/drawingml/2006/picture">
                <pic:pic>
                  <pic:nvPicPr>
                    <pic:cNvPr id="0" name="stl_components.png"/>
                    <pic:cNvPicPr/>
                  </pic:nvPicPr>
                  <pic:blipFill>
                    <a:blip r:embed="rId13"/>
                    <a:stretch>
                      <a:fillRect/>
                    </a:stretch>
                  </pic:blipFill>
                  <pic:spPr>
                    <a:xfrm>
                      <a:off x="0" y="0"/>
                      <a:ext cx="5715000" cy="3968750"/>
                    </a:xfrm>
                    <a:prstGeom prst="rect"/>
                  </pic:spPr>
                </pic:pic>
              </a:graphicData>
            </a:graphic>
          </wp:inline>
        </w:drawing>
      </w:r>
    </w:p>
    <w:p>
      <w:pPr>
        <w:pStyle w:val="Caption"/>
        <w:keepNext/>
        <w:spacing w:before="80" w:after="40"/>
        <w:jc w:val="center"/>
      </w:pPr>
      <w:r>
        <w:rPr>
          <w:rFonts w:ascii="Times New Roman" w:hAnsi="Times New Roman" w:eastAsia="Times New Roman"/>
          <w:b/>
          <w:color w:val="000000"/>
          <w:sz w:val="20"/>
        </w:rPr>
        <w:t>Figure 4.4 STL decomposition of eligible net sales</w:t>
      </w:r>
    </w:p>
    <w:p>
      <w:pPr>
        <w:spacing w:before="40" w:after="160"/>
        <w:jc w:val="left"/>
      </w:pPr>
      <w:r>
        <w:rPr>
          <w:rFonts w:ascii="Times New Roman" w:hAnsi="Times New Roman" w:eastAsia="Times New Roman"/>
          <w:i/>
          <w:color w:val="4D4D4D"/>
          <w:sz w:val="17"/>
        </w:rPr>
        <w:t>Source: Checksum-bound STL evidence generated with statsmodels 0.14.6.</w:t>
      </w:r>
    </w:p>
    <w:p>
      <w:pPr>
        <w:pStyle w:val="Heading2"/>
        <w:keepNext/>
      </w:pPr>
      <w:r>
        <w:t>4.2.2 Product and Area Prioritization</w:t>
      </w:r>
    </w:p>
    <w:p>
      <w:pPr>
        <w:keepLines w:val="0"/>
        <w:ind w:firstLine="720"/>
        <w:jc w:val="both"/>
      </w:pPr>
      <w:r>
        <w:t>For the product-priority objective, the proponents ranked labels by their contribution to positive sales and grouped them through a deterministic Pareto or ABC method. The rankings showed historical value, not future demand or stock-out risk. No predictive XGBoost classifier had been approved, so the chapter did not present an ABC label as a prediction.</w:t>
      </w:r>
    </w:p>
    <w:p>
      <w:pPr>
        <w:pStyle w:val="Caption"/>
        <w:keepNext/>
        <w:pageBreakBefore w:val="0"/>
        <w:spacing w:after="80"/>
      </w:pPr>
      <w:r>
        <w:rPr>
          <w:rFonts w:ascii="Times New Roman" w:hAnsi="Times New Roman" w:eastAsia="Times New Roman"/>
          <w:b/>
          <w:color w:val="000000"/>
          <w:sz w:val="20"/>
        </w:rPr>
        <w:t>Table 4.7 Top source product labels by net sales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72"/>
        <w:gridCol w:w="1872"/>
        <w:gridCol w:w="1872"/>
        <w:gridCol w:w="1872"/>
        <w:gridCol w:w="1872"/>
      </w:tblGrid>
      <w:tr>
        <w:trPr>
          <w:tblHeader w:val="true"/>
          <w:cantSplit/>
        </w:trPr>
        <w:tc>
          <w:tcPr>
            <w:tcW w:type="dxa" w:w="648"/>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Rank</w:t>
            </w:r>
          </w:p>
        </w:tc>
        <w:tc>
          <w:tcPr>
            <w:tcW w:type="dxa" w:w="3816"/>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Source product label</w:t>
            </w:r>
          </w:p>
        </w:tc>
        <w:tc>
          <w:tcPr>
            <w:tcW w:type="dxa" w:w="2232"/>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Net sales</w:t>
            </w:r>
          </w:p>
        </w:tc>
        <w:tc>
          <w:tcPr>
            <w:tcW w:type="dxa" w:w="1080"/>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Share</w:t>
            </w:r>
          </w:p>
        </w:tc>
        <w:tc>
          <w:tcPr>
            <w:tcW w:type="dxa" w:w="792"/>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ABC</w:t>
            </w:r>
          </w:p>
        </w:tc>
      </w:tr>
      <w:tr>
        <w:trPr>
          <w:cantSplit/>
        </w:trPr>
        <w:tc>
          <w:tcPr>
            <w:tcW w:type="dxa" w:w="64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1</w:t>
            </w:r>
          </w:p>
        </w:tc>
        <w:tc>
          <w:tcPr>
            <w:tcW w:type="dxa" w:w="381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SPEEDA 2.5IU/0.5ML</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₱22,466,448.23</w:t>
            </w:r>
          </w:p>
        </w:tc>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3.57%</w:t>
            </w:r>
          </w:p>
        </w:tc>
        <w:tc>
          <w:tcPr>
            <w:tcW w:type="dxa" w:w="792"/>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A</w:t>
            </w:r>
          </w:p>
        </w:tc>
      </w:tr>
      <w:tr>
        <w:trPr>
          <w:cantSplit/>
        </w:trPr>
        <w:tc>
          <w:tcPr>
            <w:tcW w:type="dxa" w:w="64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2</w:t>
            </w:r>
          </w:p>
        </w:tc>
        <w:tc>
          <w:tcPr>
            <w:tcW w:type="dxa" w:w="381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PROHAB 10MG/ML 20ML</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₱16,530,532.11</w:t>
            </w:r>
          </w:p>
        </w:tc>
        <w:tc>
          <w:tcPr>
            <w:tcW w:type="dxa" w:w="108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2.63%</w:t>
            </w:r>
          </w:p>
        </w:tc>
        <w:tc>
          <w:tcPr>
            <w:tcW w:type="dxa" w:w="792"/>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A</w:t>
            </w:r>
          </w:p>
        </w:tc>
      </w:tr>
      <w:tr>
        <w:trPr>
          <w:cantSplit/>
        </w:trPr>
        <w:tc>
          <w:tcPr>
            <w:tcW w:type="dxa" w:w="64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3</w:t>
            </w:r>
          </w:p>
        </w:tc>
        <w:tc>
          <w:tcPr>
            <w:tcW w:type="dxa" w:w="381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BUPIRIGHT 5MG/ML 0.5% IN 8% 4ML</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₱15,966,455.39</w:t>
            </w:r>
          </w:p>
        </w:tc>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2.54%</w:t>
            </w:r>
          </w:p>
        </w:tc>
        <w:tc>
          <w:tcPr>
            <w:tcW w:type="dxa" w:w="792"/>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A</w:t>
            </w:r>
          </w:p>
        </w:tc>
      </w:tr>
      <w:tr>
        <w:trPr>
          <w:cantSplit/>
        </w:trPr>
        <w:tc>
          <w:tcPr>
            <w:tcW w:type="dxa" w:w="64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4</w:t>
            </w:r>
          </w:p>
        </w:tc>
        <w:tc>
          <w:tcPr>
            <w:tcW w:type="dxa" w:w="381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SITIXON 1G</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₱13,051,271.68</w:t>
            </w:r>
          </w:p>
        </w:tc>
        <w:tc>
          <w:tcPr>
            <w:tcW w:type="dxa" w:w="108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2.08%</w:t>
            </w:r>
          </w:p>
        </w:tc>
        <w:tc>
          <w:tcPr>
            <w:tcW w:type="dxa" w:w="792"/>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A</w:t>
            </w:r>
          </w:p>
        </w:tc>
      </w:tr>
      <w:tr>
        <w:trPr>
          <w:cantSplit/>
        </w:trPr>
        <w:tc>
          <w:tcPr>
            <w:tcW w:type="dxa" w:w="64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5</w:t>
            </w:r>
          </w:p>
        </w:tc>
        <w:tc>
          <w:tcPr>
            <w:tcW w:type="dxa" w:w="381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MONOWEL 1G IV</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₱12,313,552.50</w:t>
            </w:r>
          </w:p>
        </w:tc>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1.96%</w:t>
            </w:r>
          </w:p>
        </w:tc>
        <w:tc>
          <w:tcPr>
            <w:tcW w:type="dxa" w:w="792"/>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A</w:t>
            </w:r>
          </w:p>
        </w:tc>
      </w:tr>
      <w:tr>
        <w:trPr>
          <w:cantSplit/>
        </w:trPr>
        <w:tc>
          <w:tcPr>
            <w:tcW w:type="dxa" w:w="64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6</w:t>
            </w:r>
          </w:p>
        </w:tc>
        <w:tc>
          <w:tcPr>
            <w:tcW w:type="dxa" w:w="381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PROFUREX 750MG</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₱11,987,494.40</w:t>
            </w:r>
          </w:p>
        </w:tc>
        <w:tc>
          <w:tcPr>
            <w:tcW w:type="dxa" w:w="108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1.91%</w:t>
            </w:r>
          </w:p>
        </w:tc>
        <w:tc>
          <w:tcPr>
            <w:tcW w:type="dxa" w:w="792"/>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A</w:t>
            </w:r>
          </w:p>
        </w:tc>
      </w:tr>
      <w:tr>
        <w:trPr>
          <w:cantSplit/>
        </w:trPr>
        <w:tc>
          <w:tcPr>
            <w:tcW w:type="dxa" w:w="64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7</w:t>
            </w:r>
          </w:p>
        </w:tc>
        <w:tc>
          <w:tcPr>
            <w:tcW w:type="dxa" w:w="381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EVAPROST 250MCG/ML</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₱9,753,530.12</w:t>
            </w:r>
          </w:p>
        </w:tc>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1.55%</w:t>
            </w:r>
          </w:p>
        </w:tc>
        <w:tc>
          <w:tcPr>
            <w:tcW w:type="dxa" w:w="792"/>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A</w:t>
            </w:r>
          </w:p>
        </w:tc>
      </w:tr>
      <w:tr>
        <w:trPr>
          <w:cantSplit/>
        </w:trPr>
        <w:tc>
          <w:tcPr>
            <w:tcW w:type="dxa" w:w="64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8</w:t>
            </w:r>
          </w:p>
        </w:tc>
        <w:tc>
          <w:tcPr>
            <w:tcW w:type="dxa" w:w="381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F6 FETAL MONITOR SINGLE</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₱7,848,998.50</w:t>
            </w:r>
          </w:p>
        </w:tc>
        <w:tc>
          <w:tcPr>
            <w:tcW w:type="dxa" w:w="108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1.25%</w:t>
            </w:r>
          </w:p>
        </w:tc>
        <w:tc>
          <w:tcPr>
            <w:tcW w:type="dxa" w:w="792"/>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A</w:t>
            </w:r>
          </w:p>
        </w:tc>
      </w:tr>
      <w:tr>
        <w:trPr>
          <w:cantSplit/>
        </w:trPr>
        <w:tc>
          <w:tcPr>
            <w:tcW w:type="dxa" w:w="64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9</w:t>
            </w:r>
          </w:p>
        </w:tc>
        <w:tc>
          <w:tcPr>
            <w:tcW w:type="dxa" w:w="381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SPEEDA</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₱7,558,970.97</w:t>
            </w:r>
          </w:p>
        </w:tc>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1.20%</w:t>
            </w:r>
          </w:p>
        </w:tc>
        <w:tc>
          <w:tcPr>
            <w:tcW w:type="dxa" w:w="792"/>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A</w:t>
            </w:r>
          </w:p>
        </w:tc>
      </w:tr>
      <w:tr>
        <w:trPr>
          <w:cantSplit/>
        </w:trPr>
        <w:tc>
          <w:tcPr>
            <w:tcW w:type="dxa" w:w="64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10</w:t>
            </w:r>
          </w:p>
        </w:tc>
        <w:tc>
          <w:tcPr>
            <w:tcW w:type="dxa" w:w="381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EUROXONE 1G</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₱7,311,190.91</w:t>
            </w:r>
          </w:p>
        </w:tc>
        <w:tc>
          <w:tcPr>
            <w:tcW w:type="dxa" w:w="108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1.16%</w:t>
            </w:r>
          </w:p>
        </w:tc>
        <w:tc>
          <w:tcPr>
            <w:tcW w:type="dxa" w:w="792"/>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A</w:t>
            </w:r>
          </w:p>
        </w:tc>
      </w:tr>
    </w:tbl>
    <w:p>
      <w:pPr>
        <w:spacing w:before="40" w:after="160"/>
        <w:jc w:val="left"/>
      </w:pPr>
      <w:r>
        <w:rPr>
          <w:rFonts w:ascii="Times New Roman" w:hAnsi="Times New Roman" w:eastAsia="Times New Roman"/>
          <w:i/>
          <w:color w:val="4D4D4D"/>
          <w:sz w:val="17"/>
        </w:rPr>
        <w:t>Source: Delta version-15 descriptive receipt and Databricks product candidate logic. The share denominator was positive eligible product sales of approximately ₱628.57 million, not overall net sales of ₱626.95 million. Labels were not approved canonical SKUs.</w:t>
      </w:r>
    </w:p>
    <w:p>
      <w:pPr>
        <w:keepNext/>
        <w:pageBreakBefore w:val="0"/>
        <w:jc w:val="center"/>
      </w:pPr>
      <w:r>
        <w:drawing>
          <wp:inline xmlns:a="http://schemas.openxmlformats.org/drawingml/2006/main" xmlns:pic="http://schemas.openxmlformats.org/drawingml/2006/picture">
            <wp:extent cx="5715000" cy="3016250"/>
            <wp:docPr id="5" name="Picture 5" title="Figure 4.5 Top ten source product labels by net sales" descr="Horizontal bars comparing net sales for the ten highest source product labels in the full candidate population."/>
            <wp:cNvGraphicFramePr>
              <a:graphicFrameLocks noChangeAspect="1"/>
            </wp:cNvGraphicFramePr>
            <a:graphic>
              <a:graphicData uri="http://schemas.openxmlformats.org/drawingml/2006/picture">
                <pic:pic>
                  <pic:nvPicPr>
                    <pic:cNvPr id="0" name="top_products.png"/>
                    <pic:cNvPicPr/>
                  </pic:nvPicPr>
                  <pic:blipFill>
                    <a:blip r:embed="rId14"/>
                    <a:stretch>
                      <a:fillRect/>
                    </a:stretch>
                  </pic:blipFill>
                  <pic:spPr>
                    <a:xfrm>
                      <a:off x="0" y="0"/>
                      <a:ext cx="5715000" cy="3016250"/>
                    </a:xfrm>
                    <a:prstGeom prst="rect"/>
                  </pic:spPr>
                </pic:pic>
              </a:graphicData>
            </a:graphic>
          </wp:inline>
        </w:drawing>
      </w:r>
    </w:p>
    <w:p>
      <w:pPr>
        <w:pStyle w:val="Caption"/>
        <w:keepNext/>
        <w:spacing w:before="80" w:after="40"/>
        <w:jc w:val="center"/>
      </w:pPr>
      <w:r>
        <w:rPr>
          <w:rFonts w:ascii="Times New Roman" w:hAnsi="Times New Roman" w:eastAsia="Times New Roman"/>
          <w:b/>
          <w:color w:val="000000"/>
          <w:sz w:val="20"/>
        </w:rPr>
        <w:t>Figure 4.5 Top ten source product labels by net sales</w:t>
      </w:r>
    </w:p>
    <w:p>
      <w:pPr>
        <w:spacing w:before="40" w:after="160"/>
        <w:jc w:val="left"/>
      </w:pPr>
      <w:r>
        <w:rPr>
          <w:rFonts w:ascii="Times New Roman" w:hAnsi="Times New Roman" w:eastAsia="Times New Roman"/>
          <w:i/>
          <w:color w:val="4D4D4D"/>
          <w:sz w:val="17"/>
        </w:rPr>
        <w:t>Source: Generated from the descriptive calculation receipt.</w:t>
      </w:r>
    </w:p>
    <w:p>
      <w:pPr>
        <w:keepLines w:val="0"/>
        <w:ind w:firstLine="720"/>
        <w:jc w:val="both"/>
      </w:pPr>
      <w:r>
        <w:t>SPEEDA 2.5IU/0.5ML led the source product labels with ₱22,466,448.23, or 3.57 percent of positive eligible product sales. The five leading labels contributed 12.78 percent, and the top ten contributed 19.85 percent on the same basis. Signed returns explained why the overall net-sales total was lower than the positive-sales base. Sales were spread across many labels, so the proponents used the full list for Pareto grouping. Separate SPEEDA entries also raised the possibility of naming differences for the same commercial product. Although research described broader multiple-criteria ABC methods, MedShield's reported grouping used revenue and had not been validated as a multi-criteria classifier (Flores and Whybark, 1986).</w:t>
      </w:r>
    </w:p>
    <w:p>
      <w:pPr>
        <w:pStyle w:val="Caption"/>
        <w:keepNext/>
        <w:pageBreakBefore w:val="0"/>
        <w:spacing w:after="80"/>
      </w:pPr>
      <w:r>
        <w:rPr>
          <w:rFonts w:ascii="Times New Roman" w:hAnsi="Times New Roman" w:eastAsia="Times New Roman"/>
          <w:b/>
          <w:color w:val="000000"/>
          <w:sz w:val="20"/>
        </w:rPr>
        <w:t>Table 4.8 Top derived area labels by net sales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72"/>
        <w:gridCol w:w="1872"/>
        <w:gridCol w:w="1872"/>
        <w:gridCol w:w="1872"/>
        <w:gridCol w:w="1872"/>
      </w:tblGrid>
      <w:tr>
        <w:trPr>
          <w:tblHeader w:val="true"/>
          <w:cantSplit/>
        </w:trPr>
        <w:tc>
          <w:tcPr>
            <w:tcW w:type="dxa" w:w="648"/>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Rank</w:t>
            </w:r>
          </w:p>
        </w:tc>
        <w:tc>
          <w:tcPr>
            <w:tcW w:type="dxa" w:w="2088"/>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Derived label</w:t>
            </w:r>
          </w:p>
        </w:tc>
        <w:tc>
          <w:tcPr>
            <w:tcW w:type="dxa" w:w="2232"/>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Net sales</w:t>
            </w:r>
          </w:p>
        </w:tc>
        <w:tc>
          <w:tcPr>
            <w:tcW w:type="dxa" w:w="1080"/>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Share</w:t>
            </w:r>
          </w:p>
        </w:tc>
        <w:tc>
          <w:tcPr>
            <w:tcW w:type="dxa" w:w="2376"/>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Workbook gross profit</w:t>
            </w:r>
          </w:p>
        </w:tc>
      </w:tr>
      <w:tr>
        <w:trPr>
          <w:cantSplit/>
        </w:trPr>
        <w:tc>
          <w:tcPr>
            <w:tcW w:type="dxa" w:w="64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1</w:t>
            </w:r>
          </w:p>
        </w:tc>
        <w:tc>
          <w:tcPr>
            <w:tcW w:type="dxa" w:w="208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GOVERNMENT</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₱310,629,101.40</w:t>
            </w:r>
          </w:p>
        </w:tc>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49.55%</w:t>
            </w:r>
          </w:p>
        </w:tc>
        <w:tc>
          <w:tcPr>
            <w:tcW w:type="dxa" w:w="2376"/>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₱130,353,976.35</w:t>
            </w:r>
          </w:p>
        </w:tc>
      </w:tr>
      <w:tr>
        <w:trPr>
          <w:cantSplit/>
        </w:trPr>
        <w:tc>
          <w:tcPr>
            <w:tcW w:type="dxa" w:w="64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2</w:t>
            </w:r>
          </w:p>
        </w:tc>
        <w:tc>
          <w:tcPr>
            <w:tcW w:type="dxa" w:w="208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HOSPITAL</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₱165,121,239.71</w:t>
            </w:r>
          </w:p>
        </w:tc>
        <w:tc>
          <w:tcPr>
            <w:tcW w:type="dxa" w:w="108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26.34%</w:t>
            </w:r>
          </w:p>
        </w:tc>
        <w:tc>
          <w:tcPr>
            <w:tcW w:type="dxa" w:w="2376"/>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₱69,103,315.46</w:t>
            </w:r>
          </w:p>
        </w:tc>
      </w:tr>
      <w:tr>
        <w:trPr>
          <w:cantSplit/>
        </w:trPr>
        <w:tc>
          <w:tcPr>
            <w:tcW w:type="dxa" w:w="64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3</w:t>
            </w:r>
          </w:p>
        </w:tc>
        <w:tc>
          <w:tcPr>
            <w:tcW w:type="dxa" w:w="208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BATANGAS</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₱28,556,256.25</w:t>
            </w:r>
          </w:p>
        </w:tc>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4.55%</w:t>
            </w:r>
          </w:p>
        </w:tc>
        <w:tc>
          <w:tcPr>
            <w:tcW w:type="dxa" w:w="2376"/>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₱17,838,380.41</w:t>
            </w:r>
          </w:p>
        </w:tc>
      </w:tr>
      <w:tr>
        <w:trPr>
          <w:cantSplit/>
        </w:trPr>
        <w:tc>
          <w:tcPr>
            <w:tcW w:type="dxa" w:w="64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4</w:t>
            </w:r>
          </w:p>
        </w:tc>
        <w:tc>
          <w:tcPr>
            <w:tcW w:type="dxa" w:w="208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QUEZON</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₱27,207,048.54</w:t>
            </w:r>
          </w:p>
        </w:tc>
        <w:tc>
          <w:tcPr>
            <w:tcW w:type="dxa" w:w="108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4.34%</w:t>
            </w:r>
          </w:p>
        </w:tc>
        <w:tc>
          <w:tcPr>
            <w:tcW w:type="dxa" w:w="2376"/>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₱17,340,506.74</w:t>
            </w:r>
          </w:p>
        </w:tc>
      </w:tr>
      <w:tr>
        <w:trPr>
          <w:cantSplit/>
        </w:trPr>
        <w:tc>
          <w:tcPr>
            <w:tcW w:type="dxa" w:w="64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5</w:t>
            </w:r>
          </w:p>
        </w:tc>
        <w:tc>
          <w:tcPr>
            <w:tcW w:type="dxa" w:w="208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ADMIN</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₱16,359,733.69</w:t>
            </w:r>
          </w:p>
        </w:tc>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2.61%</w:t>
            </w:r>
          </w:p>
        </w:tc>
        <w:tc>
          <w:tcPr>
            <w:tcW w:type="dxa" w:w="2376"/>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₱8,706,600.10</w:t>
            </w:r>
          </w:p>
        </w:tc>
      </w:tr>
      <w:tr>
        <w:trPr>
          <w:cantSplit/>
        </w:trPr>
        <w:tc>
          <w:tcPr>
            <w:tcW w:type="dxa" w:w="64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6</w:t>
            </w:r>
          </w:p>
        </w:tc>
        <w:tc>
          <w:tcPr>
            <w:tcW w:type="dxa" w:w="208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EQUIPMENT</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₱14,475,259.73</w:t>
            </w:r>
          </w:p>
        </w:tc>
        <w:tc>
          <w:tcPr>
            <w:tcW w:type="dxa" w:w="108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2.31%</w:t>
            </w:r>
          </w:p>
        </w:tc>
        <w:tc>
          <w:tcPr>
            <w:tcW w:type="dxa" w:w="2376"/>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₱7,679,164.32</w:t>
            </w:r>
          </w:p>
        </w:tc>
      </w:tr>
      <w:tr>
        <w:trPr>
          <w:cantSplit/>
        </w:trPr>
        <w:tc>
          <w:tcPr>
            <w:tcW w:type="dxa" w:w="64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7</w:t>
            </w:r>
          </w:p>
        </w:tc>
        <w:tc>
          <w:tcPr>
            <w:tcW w:type="dxa" w:w="208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LAGUNA</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₱14,376,324.92</w:t>
            </w:r>
          </w:p>
        </w:tc>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2.29%</w:t>
            </w:r>
          </w:p>
        </w:tc>
        <w:tc>
          <w:tcPr>
            <w:tcW w:type="dxa" w:w="2376"/>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₱8,509,063.56</w:t>
            </w:r>
          </w:p>
        </w:tc>
      </w:tr>
      <w:tr>
        <w:trPr>
          <w:cantSplit/>
        </w:trPr>
        <w:tc>
          <w:tcPr>
            <w:tcW w:type="dxa" w:w="64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8</w:t>
            </w:r>
          </w:p>
        </w:tc>
        <w:tc>
          <w:tcPr>
            <w:tcW w:type="dxa" w:w="208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MARINDUQUE</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₱13,469,314.65</w:t>
            </w:r>
          </w:p>
        </w:tc>
        <w:tc>
          <w:tcPr>
            <w:tcW w:type="dxa" w:w="108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2.15%</w:t>
            </w:r>
          </w:p>
        </w:tc>
        <w:tc>
          <w:tcPr>
            <w:tcW w:type="dxa" w:w="2376"/>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₱6,984,765.63</w:t>
            </w:r>
          </w:p>
        </w:tc>
      </w:tr>
      <w:tr>
        <w:trPr>
          <w:cantSplit/>
        </w:trPr>
        <w:tc>
          <w:tcPr>
            <w:tcW w:type="dxa" w:w="64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9</w:t>
            </w:r>
          </w:p>
        </w:tc>
        <w:tc>
          <w:tcPr>
            <w:tcW w:type="dxa" w:w="208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CAM NORTE</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₱11,638,151.07</w:t>
            </w:r>
          </w:p>
        </w:tc>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1.86%</w:t>
            </w:r>
          </w:p>
        </w:tc>
        <w:tc>
          <w:tcPr>
            <w:tcW w:type="dxa" w:w="2376"/>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₱7,508,275.57</w:t>
            </w:r>
          </w:p>
        </w:tc>
      </w:tr>
      <w:tr>
        <w:trPr>
          <w:cantSplit/>
        </w:trPr>
        <w:tc>
          <w:tcPr>
            <w:tcW w:type="dxa" w:w="64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10</w:t>
            </w:r>
          </w:p>
        </w:tc>
        <w:tc>
          <w:tcPr>
            <w:tcW w:type="dxa" w:w="208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CAVITE</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₱7,799,599.04</w:t>
            </w:r>
          </w:p>
        </w:tc>
        <w:tc>
          <w:tcPr>
            <w:tcW w:type="dxa" w:w="108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1.24%</w:t>
            </w:r>
          </w:p>
        </w:tc>
        <w:tc>
          <w:tcPr>
            <w:tcW w:type="dxa" w:w="2376"/>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₱5,155,855.62</w:t>
            </w:r>
          </w:p>
        </w:tc>
      </w:tr>
    </w:tbl>
    <w:p>
      <w:pPr>
        <w:spacing w:before="40" w:after="160"/>
        <w:jc w:val="left"/>
      </w:pPr>
      <w:r>
        <w:rPr>
          <w:rFonts w:ascii="Times New Roman" w:hAnsi="Times New Roman" w:eastAsia="Times New Roman"/>
          <w:i/>
          <w:color w:val="4D4D4D"/>
          <w:sz w:val="17"/>
        </w:rPr>
        <w:t>Source: Databricks area candidate view. Mixed commercial labels; not a pure geography dimension.</w:t>
      </w:r>
    </w:p>
    <w:p>
      <w:pPr>
        <w:keepNext/>
        <w:pageBreakBefore w:val="0"/>
        <w:jc w:val="center"/>
      </w:pPr>
      <w:r>
        <w:drawing>
          <wp:inline xmlns:a="http://schemas.openxmlformats.org/drawingml/2006/main" xmlns:pic="http://schemas.openxmlformats.org/drawingml/2006/picture">
            <wp:extent cx="5715000" cy="3016250"/>
            <wp:docPr id="6" name="Picture 6" title="Figure 4.6 Top ten derived area labels by net sales" descr="Horizontal bars comparing net sales for the ten highest derived area labels, led by Government and Hospital."/>
            <wp:cNvGraphicFramePr>
              <a:graphicFrameLocks noChangeAspect="1"/>
            </wp:cNvGraphicFramePr>
            <a:graphic>
              <a:graphicData uri="http://schemas.openxmlformats.org/drawingml/2006/picture">
                <pic:pic>
                  <pic:nvPicPr>
                    <pic:cNvPr id="0" name="top_areas.png"/>
                    <pic:cNvPicPr/>
                  </pic:nvPicPr>
                  <pic:blipFill>
                    <a:blip r:embed="rId15"/>
                    <a:stretch>
                      <a:fillRect/>
                    </a:stretch>
                  </pic:blipFill>
                  <pic:spPr>
                    <a:xfrm>
                      <a:off x="0" y="0"/>
                      <a:ext cx="5715000" cy="3016250"/>
                    </a:xfrm>
                    <a:prstGeom prst="rect"/>
                  </pic:spPr>
                </pic:pic>
              </a:graphicData>
            </a:graphic>
          </wp:inline>
        </w:drawing>
      </w:r>
    </w:p>
    <w:p>
      <w:pPr>
        <w:pStyle w:val="Caption"/>
        <w:keepNext/>
        <w:spacing w:before="80" w:after="40"/>
        <w:jc w:val="center"/>
      </w:pPr>
      <w:r>
        <w:rPr>
          <w:rFonts w:ascii="Times New Roman" w:hAnsi="Times New Roman" w:eastAsia="Times New Roman"/>
          <w:b/>
          <w:color w:val="000000"/>
          <w:sz w:val="20"/>
        </w:rPr>
        <w:t>Figure 4.6 Top ten derived area labels by net sales</w:t>
      </w:r>
    </w:p>
    <w:p>
      <w:pPr>
        <w:spacing w:before="40" w:after="160"/>
        <w:jc w:val="left"/>
      </w:pPr>
      <w:r>
        <w:rPr>
          <w:rFonts w:ascii="Times New Roman" w:hAnsi="Times New Roman" w:eastAsia="Times New Roman"/>
          <w:i/>
          <w:color w:val="4D4D4D"/>
          <w:sz w:val="17"/>
        </w:rPr>
        <w:t>Source: Generated from the descriptive calculation receipt.</w:t>
      </w:r>
    </w:p>
    <w:p>
      <w:pPr>
        <w:keepLines w:val="0"/>
        <w:ind w:firstLine="720"/>
        <w:jc w:val="both"/>
      </w:pPr>
      <w:r>
        <w:t>GOVERNMENT accounted for 49.55 percent of candidate net sales, followed by HOSPITAL at 26.34 percent. The proponents did not interpret either label as a province or territory. The legacy area field also contained Batangas, Quezon, Laguna, Marinduque, Camarines Norte, and Cavite, so it mixed buyer groups with places. MedShield showed buyer-sector and geographic mappings separately, but owner approval was still pending. The GOVERNMENT share therefore described the candidate sales grouping, not a verified geographic market share.</w:t>
      </w:r>
    </w:p>
    <w:p>
      <w:pPr>
        <w:pStyle w:val="Heading2"/>
        <w:keepNext/>
      </w:pPr>
      <w:r>
        <w:t>4.2.3 Forecast Evaluation and External Signals</w:t>
      </w:r>
    </w:p>
    <w:p>
      <w:pPr>
        <w:keepLines w:val="0"/>
        <w:ind w:firstLine="720"/>
        <w:jc w:val="both"/>
      </w:pPr>
      <w:r>
        <w:t>The proponents completed a forecast comparison but not an operational forecast. In a fixed-origin test using Government net sales, the last-observed-value method performed better than the seasonal-naive method over the same nine observed holdout months. Both methods still had large errors and tended to underpredict. The result helped the proponents compare transparent baselines; it did not justify releasing a forecast for planning.</w:t>
      </w:r>
    </w:p>
    <w:p>
      <w:pPr>
        <w:keepLines w:val="0"/>
        <w:ind w:firstLine="720"/>
        <w:jc w:val="both"/>
      </w:pPr>
      <w:r>
        <w:t>The reviewed Gold data contained no actual MedShield sales for 2026. As a result, the dashboard's 2026 gap estimates could not be used as actual outcomes or a 2026 forecast holdout. The proponents evaluated forecasting methods against observed months from 2017 to 2025 and kept the elapsed-2026 estimates as temporary planning context while client records were pending.</w:t>
      </w:r>
    </w:p>
    <w:p>
      <w:pPr>
        <w:pStyle w:val="Caption"/>
        <w:keepNext/>
        <w:pageBreakBefore w:val="0"/>
        <w:spacing w:after="80"/>
      </w:pPr>
      <w:r>
        <w:rPr>
          <w:rFonts w:ascii="Times New Roman" w:hAnsi="Times New Roman" w:eastAsia="Times New Roman"/>
          <w:b/>
          <w:color w:val="000000"/>
          <w:sz w:val="20"/>
        </w:rPr>
        <w:t>Table 4.9 Fixed origin Government net sales benchmark</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60"/>
        <w:gridCol w:w="1560"/>
        <w:gridCol w:w="1560"/>
        <w:gridCol w:w="1560"/>
        <w:gridCol w:w="1560"/>
        <w:gridCol w:w="1560"/>
      </w:tblGrid>
      <w:tr>
        <w:trPr>
          <w:tblHeader w:val="true"/>
          <w:cantSplit/>
        </w:trPr>
        <w:tc>
          <w:tcPr>
            <w:tcW w:type="dxa" w:w="2088"/>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Method</w:t>
            </w:r>
          </w:p>
        </w:tc>
        <w:tc>
          <w:tcPr>
            <w:tcW w:type="dxa" w:w="1152"/>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Paired months</w:t>
            </w:r>
          </w:p>
        </w:tc>
        <w:tc>
          <w:tcPr>
            <w:tcW w:type="dxa" w:w="1800"/>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MAE</w:t>
            </w:r>
          </w:p>
        </w:tc>
        <w:tc>
          <w:tcPr>
            <w:tcW w:type="dxa" w:w="1800"/>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RMSE</w:t>
            </w:r>
          </w:p>
        </w:tc>
        <w:tc>
          <w:tcPr>
            <w:tcW w:type="dxa" w:w="1080"/>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WAPE</w:t>
            </w:r>
          </w:p>
        </w:tc>
        <w:tc>
          <w:tcPr>
            <w:tcW w:type="dxa" w:w="1728"/>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Bias</w:t>
            </w:r>
          </w:p>
        </w:tc>
      </w:tr>
      <w:tr>
        <w:trPr>
          <w:cantSplit/>
        </w:trPr>
        <w:tc>
          <w:tcPr>
            <w:tcW w:type="dxa" w:w="208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Seasonal naive</w:t>
            </w:r>
          </w:p>
        </w:tc>
        <w:tc>
          <w:tcPr>
            <w:tcW w:type="dxa" w:w="1152"/>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9</w:t>
            </w:r>
          </w:p>
        </w:tc>
        <w:tc>
          <w:tcPr>
            <w:tcW w:type="dxa" w:w="1800"/>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₱2,695,359.26</w:t>
            </w:r>
          </w:p>
        </w:tc>
        <w:tc>
          <w:tcPr>
            <w:tcW w:type="dxa" w:w="1800"/>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₱3,459,768.58</w:t>
            </w:r>
          </w:p>
        </w:tc>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85.05%</w:t>
            </w:r>
          </w:p>
        </w:tc>
        <w:tc>
          <w:tcPr>
            <w:tcW w:type="dxa" w:w="1728"/>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-₱2,574,060.06</w:t>
            </w:r>
          </w:p>
        </w:tc>
      </w:tr>
      <w:tr>
        <w:trPr>
          <w:cantSplit/>
        </w:trPr>
        <w:tc>
          <w:tcPr>
            <w:tcW w:type="dxa" w:w="208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Last observed value</w:t>
            </w:r>
          </w:p>
        </w:tc>
        <w:tc>
          <w:tcPr>
            <w:tcW w:type="dxa" w:w="1152"/>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9</w:t>
            </w:r>
          </w:p>
        </w:tc>
        <w:tc>
          <w:tcPr>
            <w:tcW w:type="dxa" w:w="1800"/>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₱1,987,359.74</w:t>
            </w:r>
          </w:p>
        </w:tc>
        <w:tc>
          <w:tcPr>
            <w:tcW w:type="dxa" w:w="1800"/>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₱2,632,312.49</w:t>
            </w:r>
          </w:p>
        </w:tc>
        <w:tc>
          <w:tcPr>
            <w:tcW w:type="dxa" w:w="108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62.71%</w:t>
            </w:r>
          </w:p>
        </w:tc>
        <w:tc>
          <w:tcPr>
            <w:tcW w:type="dxa" w:w="1728"/>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-₱1,230,712.16</w:t>
            </w:r>
          </w:p>
        </w:tc>
      </w:tr>
    </w:tbl>
    <w:p>
      <w:pPr>
        <w:spacing w:before="40" w:after="160"/>
        <w:jc w:val="left"/>
      </w:pPr>
      <w:r>
        <w:rPr>
          <w:rFonts w:ascii="Times New Roman" w:hAnsi="Times New Roman" w:eastAsia="Times New Roman"/>
          <w:i/>
          <w:color w:val="4D4D4D"/>
          <w:sz w:val="17"/>
        </w:rPr>
        <w:t>Source: Section 8 historical acceptance evidence. Missing actuals were excluded rather than set to zero.</w:t>
      </w:r>
    </w:p>
    <w:p>
      <w:pPr>
        <w:keepLines w:val="0"/>
        <w:ind w:firstLine="720"/>
        <w:jc w:val="both"/>
      </w:pPr>
      <w:r>
        <w:t>The proponents later compared 15 offline configurations: four simple benchmarks, two ETS models, and nine Prophet configurations. Last value had the best development selection result, with 83.20 percent development WAPE and 37.76 percent retrospective 2025 WAPE. No alternative met the release criteria, and the available results did not support empirical uncertainty intervals. The model release pointer consequently remained empty. Forecasting guidance called for evaluation on observations withheld from fitting (Hyndman and Athanasopoulos, 2021). The recorded errors gave the proponents a concrete reason to withhold an operational forecast.</w:t>
      </w:r>
    </w:p>
    <w:p>
      <w:pPr>
        <w:pStyle w:val="Caption"/>
        <w:keepNext/>
        <w:pageBreakBefore w:val="0"/>
        <w:spacing w:after="80"/>
      </w:pPr>
      <w:r>
        <w:rPr>
          <w:rFonts w:ascii="Times New Roman" w:hAnsi="Times New Roman" w:eastAsia="Times New Roman"/>
          <w:b/>
          <w:color w:val="000000"/>
          <w:sz w:val="20"/>
        </w:rPr>
        <w:t>Table 4.10 Predictive readiness audit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cantSplit/>
        </w:trPr>
        <w:tc>
          <w:tcPr>
            <w:tcW w:type="dxa" w:w="2448"/>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Evidence item</w:t>
            </w:r>
          </w:p>
        </w:tc>
        <w:tc>
          <w:tcPr>
            <w:tcW w:type="dxa" w:w="2592"/>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Observed result</w:t>
            </w:r>
          </w:p>
        </w:tc>
        <w:tc>
          <w:tcPr>
            <w:tcW w:type="dxa" w:w="4248"/>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Interpretation</w:t>
            </w:r>
          </w:p>
        </w:tc>
      </w:tr>
      <w:tr>
        <w:trPr>
          <w:cantSplit/>
        </w:trPr>
        <w:tc>
          <w:tcPr>
            <w:tcW w:type="dxa" w:w="244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Candidate configurations</w:t>
            </w:r>
          </w:p>
        </w:tc>
        <w:tc>
          <w:tcPr>
            <w:tcW w:type="dxa" w:w="2592"/>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15 evaluated</w:t>
            </w:r>
          </w:p>
        </w:tc>
        <w:tc>
          <w:tcPr>
            <w:tcW w:type="dxa" w:w="424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The experiment was completed and persisted as candidate evidence</w:t>
            </w:r>
          </w:p>
        </w:tc>
      </w:tr>
      <w:tr>
        <w:trPr>
          <w:cantSplit/>
        </w:trPr>
        <w:tc>
          <w:tcPr>
            <w:tcW w:type="dxa" w:w="244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Development selection</w:t>
            </w:r>
          </w:p>
        </w:tc>
        <w:tc>
          <w:tcPr>
            <w:tcW w:type="dxa" w:w="2592"/>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Last value; WAPE 83.20%</w:t>
            </w:r>
          </w:p>
        </w:tc>
        <w:tc>
          <w:tcPr>
            <w:tcW w:type="dxa" w:w="424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The method was selected among tested candidates but retained high error</w:t>
            </w:r>
          </w:p>
        </w:tc>
      </w:tr>
      <w:tr>
        <w:trPr>
          <w:cantSplit/>
        </w:trPr>
        <w:tc>
          <w:tcPr>
            <w:tcW w:type="dxa" w:w="244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Retrospective 2025 audit</w:t>
            </w:r>
          </w:p>
        </w:tc>
        <w:tc>
          <w:tcPr>
            <w:tcW w:type="dxa" w:w="2592"/>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Last value; WAPE 37.76%</w:t>
            </w:r>
          </w:p>
        </w:tc>
        <w:tc>
          <w:tcPr>
            <w:tcW w:type="dxa" w:w="424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Historical audit only; not a 2026 holdout</w:t>
            </w:r>
          </w:p>
        </w:tc>
      </w:tr>
      <w:tr>
        <w:trPr>
          <w:cantSplit/>
        </w:trPr>
        <w:tc>
          <w:tcPr>
            <w:tcW w:type="dxa" w:w="244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Intervals</w:t>
            </w:r>
          </w:p>
        </w:tc>
        <w:tc>
          <w:tcPr>
            <w:tcW w:type="dxa" w:w="2592"/>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Unsupported</w:t>
            </w:r>
          </w:p>
        </w:tc>
        <w:tc>
          <w:tcPr>
            <w:tcW w:type="dxa" w:w="424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Insufficient lead-specific error history for defensible bands</w:t>
            </w:r>
          </w:p>
        </w:tc>
      </w:tr>
      <w:tr>
        <w:trPr>
          <w:cantSplit/>
        </w:trPr>
        <w:tc>
          <w:tcPr>
            <w:tcW w:type="dxa" w:w="244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DOH and PAGASA forecast rows</w:t>
            </w:r>
          </w:p>
        </w:tc>
        <w:tc>
          <w:tcPr>
            <w:tcW w:type="dxa" w:w="2592"/>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0 forecast eligible</w:t>
            </w:r>
          </w:p>
        </w:tc>
        <w:tc>
          <w:tcPr>
            <w:tcW w:type="dxa" w:w="424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External regression remained blocked</w:t>
            </w:r>
          </w:p>
        </w:tc>
      </w:tr>
      <w:tr>
        <w:trPr>
          <w:cantSplit/>
        </w:trPr>
        <w:tc>
          <w:tcPr>
            <w:tcW w:type="dxa" w:w="244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Publication</w:t>
            </w:r>
          </w:p>
        </w:tc>
        <w:tc>
          <w:tcPr>
            <w:tcW w:type="dxa" w:w="2592"/>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No active model release</w:t>
            </w:r>
          </w:p>
        </w:tc>
        <w:tc>
          <w:tcPr>
            <w:tcW w:type="dxa" w:w="424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No operational forecast could be claimed</w:t>
            </w:r>
          </w:p>
        </w:tc>
      </w:tr>
    </w:tbl>
    <w:p>
      <w:pPr>
        <w:spacing w:before="40" w:after="160"/>
        <w:jc w:val="left"/>
      </w:pPr>
      <w:r>
        <w:rPr>
          <w:rFonts w:ascii="Times New Roman" w:hAnsi="Times New Roman" w:eastAsia="Times New Roman"/>
          <w:i/>
          <w:color w:val="4D4D4D"/>
          <w:sz w:val="17"/>
        </w:rPr>
        <w:t>Source: MedShield Analytics, Predictive Operations, Current State, and QA records dated 27 September 2026.</w:t>
      </w:r>
    </w:p>
    <w:p>
      <w:pPr>
        <w:keepLines w:val="0"/>
        <w:ind w:firstLine="720"/>
        <w:jc w:val="both"/>
      </w:pPr>
      <w:r>
        <w:t>External data did not resolve the forecast problem. The reviewed data contained 2,171 DOH and PAGASA rows, but none qualified for an approved sales join or forecast input. NASA POWER contributed separately labeled proxy observations and 32 possible sales matches. The matches did not verify the geographic link or show a predictive benefit. The proponents therefore made no claim of improved MedShield forecasts from rainfall, disease intensity, or typhoon indicators.</w:t>
      </w:r>
    </w:p>
    <w:p>
      <w:pPr>
        <w:pStyle w:val="Heading2"/>
        <w:keepNext/>
      </w:pPr>
      <w:r>
        <w:t>4.2.4 Prescriptive Planning Results</w:t>
      </w:r>
    </w:p>
    <w:p>
      <w:pPr>
        <w:keepLines w:val="0"/>
        <w:ind w:firstLine="720"/>
        <w:jc w:val="both"/>
      </w:pPr>
      <w:r>
        <w:t>For inventory planning, the proponents demonstrated a scenario rather than a live ordering decision. The dashboard gathered entered demand, usable and protected stock, pack size, cost, supplier limits, and budget, then solved a constrained allocation when eligible products and assumptions were present. Feasibility, whole-pack, stock-protection, and service-first tests supported the calculation. The output showed what could be allocated under entered conditions; it did not show what the client should purchase from verified stock data.</w:t>
      </w:r>
    </w:p>
    <w:p>
      <w:pPr>
        <w:pStyle w:val="Caption"/>
        <w:keepNext/>
        <w:pageBreakBefore w:val="0"/>
        <w:spacing w:after="80"/>
      </w:pPr>
      <w:r>
        <w:rPr>
          <w:rFonts w:ascii="Times New Roman" w:hAnsi="Times New Roman" w:eastAsia="Times New Roman"/>
          <w:b/>
          <w:color w:val="000000"/>
          <w:sz w:val="20"/>
        </w:rPr>
        <w:t>Table 4.11 Operational inputs required for prescriptive use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cantSplit/>
        </w:trPr>
        <w:tc>
          <w:tcPr>
            <w:tcW w:type="dxa" w:w="2376"/>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Input</w:t>
            </w:r>
          </w:p>
        </w:tc>
        <w:tc>
          <w:tcPr>
            <w:tcW w:type="dxa" w:w="2232"/>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Status at review</w:t>
            </w:r>
          </w:p>
        </w:tc>
        <w:tc>
          <w:tcPr>
            <w:tcW w:type="dxa" w:w="4608"/>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Reason for the input</w:t>
            </w:r>
          </w:p>
        </w:tc>
      </w:tr>
      <w:tr>
        <w:trPr>
          <w:cantSplit/>
        </w:trPr>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On-hand and reserved stock</w:t>
            </w:r>
          </w:p>
        </w:tc>
        <w:tc>
          <w:tcPr>
            <w:tcW w:type="dxa" w:w="2232"/>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Not published</w:t>
            </w:r>
          </w:p>
        </w:tc>
        <w:tc>
          <w:tcPr>
            <w:tcW w:type="dxa" w:w="460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Determined actual availability and stock gaps</w:t>
            </w:r>
          </w:p>
        </w:tc>
      </w:tr>
      <w:tr>
        <w:trPr>
          <w:cantSplit/>
        </w:trPr>
        <w:tc>
          <w:tcPr>
            <w:tcW w:type="dxa" w:w="23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Expiry dates and batch age</w:t>
            </w:r>
          </w:p>
        </w:tc>
        <w:tc>
          <w:tcPr>
            <w:tcW w:type="dxa" w:w="2232"/>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Not published</w:t>
            </w:r>
          </w:p>
        </w:tc>
        <w:tc>
          <w:tcPr>
            <w:tcW w:type="dxa" w:w="460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Was required to measure expiry-driven wastage</w:t>
            </w:r>
          </w:p>
        </w:tc>
      </w:tr>
      <w:tr>
        <w:trPr>
          <w:cantSplit/>
        </w:trPr>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Lead time and service level</w:t>
            </w:r>
          </w:p>
        </w:tc>
        <w:tc>
          <w:tcPr>
            <w:tcW w:type="dxa" w:w="2232"/>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Not published</w:t>
            </w:r>
          </w:p>
        </w:tc>
        <w:tc>
          <w:tcPr>
            <w:tcW w:type="dxa" w:w="460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Was required for ROP and safety-stock calculations</w:t>
            </w:r>
          </w:p>
        </w:tc>
      </w:tr>
      <w:tr>
        <w:trPr>
          <w:cantSplit/>
        </w:trPr>
        <w:tc>
          <w:tcPr>
            <w:tcW w:type="dxa" w:w="23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Ordering and holding cost</w:t>
            </w:r>
          </w:p>
        </w:tc>
        <w:tc>
          <w:tcPr>
            <w:tcW w:type="dxa" w:w="2232"/>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Not published</w:t>
            </w:r>
          </w:p>
        </w:tc>
        <w:tc>
          <w:tcPr>
            <w:tcW w:type="dxa" w:w="460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Was required for defensible EOQ</w:t>
            </w:r>
          </w:p>
        </w:tc>
      </w:tr>
      <w:tr>
        <w:trPr>
          <w:cantSplit/>
        </w:trPr>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Pack size MOQ and supplier cap</w:t>
            </w:r>
          </w:p>
        </w:tc>
        <w:tc>
          <w:tcPr>
            <w:tcW w:type="dxa" w:w="2232"/>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User-entered assumption</w:t>
            </w:r>
          </w:p>
        </w:tc>
        <w:tc>
          <w:tcPr>
            <w:tcW w:type="dxa" w:w="460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Constrained feasible orders</w:t>
            </w:r>
          </w:p>
        </w:tc>
      </w:tr>
      <w:tr>
        <w:trPr>
          <w:cantSplit/>
        </w:trPr>
        <w:tc>
          <w:tcPr>
            <w:tcW w:type="dxa" w:w="23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Budget and approved demand</w:t>
            </w:r>
          </w:p>
        </w:tc>
        <w:tc>
          <w:tcPr>
            <w:tcW w:type="dxa" w:w="2232"/>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User-entered assumption</w:t>
            </w:r>
          </w:p>
        </w:tc>
        <w:tc>
          <w:tcPr>
            <w:tcW w:type="dxa" w:w="460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Determined the allocation objective and ceiling</w:t>
            </w:r>
          </w:p>
        </w:tc>
      </w:tr>
    </w:tbl>
    <w:p>
      <w:pPr>
        <w:spacing w:before="40" w:after="160"/>
        <w:jc w:val="left"/>
      </w:pPr>
      <w:r>
        <w:rPr>
          <w:rFonts w:ascii="Times New Roman" w:hAnsi="Times New Roman" w:eastAsia="Times New Roman"/>
          <w:i/>
          <w:color w:val="4D4D4D"/>
          <w:sz w:val="17"/>
        </w:rPr>
        <w:t>Source: MedShield business definitions, analytics guidance, and planning interface.</w:t>
      </w:r>
    </w:p>
    <w:p>
      <w:pPr>
        <w:keepLines w:val="0"/>
        <w:ind w:firstLine="720"/>
        <w:jc w:val="both"/>
      </w:pPr>
      <w:r>
        <w:t>The proponents could not calculate an actual wastage rate because expiry and write-off outcomes were unavailable. The proposal's goal of keeping expiry-driven wastage at or below 5 percent remained untested. Reporting the target as an achieved result would have overstated the evidence.</w:t>
      </w:r>
    </w:p>
    <w:p>
      <w:pPr>
        <w:pStyle w:val="Heading1"/>
        <w:keepNext/>
      </w:pPr>
      <w:r>
        <w:t>4.3 Dashboard</w:t>
      </w:r>
    </w:p>
    <w:p>
      <w:pPr>
        <w:keepLines w:val="0"/>
        <w:ind w:firstLine="720"/>
        <w:jc w:val="both"/>
      </w:pPr>
      <w:r>
        <w:t>Section 4.3 showed how the MedShield dashboard brought the analyses together for a business reviewer. A user could move from a summary to its period, source records, evidence label, and forecast or scenario status. Observed 2026 sales required published client transactions. When actual records for an elapsed month were pending, the dashboard could show a clearly labeled estimate from earlier years.</w:t>
      </w:r>
    </w:p>
    <w:p>
      <w:pPr>
        <w:pStyle w:val="Heading2"/>
        <w:keepNext/>
      </w:pPr>
      <w:r>
        <w:t>4.3.1 Dashboard Structure and Navigation</w:t>
      </w:r>
    </w:p>
    <w:p>
      <w:pPr>
        <w:keepLines w:val="0"/>
        <w:ind w:firstLine="720"/>
        <w:jc w:val="both"/>
      </w:pPr>
      <w:r>
        <w:t>The dashboard opened with Overview and offered Sales Diagnostics, Product Prioritization, Area Prioritization, Forecast Modeling, and Prescriptive Planning. Supporting pages displayed sales transactions and weather-source checks. The proponents arranged the pages so a reviewer could inspect a result, its source, and its limitations in the same workflow. A Data Upload page was visible, but client CSV ingestion and publication had not been completed.</w:t>
      </w:r>
    </w:p>
    <w:p>
      <w:pPr>
        <w:keepLines w:val="0"/>
        <w:ind w:firstLine="720"/>
        <w:jc w:val="both"/>
      </w:pPr>
      <w:r>
        <w:t>The top bar kept the selected period visible across the dashboard. Single-year and year-to-year controls used years found in the data and refreshed the related cards, charts, and tables together. Missing months stayed blank instead of becoming zero sales. For an elapsed 2026 month without an actual record, the dashboard calculated an estimate from up to three earlier occurrences of the same calendar month, weighted 0.60, 0.30, and 0.10 when observations existed. Labels separated estimates from actual sales, and an uploaded actual took priority. If a required data view failed, the affected display showed an unavailable state rather than an old value.</w:t>
      </w:r>
    </w:p>
    <w:p>
      <w:pPr>
        <w:pStyle w:val="Heading2"/>
        <w:keepNext/>
      </w:pPr>
      <w:r>
        <w:t>4.3.2 Dashboard Modules and Decision Flow</w:t>
      </w:r>
    </w:p>
    <w:p>
      <w:pPr>
        <w:keepLines w:val="0"/>
        <w:ind w:firstLine="720"/>
        <w:jc w:val="both"/>
      </w:pPr>
      <w:r>
        <w:t>Each main page answered a different business question. Sales Diagnostics described recorded performance; product and area pages pointed to groups worth reviewing; Forecast Modeling compared methods; and Prescriptive Planning tested an entered allocation scenario. The dashboard did not place orders automatically. Figures 4.7 to 4.10 showed the layout captured during development in September. The captures illustrated navigation and controls but did not verify the numerical results available at the later review date.</w:t>
      </w:r>
    </w:p>
    <w:p>
      <w:pPr>
        <w:pStyle w:val="Caption"/>
        <w:keepNext/>
        <w:pageBreakBefore w:val="0"/>
        <w:spacing w:after="80"/>
      </w:pPr>
      <w:r>
        <w:rPr>
          <w:rFonts w:ascii="Times New Roman" w:hAnsi="Times New Roman" w:eastAsia="Times New Roman"/>
          <w:b/>
          <w:color w:val="000000"/>
          <w:sz w:val="20"/>
        </w:rPr>
        <w:t>Table 4.12 Functions of the five principal dashboard modules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40"/>
        <w:gridCol w:w="2340"/>
        <w:gridCol w:w="2340"/>
        <w:gridCol w:w="2340"/>
      </w:tblGrid>
      <w:tr>
        <w:trPr>
          <w:tblHeader w:val="true"/>
          <w:cantSplit/>
        </w:trPr>
        <w:tc>
          <w:tcPr>
            <w:tcW w:type="dxa" w:w="1656"/>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5"/>
              </w:rPr>
              <w:t>Module</w:t>
            </w:r>
          </w:p>
        </w:tc>
        <w:tc>
          <w:tcPr>
            <w:tcW w:type="dxa" w:w="2520"/>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5"/>
              </w:rPr>
              <w:t>Question answered</w:t>
            </w:r>
          </w:p>
        </w:tc>
        <w:tc>
          <w:tcPr>
            <w:tcW w:type="dxa" w:w="3096"/>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5"/>
              </w:rPr>
              <w:t>Main dashboard outputs</w:t>
            </w:r>
          </w:p>
        </w:tc>
        <w:tc>
          <w:tcPr>
            <w:tcW w:type="dxa" w:w="2088"/>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5"/>
              </w:rPr>
              <w:t>Decision use and boundary</w:t>
            </w:r>
          </w:p>
        </w:tc>
      </w:tr>
      <w:tr>
        <w:trPr>
          <w:cantSplit/>
        </w:trPr>
        <w:tc>
          <w:tcPr>
            <w:tcW w:type="dxa" w:w="165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5"/>
              </w:rPr>
              <w:t>Sales Diagnostics</w:t>
            </w:r>
          </w:p>
        </w:tc>
        <w:tc>
          <w:tcPr>
            <w:tcW w:type="dxa" w:w="2520"/>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5"/>
              </w:rPr>
              <w:t>How had sales, margin, quantity, and seasonality changed?</w:t>
            </w:r>
          </w:p>
        </w:tc>
        <w:tc>
          <w:tcPr>
            <w:tcW w:type="dxa" w:w="309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5"/>
              </w:rPr>
              <w:t>KPI cards, annual and monthly trends, matched-period growth, heatmap, and STL evidence</w:t>
            </w:r>
          </w:p>
        </w:tc>
        <w:tc>
          <w:tcPr>
            <w:tcW w:type="dxa" w:w="208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5"/>
              </w:rPr>
              <w:t>Explained historical patterns; candidate definitions and missing periods remained visible</w:t>
            </w:r>
          </w:p>
        </w:tc>
      </w:tr>
      <w:tr>
        <w:trPr>
          <w:cantSplit/>
        </w:trPr>
        <w:tc>
          <w:tcPr>
            <w:tcW w:type="dxa" w:w="165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5"/>
              </w:rPr>
              <w:t>Product Prioritization</w:t>
            </w:r>
          </w:p>
        </w:tc>
        <w:tc>
          <w:tcPr>
            <w:tcW w:type="dxa" w:w="2520"/>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5"/>
              </w:rPr>
              <w:t>Which product labels had contributed most historical value?</w:t>
            </w:r>
          </w:p>
        </w:tc>
        <w:tc>
          <w:tcPr>
            <w:tcW w:type="dxa" w:w="309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5"/>
              </w:rPr>
              <w:t>Ranked contribution, focus cohort, Pareto or ABC grouping, and product table</w:t>
            </w:r>
          </w:p>
        </w:tc>
        <w:tc>
          <w:tcPr>
            <w:tcW w:type="dxa" w:w="208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5"/>
              </w:rPr>
              <w:t>Focused product review; did not approve SKUs or recommend purchases automatically</w:t>
            </w:r>
          </w:p>
        </w:tc>
      </w:tr>
      <w:tr>
        <w:trPr>
          <w:cantSplit/>
        </w:trPr>
        <w:tc>
          <w:tcPr>
            <w:tcW w:type="dxa" w:w="165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5"/>
              </w:rPr>
              <w:t>Area Prioritization</w:t>
            </w:r>
          </w:p>
        </w:tc>
        <w:tc>
          <w:tcPr>
            <w:tcW w:type="dxa" w:w="2520"/>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5"/>
              </w:rPr>
              <w:t>Which mapped areas or buyer groups had required attention?</w:t>
            </w:r>
          </w:p>
        </w:tc>
        <w:tc>
          <w:tcPr>
            <w:tcW w:type="dxa" w:w="309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5"/>
              </w:rPr>
              <w:t>Buyer-sector, geographic, and legacy-area shares with traceable mappings</w:t>
            </w:r>
          </w:p>
        </w:tc>
        <w:tc>
          <w:tcPr>
            <w:tcW w:type="dxa" w:w="208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5"/>
              </w:rPr>
              <w:t>Directed commercial review; derived mappings and mixed source labels remained provisional</w:t>
            </w:r>
          </w:p>
        </w:tc>
      </w:tr>
      <w:tr>
        <w:trPr>
          <w:cantSplit/>
        </w:trPr>
        <w:tc>
          <w:tcPr>
            <w:tcW w:type="dxa" w:w="165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5"/>
              </w:rPr>
              <w:t>Forecast Modeling</w:t>
            </w:r>
          </w:p>
        </w:tc>
        <w:tc>
          <w:tcPr>
            <w:tcW w:type="dxa" w:w="2520"/>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5"/>
              </w:rPr>
              <w:t>How well had transparent forecasting baselines performed?</w:t>
            </w:r>
          </w:p>
        </w:tc>
        <w:tc>
          <w:tcPr>
            <w:tcW w:type="dxa" w:w="309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5"/>
              </w:rPr>
              <w:t>Actual-versus-holdout plots, error metrics, future baseline, and release status</w:t>
            </w:r>
          </w:p>
        </w:tc>
        <w:tc>
          <w:tcPr>
            <w:tcW w:type="dxa" w:w="208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5"/>
              </w:rPr>
              <w:t>Supported model comparison; no champion, interval, or external regression was approved</w:t>
            </w:r>
          </w:p>
        </w:tc>
      </w:tr>
      <w:tr>
        <w:trPr>
          <w:cantSplit/>
        </w:trPr>
        <w:tc>
          <w:tcPr>
            <w:tcW w:type="dxa" w:w="165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5"/>
              </w:rPr>
              <w:t>Prescriptive Planning</w:t>
            </w:r>
          </w:p>
        </w:tc>
        <w:tc>
          <w:tcPr>
            <w:tcW w:type="dxa" w:w="2520"/>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5"/>
              </w:rPr>
              <w:t>Which allocation was feasible under entered constraints?</w:t>
            </w:r>
          </w:p>
        </w:tc>
        <w:tc>
          <w:tcPr>
            <w:tcW w:type="dxa" w:w="309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5"/>
              </w:rPr>
              <w:t>Priority shortlist, assumption grid, feasibility result, and scenario export</w:t>
            </w:r>
          </w:p>
        </w:tc>
        <w:tc>
          <w:tcPr>
            <w:tcW w:type="dxa" w:w="208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5"/>
              </w:rPr>
              <w:t>Supported scenario discussion; did not issue purchase orders or use verified inventory and expiry data</w:t>
            </w:r>
          </w:p>
        </w:tc>
      </w:tr>
    </w:tbl>
    <w:p>
      <w:pPr>
        <w:spacing w:before="40" w:after="160"/>
        <w:jc w:val="left"/>
      </w:pPr>
      <w:r>
        <w:rPr>
          <w:rFonts w:ascii="Times New Roman" w:hAnsi="Times New Roman" w:eastAsia="Times New Roman"/>
          <w:i/>
          <w:color w:val="4D4D4D"/>
          <w:sz w:val="17"/>
        </w:rPr>
        <w:t>Source: MedShield Current State, Dashboard Design Logic, Analytics, and application documentation.</w:t>
      </w:r>
    </w:p>
    <w:p>
      <w:pPr>
        <w:keepNext/>
        <w:pageBreakBefore w:val="0"/>
        <w:jc w:val="center"/>
      </w:pPr>
      <w:r>
        <w:drawing>
          <wp:inline xmlns:a="http://schemas.openxmlformats.org/drawingml/2006/main" xmlns:pic="http://schemas.openxmlformats.org/drawingml/2006/picture">
            <wp:extent cx="5715000" cy="3571875"/>
            <wp:docPr id="7" name="Picture 7" title="Figure 4.7 Overview dashboard development capture" descr="MedShield Overview page with summary cards, period controls, and navigation."/>
            <wp:cNvGraphicFramePr>
              <a:graphicFrameLocks noChangeAspect="1"/>
            </wp:cNvGraphicFramePr>
            <a:graphic>
              <a:graphicData uri="http://schemas.openxmlformats.org/drawingml/2006/picture">
                <pic:pic>
                  <pic:nvPicPr>
                    <pic:cNvPr id="0" name="overview.png"/>
                    <pic:cNvPicPr/>
                  </pic:nvPicPr>
                  <pic:blipFill>
                    <a:blip r:embed="rId16"/>
                    <a:stretch>
                      <a:fillRect/>
                    </a:stretch>
                  </pic:blipFill>
                  <pic:spPr>
                    <a:xfrm>
                      <a:off x="0" y="0"/>
                      <a:ext cx="5715000" cy="3571875"/>
                    </a:xfrm>
                    <a:prstGeom prst="rect"/>
                  </pic:spPr>
                </pic:pic>
              </a:graphicData>
            </a:graphic>
          </wp:inline>
        </w:drawing>
      </w:r>
    </w:p>
    <w:p>
      <w:pPr>
        <w:pStyle w:val="Caption"/>
        <w:keepNext/>
        <w:spacing w:before="80" w:after="40"/>
        <w:jc w:val="center"/>
      </w:pPr>
      <w:r>
        <w:rPr>
          <w:rFonts w:ascii="Times New Roman" w:hAnsi="Times New Roman" w:eastAsia="Times New Roman"/>
          <w:b/>
          <w:color w:val="000000"/>
          <w:sz w:val="20"/>
        </w:rPr>
        <w:t>Figure 4.7 Overview dashboard development capture</w:t>
      </w:r>
    </w:p>
    <w:p>
      <w:pPr>
        <w:spacing w:before="40" w:after="160"/>
        <w:jc w:val="left"/>
      </w:pPr>
      <w:r>
        <w:rPr>
          <w:rFonts w:ascii="Times New Roman" w:hAnsi="Times New Roman" w:eastAsia="Times New Roman"/>
          <w:i/>
          <w:color w:val="4D4D4D"/>
          <w:sz w:val="17"/>
        </w:rPr>
        <w:t>Source: MedShield development interface capture dated 15 September 2026. The capture provided layout evidence only; current numerical results required a version-bound receipt.</w:t>
      </w:r>
    </w:p>
    <w:p>
      <w:pPr>
        <w:keepLines w:val="0"/>
        <w:ind w:firstLine="720"/>
        <w:jc w:val="both"/>
      </w:pPr>
      <w:r>
        <w:t>Overview gave the reviewer a starting point: the selected period, a sales summary, and the status of the data source. The observed sales record ended in December 2025. When a selected window extended into 2026, the page needed separate labels for observed sales and estimated gaps. The combined amount could not be read as wholly actual revenue.</w:t>
      </w:r>
    </w:p>
    <w:p>
      <w:pPr>
        <w:keepNext/>
        <w:pageBreakBefore w:val="0"/>
        <w:jc w:val="center"/>
      </w:pPr>
      <w:r>
        <w:drawing>
          <wp:inline xmlns:a="http://schemas.openxmlformats.org/drawingml/2006/main" xmlns:pic="http://schemas.openxmlformats.org/drawingml/2006/picture">
            <wp:extent cx="5715000" cy="3571875"/>
            <wp:docPr id="8" name="Picture 8" title="Figure 4.8 Sales diagnostics development capture" descr="Sales Diagnostics page showing period controls and historical sales charts."/>
            <wp:cNvGraphicFramePr>
              <a:graphicFrameLocks noChangeAspect="1"/>
            </wp:cNvGraphicFramePr>
            <a:graphic>
              <a:graphicData uri="http://schemas.openxmlformats.org/drawingml/2006/picture">
                <pic:pic>
                  <pic:nvPicPr>
                    <pic:cNvPr id="0" name="sales-diagnostics.png"/>
                    <pic:cNvPicPr/>
                  </pic:nvPicPr>
                  <pic:blipFill>
                    <a:blip r:embed="rId17"/>
                    <a:stretch>
                      <a:fillRect/>
                    </a:stretch>
                  </pic:blipFill>
                  <pic:spPr>
                    <a:xfrm>
                      <a:off x="0" y="0"/>
                      <a:ext cx="5715000" cy="3571875"/>
                    </a:xfrm>
                    <a:prstGeom prst="rect"/>
                  </pic:spPr>
                </pic:pic>
              </a:graphicData>
            </a:graphic>
          </wp:inline>
        </w:drawing>
      </w:r>
    </w:p>
    <w:p>
      <w:pPr>
        <w:pStyle w:val="Caption"/>
        <w:keepNext/>
        <w:spacing w:before="80" w:after="40"/>
        <w:jc w:val="center"/>
      </w:pPr>
      <w:r>
        <w:rPr>
          <w:rFonts w:ascii="Times New Roman" w:hAnsi="Times New Roman" w:eastAsia="Times New Roman"/>
          <w:b/>
          <w:color w:val="000000"/>
          <w:sz w:val="20"/>
        </w:rPr>
        <w:t>Figure 4.8 Sales diagnostics development capture</w:t>
      </w:r>
    </w:p>
    <w:p>
      <w:pPr>
        <w:spacing w:before="40" w:after="160"/>
        <w:jc w:val="left"/>
      </w:pPr>
      <w:r>
        <w:rPr>
          <w:rFonts w:ascii="Times New Roman" w:hAnsi="Times New Roman" w:eastAsia="Times New Roman"/>
          <w:i/>
          <w:color w:val="4D4D4D"/>
          <w:sz w:val="17"/>
        </w:rPr>
        <w:t>Source: MedShield development interface capture dated 15 September 2026. The capture provided layout evidence only; figures and labels required runtime verification.</w:t>
      </w:r>
    </w:p>
    <w:p>
      <w:pPr>
        <w:keepLines w:val="0"/>
        <w:ind w:firstLine="720"/>
        <w:jc w:val="both"/>
      </w:pPr>
      <w:r>
        <w:t>Sales Diagnostics placed annual comparisons beside monthly patterns. The proponents kept missing months as gaps so a reviewer would not mistake absent transactions for zero demand. The page also offered a path from an unusual period to the underlying sales records.</w:t>
      </w:r>
    </w:p>
    <w:p>
      <w:pPr>
        <w:keepNext/>
        <w:pageBreakBefore w:val="0"/>
        <w:jc w:val="center"/>
      </w:pPr>
      <w:r>
        <w:drawing>
          <wp:inline xmlns:a="http://schemas.openxmlformats.org/drawingml/2006/main" xmlns:pic="http://schemas.openxmlformats.org/drawingml/2006/picture">
            <wp:extent cx="5715000" cy="3571875"/>
            <wp:docPr id="9" name="Picture 9" title="Figure 4.9 Forecast modeling development capture" descr="Forecast Modeling page of the MedShield dashboard showing filters, historical actuals, a retrospective holdout, a future baseline, error metrics, and an explicit historical-dataset status."/>
            <wp:cNvGraphicFramePr>
              <a:graphicFrameLocks noChangeAspect="1"/>
            </wp:cNvGraphicFramePr>
            <a:graphic>
              <a:graphicData uri="http://schemas.openxmlformats.org/drawingml/2006/picture">
                <pic:pic>
                  <pic:nvPicPr>
                    <pic:cNvPr id="0" name="forecast-modeling.png"/>
                    <pic:cNvPicPr/>
                  </pic:nvPicPr>
                  <pic:blipFill>
                    <a:blip r:embed="rId18"/>
                    <a:stretch>
                      <a:fillRect/>
                    </a:stretch>
                  </pic:blipFill>
                  <pic:spPr>
                    <a:xfrm>
                      <a:off x="0" y="0"/>
                      <a:ext cx="5715000" cy="3571875"/>
                    </a:xfrm>
                    <a:prstGeom prst="rect"/>
                  </pic:spPr>
                </pic:pic>
              </a:graphicData>
            </a:graphic>
          </wp:inline>
        </w:drawing>
      </w:r>
    </w:p>
    <w:p>
      <w:pPr>
        <w:pStyle w:val="Caption"/>
        <w:keepNext/>
        <w:spacing w:before="80" w:after="40"/>
        <w:jc w:val="center"/>
      </w:pPr>
      <w:r>
        <w:rPr>
          <w:rFonts w:ascii="Times New Roman" w:hAnsi="Times New Roman" w:eastAsia="Times New Roman"/>
          <w:b/>
          <w:color w:val="000000"/>
          <w:sz w:val="20"/>
        </w:rPr>
        <w:t>Figure 4.9 Forecast modeling development capture</w:t>
      </w:r>
    </w:p>
    <w:p>
      <w:pPr>
        <w:spacing w:before="40" w:after="160"/>
        <w:jc w:val="left"/>
      </w:pPr>
      <w:r>
        <w:rPr>
          <w:rFonts w:ascii="Times New Roman" w:hAnsi="Times New Roman" w:eastAsia="Times New Roman"/>
          <w:i/>
          <w:color w:val="4D4D4D"/>
          <w:sz w:val="17"/>
        </w:rPr>
        <w:t>Source: MedShield development interface capture dated 15 September 2026. The capture showed a historical screen layout only. A shaded forecast band appeared in the older capture, but the review record reported unsupported intervals and no approved model release.</w:t>
      </w:r>
    </w:p>
    <w:p>
      <w:pPr>
        <w:keepLines w:val="0"/>
        <w:ind w:firstLine="720"/>
        <w:jc w:val="both"/>
      </w:pPr>
      <w:r>
        <w:t>Forecast Modeling showed the selected buyer, product, measure, method, and horizon above its comparison chart. Observed sales, retrospective predictions, and a future baseline occupied distinct parts of the view. MAE, RMSE, WAPE, and bias described how the tested method performed. An older development capture included a shaded band, but the completed analysis did not support an empirical uncertainty interval. The proponents did not present the band or the future baseline as an approved forecast.</w:t>
      </w:r>
    </w:p>
    <w:p>
      <w:pPr>
        <w:keepNext/>
        <w:pageBreakBefore w:val="0"/>
        <w:jc w:val="center"/>
      </w:pPr>
      <w:r>
        <w:drawing>
          <wp:inline xmlns:a="http://schemas.openxmlformats.org/drawingml/2006/main" xmlns:pic="http://schemas.openxmlformats.org/drawingml/2006/picture">
            <wp:extent cx="5715000" cy="3571875"/>
            <wp:docPr id="10" name="Picture 10" title="Figure 4.10 Prescriptive planning development capture" descr="Prescriptive Planning page showing buyer, territory, horizon, budget, and fulfillment controls, an operational-assumption table, and scenario confirmation."/>
            <wp:cNvGraphicFramePr>
              <a:graphicFrameLocks noChangeAspect="1"/>
            </wp:cNvGraphicFramePr>
            <a:graphic>
              <a:graphicData uri="http://schemas.openxmlformats.org/drawingml/2006/picture">
                <pic:pic>
                  <pic:nvPicPr>
                    <pic:cNvPr id="0" name="prescriptive-planning.png"/>
                    <pic:cNvPicPr/>
                  </pic:nvPicPr>
                  <pic:blipFill>
                    <a:blip r:embed="rId19"/>
                    <a:stretch>
                      <a:fillRect/>
                    </a:stretch>
                  </pic:blipFill>
                  <pic:spPr>
                    <a:xfrm>
                      <a:off x="0" y="0"/>
                      <a:ext cx="5715000" cy="3571875"/>
                    </a:xfrm>
                    <a:prstGeom prst="rect"/>
                  </pic:spPr>
                </pic:pic>
              </a:graphicData>
            </a:graphic>
          </wp:inline>
        </w:drawing>
      </w:r>
    </w:p>
    <w:p>
      <w:pPr>
        <w:pStyle w:val="Caption"/>
        <w:keepNext/>
        <w:spacing w:before="80" w:after="40"/>
        <w:jc w:val="center"/>
      </w:pPr>
      <w:r>
        <w:rPr>
          <w:rFonts w:ascii="Times New Roman" w:hAnsi="Times New Roman" w:eastAsia="Times New Roman"/>
          <w:b/>
          <w:color w:val="000000"/>
          <w:sz w:val="20"/>
        </w:rPr>
        <w:t>Figure 4.10 Prescriptive planning development capture</w:t>
      </w:r>
    </w:p>
    <w:p>
      <w:pPr>
        <w:spacing w:before="40" w:after="160"/>
        <w:jc w:val="left"/>
      </w:pPr>
      <w:r>
        <w:rPr>
          <w:rFonts w:ascii="Times New Roman" w:hAnsi="Times New Roman" w:eastAsia="Times New Roman"/>
          <w:i/>
          <w:color w:val="4D4D4D"/>
          <w:sz w:val="17"/>
        </w:rPr>
        <w:t>Source: MedShield development interface capture dated 15 September 2026. The displayed scope had no eligible positive-revenue products and did not show a solved allocation. Inputs represented scenario assumptions, not purchase orders.</w:t>
      </w:r>
    </w:p>
    <w:p>
      <w:pPr>
        <w:keepLines w:val="0"/>
        <w:ind w:firstLine="720"/>
        <w:jc w:val="both"/>
      </w:pPr>
      <w:r>
        <w:t>Prescriptive Planning asked for a scope, budget, demand, usable stock, protected stock, pack size, cost, and supplier limits. A confirmation step marked the entries as assumptions instead of verified inventory. The captured screen had no eligible positive-revenue products, so it did not show a completed allocation. Separate feasibility tests, rather than the screenshot, supported the scenario calculation.</w:t>
      </w:r>
    </w:p>
    <w:p>
      <w:pPr>
        <w:keepLines w:val="0"/>
        <w:ind w:firstLine="720"/>
        <w:jc w:val="both"/>
      </w:pPr>
      <w:r>
        <w:t>View Sales Data let a reviewer inspect the transactions behind a displayed total. Weather API Validation separated official observations from NASA POWER proxy values. Although the Data Upload page existed, its endpoint rejected submissions pending warehouse ingestion. File validation, durable ingestion status, and client-controlled publication remained unfinished. The proponents therefore did not claim completed upload of 2026 actual sales.</w:t>
      </w:r>
    </w:p>
    <w:p>
      <w:pPr>
        <w:pStyle w:val="Heading2"/>
        <w:keepNext/>
      </w:pPr>
      <w:r>
        <w:t>4.3.3 Evidence Labels and User Controls</w:t>
      </w:r>
    </w:p>
    <w:p>
      <w:pPr>
        <w:keepLines w:val="0"/>
        <w:ind w:firstLine="720"/>
        <w:jc w:val="both"/>
      </w:pPr>
      <w:r>
        <w:t>The proponents used labels to show how much weight a reviewer could place on a result. Actual meant observed sales; candidate meant a value or mapping awaiting approval; estimated meant a calculated replacement for a missing period; proxy marked substitute external observations; baseline marked a forecast comparison; blocked marked a result withheld by data checks; and scenario marked a calculation based on entered assumptions. The dashboard also showed loading, empty, infeasible, and unavailable states. It did not train models in the browser, fetch weather directly from the browser, or create purchase transactions.</w:t>
      </w:r>
    </w:p>
    <w:p>
      <w:pPr>
        <w:pStyle w:val="Heading2"/>
        <w:keepNext/>
      </w:pPr>
      <w:r>
        <w:t>4.3.4 Dashboard Verification</w:t>
      </w:r>
    </w:p>
    <w:p>
      <w:pPr>
        <w:keepLines w:val="0"/>
        <w:ind w:firstLine="720"/>
        <w:jc w:val="both"/>
      </w:pPr>
      <w:r>
        <w:t>The QA review recorded 70 passing publication checks for the version-16 historical sales candidate. The result confirmed technical reconciliation at the review date, not business approval of product identities, area mappings, finance definitions, or a forecasting method. The detailed tables in the chapter came from the locally available version-15 calculation receipt; the version-16 calculation receipt cited by QA was not available in the checkout. Other reported checks included 21 backend unit tests, eight descriptive browser cases, five area and buyer-scope regressions, and six matched-period cases. Four retired legacy cases were skipped. The proponents kept the sets separate because some tests overlapped.</w:t>
      </w:r>
    </w:p>
    <w:p>
      <w:pPr>
        <w:pStyle w:val="Caption"/>
        <w:keepNext/>
        <w:pageBreakBefore w:val="0"/>
        <w:spacing w:after="80"/>
      </w:pPr>
      <w:r>
        <w:rPr>
          <w:rFonts w:ascii="Times New Roman" w:hAnsi="Times New Roman" w:eastAsia="Times New Roman"/>
          <w:b/>
          <w:color w:val="000000"/>
          <w:sz w:val="20"/>
        </w:rPr>
        <w:t>Table 4.13 Validation and acceptance evidence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cantSplit/>
        </w:trPr>
        <w:tc>
          <w:tcPr>
            <w:tcW w:type="dxa" w:w="2304"/>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Validation area</w:t>
            </w:r>
          </w:p>
        </w:tc>
        <w:tc>
          <w:tcPr>
            <w:tcW w:type="dxa" w:w="2880"/>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Observed result</w:t>
            </w:r>
          </w:p>
        </w:tc>
        <w:tc>
          <w:tcPr>
            <w:tcW w:type="dxa" w:w="4176"/>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Interpretation</w:t>
            </w:r>
          </w:p>
        </w:tc>
      </w:tr>
      <w:tr>
        <w:trPr>
          <w:cantSplit/>
        </w:trPr>
        <w:tc>
          <w:tcPr>
            <w:tcW w:type="dxa" w:w="2304"/>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Publication readiness</w:t>
            </w:r>
          </w:p>
        </w:tc>
        <w:tc>
          <w:tcPr>
            <w:tcW w:type="dxa" w:w="2880"/>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70 pass 0 fail 0 unverified</w:t>
            </w:r>
          </w:p>
        </w:tc>
        <w:tc>
          <w:tcPr>
            <w:tcW w:type="dxa" w:w="41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Technical candidate checks passed; business approval remained open</w:t>
            </w:r>
          </w:p>
        </w:tc>
      </w:tr>
      <w:tr>
        <w:trPr>
          <w:cantSplit/>
        </w:trPr>
        <w:tc>
          <w:tcPr>
            <w:tcW w:type="dxa" w:w="2304"/>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Descriptive population</w:t>
            </w:r>
          </w:p>
        </w:tc>
        <w:tc>
          <w:tcPr>
            <w:tcW w:type="dxa" w:w="2880"/>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37,728 facts 108 calendar months 98 observed months</w:t>
            </w:r>
          </w:p>
        </w:tc>
        <w:tc>
          <w:tcPr>
            <w:tcW w:type="dxa" w:w="41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Counts and periods reconciled; ten months remained unavailable</w:t>
            </w:r>
          </w:p>
        </w:tc>
      </w:tr>
      <w:tr>
        <w:trPr>
          <w:cantSplit/>
        </w:trPr>
        <w:tc>
          <w:tcPr>
            <w:tcW w:type="dxa" w:w="2304"/>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STL</w:t>
            </w:r>
          </w:p>
        </w:tc>
        <w:tc>
          <w:tcPr>
            <w:tcW w:type="dxa" w:w="2880"/>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72 reconciled months and four components</w:t>
            </w:r>
          </w:p>
        </w:tc>
        <w:tc>
          <w:tcPr>
            <w:tcW w:type="dxa" w:w="41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Qualifying 2020 to 2025 segment only</w:t>
            </w:r>
          </w:p>
        </w:tc>
      </w:tr>
      <w:tr>
        <w:trPr>
          <w:cantSplit/>
        </w:trPr>
        <w:tc>
          <w:tcPr>
            <w:tcW w:type="dxa" w:w="2304"/>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Backend unit tests</w:t>
            </w:r>
          </w:p>
        </w:tc>
        <w:tc>
          <w:tcPr>
            <w:tcW w:type="dxa" w:w="2880"/>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21 passed</w:t>
            </w:r>
          </w:p>
        </w:tc>
        <w:tc>
          <w:tcPr>
            <w:tcW w:type="dxa" w:w="41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Covered backend logic, including filter validation</w:t>
            </w:r>
          </w:p>
        </w:tc>
      </w:tr>
      <w:tr>
        <w:trPr>
          <w:cantSplit/>
        </w:trPr>
        <w:tc>
          <w:tcPr>
            <w:tcW w:type="dxa" w:w="2304"/>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Final descriptive browser run</w:t>
            </w:r>
          </w:p>
        </w:tc>
        <w:tc>
          <w:tcPr>
            <w:tcW w:type="dxa" w:w="2880"/>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8 passed</w:t>
            </w:r>
          </w:p>
        </w:tc>
        <w:tc>
          <w:tcPr>
            <w:tcW w:type="dxa" w:w="41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Live version-bound descriptive behaviors and exports</w:t>
            </w:r>
          </w:p>
        </w:tc>
      </w:tr>
      <w:tr>
        <w:trPr>
          <w:cantSplit/>
        </w:trPr>
        <w:tc>
          <w:tcPr>
            <w:tcW w:type="dxa" w:w="2304"/>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Area and buyer regression</w:t>
            </w:r>
          </w:p>
        </w:tc>
        <w:tc>
          <w:tcPr>
            <w:tcW w:type="dxa" w:w="2880"/>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5 passed</w:t>
            </w:r>
          </w:p>
        </w:tc>
        <w:tc>
          <w:tcPr>
            <w:tcW w:type="dxa" w:w="41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Scoped classification behavior</w:t>
            </w:r>
          </w:p>
        </w:tc>
      </w:tr>
      <w:tr>
        <w:trPr>
          <w:cantSplit/>
        </w:trPr>
        <w:tc>
          <w:tcPr>
            <w:tcW w:type="dxa" w:w="2304"/>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Matched-period and growth suite</w:t>
            </w:r>
          </w:p>
        </w:tc>
        <w:tc>
          <w:tcPr>
            <w:tcW w:type="dxa" w:w="2880"/>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6 passed 4 legacy skipped</w:t>
            </w:r>
          </w:p>
        </w:tc>
        <w:tc>
          <w:tcPr>
            <w:tcW w:type="dxa" w:w="41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Skipped tests were retired and were not counted as passes</w:t>
            </w:r>
          </w:p>
        </w:tc>
      </w:tr>
      <w:tr>
        <w:trPr>
          <w:cantSplit/>
        </w:trPr>
        <w:tc>
          <w:tcPr>
            <w:tcW w:type="dxa" w:w="2304"/>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Predictive warehouse candidate</w:t>
            </w:r>
          </w:p>
        </w:tc>
        <w:tc>
          <w:tcPr>
            <w:tcW w:type="dxa" w:w="2880"/>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1,092 rows and 15 evaluations persisted</w:t>
            </w:r>
          </w:p>
        </w:tc>
        <w:tc>
          <w:tcPr>
            <w:tcW w:type="dxa" w:w="41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Candidate experiment evidence persisted; the active model pointer remained empty</w:t>
            </w:r>
          </w:p>
        </w:tc>
      </w:tr>
    </w:tbl>
    <w:p>
      <w:pPr>
        <w:spacing w:before="40" w:after="160"/>
        <w:jc w:val="left"/>
      </w:pPr>
      <w:r>
        <w:rPr>
          <w:rFonts w:ascii="Times New Roman" w:hAnsi="Times New Roman" w:eastAsia="Times New Roman"/>
          <w:i/>
          <w:color w:val="4D4D4D"/>
          <w:sz w:val="17"/>
        </w:rPr>
        <w:t>Source: MedShield QA review, Current State, Database, and Predictive Operations records dated 27 September 2026.</w:t>
      </w:r>
    </w:p>
    <w:p>
      <w:pPr>
        <w:pStyle w:val="Heading1"/>
        <w:keepNext/>
      </w:pPr>
      <w:r>
        <w:t>4.4 Summary of Findings</w:t>
      </w:r>
    </w:p>
    <w:p>
      <w:pPr>
        <w:keepLines w:val="0"/>
        <w:ind w:firstLine="720"/>
        <w:jc w:val="both"/>
      </w:pPr>
      <w:r>
        <w:t>Section 4.4 brought the main findings back to the proposal's practical questions. The proponents used observed sales from 2017 to 2025, documented dashboard behavior, and the limits of the available data. Elapsed-2026 estimates gave temporary planning context while actual transactions were pending; they did not establish a measured 2026 result.</w:t>
      </w:r>
    </w:p>
    <w:p>
      <w:pPr>
        <w:pStyle w:val="Heading2"/>
        <w:keepNext/>
      </w:pPr>
      <w:r>
        <w:t>4.4.1 Answers to the Practical Questions</w:t>
      </w:r>
    </w:p>
    <w:p>
      <w:pPr>
        <w:keepLines w:val="0"/>
        <w:ind w:firstLine="720"/>
        <w:jc w:val="both"/>
      </w:pPr>
      <w:r>
        <w:t>SPEEDA 2.5IU/0.5ML ranked first among source product labels. The proponents treated the ranking as provisional because the approved product master was empty and different labels could refer to the same commercial product. Revenue-based ABC grouping identified products for closer review, not clinical importance or future demand.</w:t>
      </w:r>
    </w:p>
    <w:p>
      <w:pPr>
        <w:keepLines w:val="0"/>
        <w:ind w:firstLine="720"/>
        <w:jc w:val="both"/>
      </w:pPr>
      <w:r>
        <w:t>MedShield compared retrospective forecasting baselines but did not produce an approved next-season forecast. The selected last-value method still had large errors, external disease and weather joins were not accepted for forecasting, and no 2026 actual sales were available for a genuine 2026 holdout. The weighted values shown for elapsed 2026 gaps remained estimates, not validated predictions.</w:t>
      </w:r>
    </w:p>
    <w:p>
      <w:pPr>
        <w:keepLines w:val="0"/>
        <w:ind w:firstLine="720"/>
        <w:jc w:val="both"/>
      </w:pPr>
      <w:r>
        <w:t>Sales records alone did not show whether stock was excessive or insufficient. The proponents lacked verified on-hand units, reservations, lead times, and expiry dates. The planning page tested allocation scenarios entered by a user and reported whether the constraints could be met. It did not prove a purchase quantity, prevented expiry, or achievement of the proposal's five-percent wastage goal.</w:t>
      </w:r>
    </w:p>
    <w:p>
      <w:pPr>
        <w:pStyle w:val="Heading2"/>
        <w:keepNext/>
      </w:pPr>
      <w:r>
        <w:t>4.4.2 Historical Patterns</w:t>
      </w:r>
    </w:p>
    <w:p>
      <w:pPr>
        <w:keepLines w:val="0"/>
        <w:ind w:firstLine="720"/>
        <w:jc w:val="both"/>
      </w:pPr>
      <w:r>
        <w:t>Observed net sales totaled ₱626.95 million across 2017 to 2025. Activity differed by year and month, ten early months lacked transactions, and the large 2025 total required careful source review. May and June had the highest observed month averages. The proponents used STL only on the uninterrupted 2020 to 2025 series, leaving the earlier missing months unfilled.</w:t>
      </w:r>
    </w:p>
    <w:p>
      <w:pPr>
        <w:pStyle w:val="Heading2"/>
        <w:keepNext/>
      </w:pPr>
      <w:r>
        <w:t>4.4.3 Forecast Comparison</w:t>
      </w:r>
    </w:p>
    <w:p>
      <w:pPr>
        <w:keepLines w:val="0"/>
        <w:ind w:firstLine="720"/>
        <w:jc w:val="both"/>
      </w:pPr>
      <w:r>
        <w:t>On the fixed-origin Government holdout, last observed value performed better than seasonal naive, although its WAPE was still 62.71 percent. Last value also led the larger offline comparison, with 83.20 percent development WAPE and 37.76 percent retrospective WAPE. The proponents did not publish a forecasting model because the errors were substantial, uncertainty intervals lacked support, and external data joins remained unapproved.</w:t>
      </w:r>
    </w:p>
    <w:p>
      <w:pPr>
        <w:pStyle w:val="Heading2"/>
        <w:keepNext/>
      </w:pPr>
      <w:r>
        <w:t>4.4.4 Product and Area Priorities</w:t>
      </w:r>
    </w:p>
    <w:p>
      <w:pPr>
        <w:keepLines w:val="0"/>
        <w:ind w:firstLine="720"/>
        <w:jc w:val="both"/>
      </w:pPr>
      <w:r>
        <w:t>SPEEDA 2.5IU/0.5ML led source product labels by revenue, while GOVERNMENT led the derived area labels. The proponents regarded both as useful starting points for review, not final SKU and geographic market-share findings. The product master had no approved entries, and the older area field mixed places with customer and business categories.</w:t>
      </w:r>
    </w:p>
    <w:p>
      <w:pPr>
        <w:pStyle w:val="Heading2"/>
        <w:keepNext/>
      </w:pPr>
      <w:r>
        <w:t>4.4.5 Planning Scenarios</w:t>
      </w:r>
    </w:p>
    <w:p>
      <w:pPr>
        <w:keepLines w:val="0"/>
        <w:ind w:firstLine="720"/>
        <w:jc w:val="both"/>
      </w:pPr>
      <w:r>
        <w:t>MedShield produced constrained allocation results when a user entered the needed assumptions. The output showed feasible quantities under the entered limits or explained why a combination was infeasible. Verified inventory and procurement data were still needed for EOQ, ROP, safety stock, and an assessment of expiry reduction.</w:t>
      </w:r>
    </w:p>
    <w:p>
      <w:pPr>
        <w:pStyle w:val="Heading2"/>
        <w:keepNext/>
      </w:pPr>
      <w:r>
        <w:t>4.4.6 Decision Support Value</w:t>
      </w:r>
    </w:p>
    <w:p>
      <w:pPr>
        <w:keepLines w:val="0"/>
        <w:ind w:firstLine="720"/>
        <w:jc w:val="both"/>
      </w:pPr>
      <w:r>
        <w:t>The dashboard brought sales coverage, KPI definitions, historical patterns, product and area rankings, forecast errors, and planning assumptions into one review path. The proponents considered the arrangement useful for examining demand, but they had no before-and-after measure of improved visibility. The available record also contained no completed REC-approved participant evaluation. Technical tests established selected dashboard behavior, not user acceptance.</w:t>
      </w:r>
    </w:p>
    <w:p>
      <w:pPr>
        <w:pStyle w:val="Heading2"/>
        <w:keepNext/>
      </w:pPr>
      <w:r>
        <w:t>4.4.7 Discussion of the North Star</w:t>
      </w:r>
    </w:p>
    <w:p>
      <w:pPr>
        <w:keepLines w:val="0"/>
        <w:ind w:firstLine="720"/>
        <w:jc w:val="both"/>
      </w:pPr>
      <w:r>
        <w:t>The strongest result addressed demand visibility. MedShield combined historical sales, visible data gaps, clear KPI bases, and the approval status of mappings and forecasts. A reviewer could move from a sales pattern to a product or area priority and then examine an allocation scenario. The proponents could describe the improved review path, but they could not claim a measured gain in decision quality without a before-and-after study.</w:t>
      </w:r>
    </w:p>
    <w:p>
      <w:pPr>
        <w:keepLines w:val="0"/>
        <w:ind w:firstLine="720"/>
        <w:jc w:val="both"/>
      </w:pPr>
      <w:r>
        <w:t>The expiry-loss aim required a separate measurement. No baseline of expired or written-off stock, later comparison period, or verified inventory record was available. MedShield could record assumptions and allocation decisions for a future evaluation, but the proponents could not show a reduction in expiry losses or an improvement in profit.</w:t>
      </w:r>
    </w:p>
    <w:p>
      <w:pPr>
        <w:keepLines w:val="0"/>
        <w:ind w:firstLine="720"/>
        <w:jc w:val="both"/>
      </w:pPr>
      <w:r>
        <w:t>The forecast work also showed why a simple method deserved careful evaluation. More complex Prophet configurations did not meet the release criteria. Last value led the tested methods, yet its errors were still high and its uncertainty estimates lacked support. The proponents kept the model unpublished and left the final planning decision with an authorized user who could inspect the assumptions behind a scenario.</w:t>
      </w:r>
    </w:p>
    <w:p>
      <w:pPr>
        <w:pStyle w:val="Heading2"/>
        <w:keepNext/>
      </w:pPr>
      <w:r>
        <w:t>4.4.8 Limitations</w:t>
      </w:r>
    </w:p>
    <w:p>
      <w:pPr>
        <w:keepLines/>
        <w:spacing w:after="60"/>
        <w:ind w:left="504" w:hanging="317"/>
      </w:pPr>
      <w:r>
        <w:t xml:space="preserve">• </w:t>
      </w:r>
      <w:r>
        <w:t>The Gold sales objects remained candidate publications pending named business and finance approval.</w:t>
      </w:r>
    </w:p>
    <w:p>
      <w:pPr>
        <w:keepLines/>
        <w:spacing w:after="60"/>
        <w:ind w:left="504" w:hanging="317"/>
      </w:pPr>
      <w:r>
        <w:t xml:space="preserve">• </w:t>
      </w:r>
      <w:r>
        <w:t>The product master had no approved entries, so product analysis used source labels and could not standardize aliases or pack conversions.</w:t>
      </w:r>
    </w:p>
    <w:p>
      <w:pPr>
        <w:keepLines/>
        <w:spacing w:after="60"/>
        <w:ind w:left="504" w:hanging="317"/>
      </w:pPr>
      <w:r>
        <w:t xml:space="preserve">• </w:t>
      </w:r>
      <w:r>
        <w:t>The legacy area field combined geographic, customer-type, and business-line labels; final mapping approval remained outstanding.</w:t>
      </w:r>
    </w:p>
    <w:p>
      <w:pPr>
        <w:keepLines/>
        <w:spacing w:after="60"/>
        <w:ind w:left="504" w:hanging="317"/>
      </w:pPr>
      <w:r>
        <w:t xml:space="preserve">• </w:t>
      </w:r>
      <w:r>
        <w:t>Ten months had no observed transactions. The study preserved the gaps but could not independently determine whether missing files or absent business activity caused them.</w:t>
      </w:r>
    </w:p>
    <w:p>
      <w:pPr>
        <w:keepLines/>
        <w:spacing w:after="60"/>
        <w:ind w:left="504" w:hanging="317"/>
      </w:pPr>
      <w:r>
        <w:t xml:space="preserve">• </w:t>
      </w:r>
      <w:r>
        <w:t>DOH and PAGASA rows were not approved for territory-level forecasting, while NASA POWER remained a separately labeled proxy.</w:t>
      </w:r>
    </w:p>
    <w:p>
      <w:pPr>
        <w:keepLines/>
        <w:spacing w:after="60"/>
        <w:ind w:left="504" w:hanging="317"/>
      </w:pPr>
      <w:r>
        <w:t xml:space="preserve">• </w:t>
      </w:r>
      <w:r>
        <w:t>No predictive model or uncertainty interval was approved for operational publication.</w:t>
      </w:r>
    </w:p>
    <w:p>
      <w:pPr>
        <w:keepLines/>
        <w:spacing w:after="60"/>
        <w:ind w:left="504" w:hanging="317"/>
      </w:pPr>
      <w:r>
        <w:t xml:space="preserve">• </w:t>
      </w:r>
      <w:r>
        <w:t>Inventory, expiry, supplier, lead-time, service-level, ordering-cost, holding-cost, and stock-position data were unavailable.</w:t>
      </w:r>
    </w:p>
    <w:p>
      <w:pPr>
        <w:keepLines/>
        <w:spacing w:after="60"/>
        <w:ind w:left="504" w:hanging="317"/>
      </w:pPr>
      <w:r>
        <w:t xml:space="preserve">• </w:t>
      </w:r>
      <w:r>
        <w:t>The study contained technical and browser validation but no completed REC-approved participant evaluation or final client acceptance record.</w:t>
      </w:r>
    </w:p>
    <w:p>
      <w:pPr>
        <w:pStyle w:val="Heading2"/>
        <w:keepNext/>
      </w:pPr>
      <w:r>
        <w:t>4.4.9 Overall Synthesis</w:t>
      </w:r>
    </w:p>
    <w:p>
      <w:pPr>
        <w:keepLines w:val="0"/>
        <w:ind w:firstLine="720"/>
        <w:jc w:val="both"/>
      </w:pPr>
      <w:r>
        <w:t>The proponents delivered a working historical business analytics solution. MedShield reconciled 37,728 accepted sales records, displayed 2017 to 2025 performance without hiding ten missing months, examined a 72-month series with STL, ranked product and area labels, compared forecasting baselines on observed holdouts, and tested constrained allocation scenarios. Sales analysis and dashboard presentation had the strongest support among the proposal objectives.</w:t>
      </w:r>
    </w:p>
    <w:p>
      <w:pPr>
        <w:keepLines w:val="0"/>
        <w:ind w:firstLine="720"/>
        <w:jc w:val="both"/>
      </w:pPr>
      <w:r>
        <w:t>Several objectives still needed additional data or approval. Product and area labels were not final, external signals had not qualified for forecasting, and the selected model remained unpublished because its error and uncertainty evidence were insufficient. Allocation outputs depended on entered assumptions, while the expiry-wastage target had not been measured. The proponents could defend MedShield as a historical Decision Support System for business review, but not as proof of an approved operational forecast or reduced expiry losses.</w:t>
      </w:r>
    </w:p>
    <w:p>
      <w:pPr>
        <w:keepNext/>
        <w:spacing w:before="240" w:after="120"/>
      </w:pPr>
      <w:r>
        <w:rPr>
          <w:rFonts w:ascii="Times New Roman" w:hAnsi="Times New Roman" w:eastAsia="Times New Roman"/>
          <w:b/>
          <w:color w:val="000000"/>
          <w:sz w:val="28"/>
        </w:rPr>
        <w:t>References</w:t>
      </w:r>
    </w:p>
    <w:p>
      <w:pPr>
        <w:spacing w:line="240" w:lineRule="auto" w:after="120"/>
        <w:ind w:left="720" w:hanging="720"/>
        <w:jc w:val="left"/>
      </w:pPr>
      <w:r>
        <w:t>Cleveland, R. B., Cleveland, W. S., McRae, J. E., &amp; Terpenning, I. (1990). STL: A seasonal-trend decomposition procedure based on Loess. Journal of Official Statistics, 6(1), 3–73.</w:t>
      </w:r>
    </w:p>
    <w:p>
      <w:pPr>
        <w:spacing w:line="240" w:lineRule="auto" w:after="120"/>
        <w:ind w:left="720" w:hanging="720"/>
        <w:jc w:val="left"/>
      </w:pPr>
      <w:r>
        <w:t>Flores, B. E., &amp; Whybark, D. C. (1986). Multiple criteria ABC analysis. International Journal of Operations &amp; Production Management, 6(3), 38–46. https://doi.org/10.1108/eb054765</w:t>
      </w:r>
    </w:p>
    <w:p>
      <w:pPr>
        <w:spacing w:line="240" w:lineRule="auto" w:after="120"/>
        <w:ind w:left="720" w:hanging="720"/>
        <w:jc w:val="left"/>
      </w:pPr>
      <w:r>
        <w:t>Hyndman, R. J., &amp; Athanasopoulos, G. (2021). Forecasting: Principles and practice (3rd ed.). OTexts. https://otexts.com/fpp3/</w:t>
      </w:r>
    </w:p>
    <w:p>
      <w:pPr>
        <w:spacing w:line="240" w:lineRule="auto" w:after="120"/>
        <w:ind w:left="720" w:hanging="720"/>
        <w:jc w:val="left"/>
      </w:pPr>
      <w:r>
        <w:t>Martinez, M. E. (2018). The calendar of epidemics: Seasonal cycles of infectious diseases. PLOS Pathogens, 14(11), e1007327. https://doi.org/10.1371/journal.ppat.1007327</w:t>
      </w:r>
    </w:p>
    <w:p>
      <w:pPr>
        <w:spacing w:line="240" w:lineRule="auto" w:after="120"/>
        <w:ind w:left="720" w:hanging="720"/>
        <w:jc w:val="left"/>
      </w:pPr>
      <w:r>
        <w:t>MedShield Capstone Group 9. (2026a). Capstone project proposal objectives and conceptual framework. Unpublished manuscript.</w:t>
      </w:r>
    </w:p>
    <w:p>
      <w:pPr>
        <w:spacing w:line="240" w:lineRule="auto" w:after="120"/>
        <w:ind w:left="720" w:hanging="720"/>
        <w:jc w:val="left"/>
      </w:pPr>
      <w:r>
        <w:t>MedShield Capstone Group 9. (2026b). Descriptive calculation and STL receipts, Delta version 15. Internal validation evidence, 26 September 2026.</w:t>
      </w:r>
    </w:p>
    <w:p>
      <w:pPr>
        <w:spacing w:line="240" w:lineRule="auto" w:after="120"/>
        <w:ind w:left="720" w:hanging="720"/>
        <w:jc w:val="left"/>
      </w:pPr>
      <w:r>
        <w:t>MedShield Capstone Group 9. (2026c). QA review and current-state summary. Internal verification records, 27 September 2026.</w:t>
      </w:r>
    </w:p>
    <w:p>
      <w:pPr>
        <w:spacing w:line="240" w:lineRule="auto" w:after="120"/>
        <w:ind w:left="720" w:hanging="720"/>
        <w:jc w:val="left"/>
      </w:pPr>
      <w:r>
        <w:t>MedShield Capstone Group 9. (2026d). Analytics, architecture, and predictive operations. Internal project documentation, 27 September 2026.</w:t>
      </w:r>
    </w:p>
    <w:p>
      <w:pPr>
        <w:spacing w:line="240" w:lineRule="auto" w:after="120"/>
        <w:ind w:left="720" w:hanging="720"/>
        <w:jc w:val="left"/>
      </w:pPr>
      <w:r>
        <w:t>Nguyen, A., Lamouri, S., Pellerin, R., Tamayo, S., &amp; Lekens, B. (2021). Data analytics in pharmaceutical supply chains: State of the art, opportunities, and challenges. International Journal of Production Research, 60(22), 6888–6907. https://doi.org/10.1080/00207543.2021.1950937</w:t>
      </w:r>
    </w:p>
    <w:p>
      <w:pPr>
        <w:spacing w:line="240" w:lineRule="auto" w:after="120"/>
        <w:ind w:left="720" w:hanging="720"/>
        <w:jc w:val="left"/>
      </w:pPr>
      <w:r>
        <w:t>World Health Organization. (2024). Digital transformation handbook for health supply chain architecture. https://www.who.int/publications/i/item/9789240101197</w:t>
      </w:r>
    </w:p>
    <w:sectPr w:rsidR="00FC693F" w:rsidRPr="0006063C" w:rsidSect="00034616">
      <w:footerReference w:type="default" r:id="rId9"/>
      <w:pgSz w:w="12240" w:h="15840"/>
      <w:pgMar w:top="1224"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60"/>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60"/>
      <w:contextualSpacing/>
    </w:pPr>
    <w:rPr>
      <w:rFonts w:ascii="Times New Roman" w:hAnsi="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Results and Discussion</dc:title>
  <dc:subject>MedShield Decision Support System results and objective audit</dc:subject>
  <dc:creator>MedShield Capstone Group 9</dc:creator>
  <cp:keywords>MedShield, Chapter 4, results, discussion, decision support system</cp:keywords>
  <dc:description>generated by python-docx</dc:description>
  <cp:lastModifiedBy/>
  <cp:revision>1</cp:revision>
  <dcterms:created xsi:type="dcterms:W3CDTF">2013-12-23T23:15:00Z</dcterms:created>
  <dcterms:modified xsi:type="dcterms:W3CDTF">2013-12-23T23:15:00Z</dcterms:modified>
  <cp:category/>
</cp:coreProperties>
</file>