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pPr>
      <w:r>
        <w:rPr>
          <w:rFonts w:ascii="Calibri" w:hAnsi="Calibri"/>
          <w:b/>
          <w:color w:val="000000"/>
          <w:sz w:val="46"/>
        </w:rPr>
        <w:t>CHAPTER 4 AND CHAPTER 5 DRAFT</w:t>
      </w:r>
    </w:p>
    <w:p>
      <w:pPr>
        <w:spacing w:after="280"/>
      </w:pPr>
      <w:r>
        <w:rPr>
          <w:rFonts w:ascii="Calibri" w:hAnsi="Calibri"/>
          <w:color w:val="595959"/>
          <w:sz w:val="28"/>
        </w:rPr>
        <w:t>MedShield Business Analytics Decision Support System</w:t>
      </w:r>
    </w:p>
    <w:tbl>
      <w:tblPr>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val="0"/>
                <w:sz w:val="20"/>
              </w:rPr>
              <w:t>Prepared for</w:t>
            </w:r>
          </w:p>
        </w:tc>
        <w:tc>
          <w:tcPr>
            <w:tcW w:type="dxa" w:w="7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b w:val="0"/>
                <w:sz w:val="20"/>
              </w:rPr>
              <w:t>Capstone Group 9</w:t>
            </w:r>
          </w:p>
        </w:tc>
      </w:tr>
      <w:tr>
        <w:tc>
          <w:tcPr>
            <w:tcW w:type="dxa" w:w="1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val="0"/>
                <w:sz w:val="20"/>
              </w:rPr>
              <w:t>Document status</w:t>
            </w:r>
          </w:p>
        </w:tc>
        <w:tc>
          <w:tcPr>
            <w:tcW w:type="dxa" w:w="7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b w:val="0"/>
                <w:sz w:val="20"/>
              </w:rPr>
              <w:t>Working draft for review and revision</w:t>
            </w:r>
          </w:p>
        </w:tc>
      </w:tr>
      <w:tr>
        <w:tc>
          <w:tcPr>
            <w:tcW w:type="dxa" w:w="1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val="0"/>
                <w:sz w:val="20"/>
              </w:rPr>
              <w:t>Generated from</w:t>
            </w:r>
          </w:p>
        </w:tc>
        <w:tc>
          <w:tcPr>
            <w:tcW w:type="dxa" w:w="7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b w:val="0"/>
                <w:sz w:val="20"/>
              </w:rPr>
              <w:t>Current feature/flow workspace evidence</w:t>
            </w:r>
          </w:p>
        </w:tc>
      </w:tr>
      <w:tr>
        <w:tc>
          <w:tcPr>
            <w:tcW w:type="dxa" w:w="1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val="0"/>
                <w:sz w:val="20"/>
              </w:rPr>
              <w:t>Date</w:t>
            </w:r>
          </w:p>
        </w:tc>
        <w:tc>
          <w:tcPr>
            <w:tcW w:type="dxa" w:w="7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b w:val="0"/>
                <w:sz w:val="20"/>
              </w:rPr>
              <w:t>June 24, 2026</w:t>
            </w:r>
          </w:p>
        </w:tc>
      </w:tr>
    </w:tbl>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4F6F9"/>
          </w:tcPr>
          <w:p>
            <w:pPr>
              <w:spacing w:after="60"/>
            </w:pPr>
            <w:r>
              <w:rPr>
                <w:rFonts w:ascii="Calibri" w:hAnsi="Calibri"/>
                <w:b/>
                <w:color w:val="1F4D78"/>
                <w:sz w:val="21"/>
              </w:rPr>
              <w:t>Draft status note</w:t>
            </w:r>
          </w:p>
          <w:p>
            <w:pPr>
              <w:spacing w:after="0"/>
            </w:pPr>
            <w:r>
              <w:rPr>
                <w:rFonts w:ascii="Calibri" w:hAnsi="Calibri"/>
                <w:color w:val="000000"/>
                <w:sz w:val="20"/>
              </w:rPr>
              <w:t>This document is written from the current implemented workspace. It should be treated as a Chapter 4 and Chapter 5 draft until the group inserts final screenshots, approves business rules, and uploads the DOH and PAGASA datasets.</w:t>
            </w:r>
          </w:p>
        </w:tc>
      </w:tr>
    </w:tbl>
    <w:p/>
    <w:p>
      <w:pPr>
        <w:pStyle w:val="Heading1"/>
      </w:pPr>
      <w:r>
        <w:t>Chapter 4. System Implementation, Results, and Evaluation Evidence</w:t>
      </w:r>
    </w:p>
    <w:p>
      <w:pPr>
        <w:jc w:val="both"/>
      </w:pPr>
      <w:r>
        <w:t>This chapter presents the implemented MedShield Business Analytics Decision Support System. The system was developed as a historical analytics and decision-support application for pharmaceutical sales analysis, demand planning, product prioritization, and scenario-based planning review. The implementation follows the approved scope that the system does not operate as a live disease surveillance platform, does not issue official PAGASA alerts, and does not automate procurement decisions.</w:t>
      </w:r>
    </w:p>
    <w:p>
      <w:pPr>
        <w:jc w:val="both"/>
      </w:pPr>
      <w:r>
        <w:t>The current workspace contains the working software layers, cleaned sales data pipeline, backward allocation outputs for contract-name rows, local model computation outputs, dashboard publication labels, and validation results. Outputs related to DOH disease signals, official PAGASA historical reference files, and real inventory optimization remain limited until the required datasets are uploaded and approved.</w:t>
      </w:r>
    </w:p>
    <w:p>
      <w:pPr>
        <w:pStyle w:val="Heading2"/>
      </w:pPr>
      <w:r>
        <w:t>4.1 System Overview</w:t>
      </w:r>
    </w:p>
    <w:p>
      <w:pPr>
        <w:jc w:val="both"/>
      </w:pPr>
      <w:r>
        <w:t>MedShield was implemented as a web-based decision-support system with separate frontend, backend, analytics, and database responsibilities. The frontend is a Next.js and React dashboard, the backend is a TypeScript API gateway, and the analytics functions are implemented in Python services and repeatable model jobs. Supabase PostgreSQL is the intended warehouse for persisted staging data, fact tables, and DSS model outputs.</w:t>
      </w:r>
    </w:p>
    <w:tbl>
      <w:tblPr>
        <w:tblW w:type="dxa" w:w="9360"/>
        <w:tblLayout w:type="fixed"/>
        <w:tblLook w:firstColumn="1" w:firstRow="1" w:lastColumn="0" w:lastRow="0" w:noHBand="0" w:noVBand="1" w:val="04A0"/>
        <w:jc w:val="left"/>
        <w:tblInd w:type="dxa" w:w="120"/>
      </w:tblPr>
      <w:tblGrid>
        <w:gridCol w:w="1600"/>
        <w:gridCol w:w="2800"/>
        <w:gridCol w:w="4960"/>
      </w:tblGrid>
      <w:tr>
        <w:trPr>
          <w:tblHeader w:val="true"/>
        </w:trPr>
        <w:tc>
          <w:tcPr>
            <w:tcW w:type="dxa" w:w="1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Layer</w:t>
            </w:r>
          </w:p>
        </w:tc>
        <w:tc>
          <w:tcPr>
            <w:tcW w:type="dxa" w:w="2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Implemented component</w:t>
            </w:r>
          </w:p>
        </w:tc>
        <w:tc>
          <w:tcPr>
            <w:tcW w:type="dxa" w:w="49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Purpose</w:t>
            </w:r>
          </w:p>
        </w:tc>
      </w:tr>
      <w:tr>
        <w:tc>
          <w:tcPr>
            <w:tcW w:type="dxa" w:w="1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Frontend</w:t>
            </w:r>
          </w:p>
        </w:tc>
        <w:tc>
          <w:tcPr>
            <w:tcW w:type="dxa" w:w="2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Next.js App Router and TypeScript UI</w:t>
            </w:r>
          </w:p>
        </w:tc>
        <w:tc>
          <w:tcPr>
            <w:tcW w:type="dxa" w:w="49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Renders dashboard views, upload tools, status labels, and decision-support charts.</w:t>
            </w:r>
          </w:p>
        </w:tc>
      </w:tr>
      <w:tr>
        <w:tc>
          <w:tcPr>
            <w:tcW w:type="dxa" w:w="1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Gateway</w:t>
            </w:r>
          </w:p>
        </w:tc>
        <w:tc>
          <w:tcPr>
            <w:tcW w:type="dxa" w:w="2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TypeScript backend service</w:t>
            </w:r>
          </w:p>
        </w:tc>
        <w:tc>
          <w:tcPr>
            <w:tcW w:type="dxa" w:w="49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Handles routing, CORS, authentication flow, API contracts, and fallback behavior.</w:t>
            </w:r>
          </w:p>
        </w:tc>
      </w:tr>
      <w:tr>
        <w:tc>
          <w:tcPr>
            <w:tcW w:type="dxa" w:w="1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Analytics</w:t>
            </w:r>
          </w:p>
        </w:tc>
        <w:tc>
          <w:tcPr>
            <w:tcW w:type="dxa" w:w="2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Python Flask services and jobs</w:t>
            </w:r>
          </w:p>
        </w:tc>
        <w:tc>
          <w:tcPr>
            <w:tcW w:type="dxa" w:w="49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Profiles sales data, builds marts, computes descriptive outputs, baseline forecasts, and priority scores.</w:t>
            </w:r>
          </w:p>
        </w:tc>
      </w:tr>
      <w:tr>
        <w:tc>
          <w:tcPr>
            <w:tcW w:type="dxa" w:w="1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Data warehouse</w:t>
            </w:r>
          </w:p>
        </w:tc>
        <w:tc>
          <w:tcPr>
            <w:tcW w:type="dxa" w:w="28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Supabase PostgreSQL migrations and views</w:t>
            </w:r>
          </w:p>
        </w:tc>
        <w:tc>
          <w:tcPr>
            <w:tcW w:type="dxa" w:w="49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Stores staging rows, warehouse facts, external signals, model outputs, and dashboard views.</w:t>
            </w:r>
          </w:p>
        </w:tc>
      </w:tr>
    </w:tbl>
    <w:p/>
    <w:p>
      <w:pPr>
        <w:pStyle w:val="Heading2"/>
      </w:pPr>
      <w:r>
        <w:t>4.2 Architecture and Runtime Flow</w:t>
      </w:r>
    </w:p>
    <w:p>
      <w:pPr>
        <w:jc w:val="both"/>
      </w:pPr>
      <w:r>
        <w:t>The architecture separates interface behavior from model computation. The dashboard calls the TypeScript API gateway rather than connecting directly to the database. The gateway checks the Python analytics services for reporting data, and if a local service or warehouse connection is unavailable, it can use checked-in reference exports so the capstone demonstration remains runnable.</w:t>
      </w:r>
    </w:p>
    <w:p>
      <w:pPr>
        <w:jc w:val="both"/>
      </w:pPr>
      <w:r>
        <w:t>This separation supports maintainability and security. Browser code does not hold service-role database keys. Analytical calculations are kept outside the frontend request path, and controlled model jobs can write outputs with run metadata, limitations, and review status.</w:t>
      </w:r>
    </w:p>
    <w:tbl>
      <w:tblPr>
        <w:tblW w:type="dxa" w:w="9360"/>
        <w:tblLayout w:type="fixed"/>
        <w:tblLook w:firstColumn="1" w:firstRow="1" w:lastColumn="0" w:lastRow="0" w:noHBand="0" w:noVBand="1" w:val="04A0"/>
        <w:jc w:val="left"/>
        <w:tblInd w:type="dxa" w:w="120"/>
      </w:tblPr>
      <w:tblGrid>
        <w:gridCol w:w="900"/>
        <w:gridCol w:w="8460"/>
      </w:tblGrid>
      <w:tr>
        <w:trPr>
          <w:tblHeader w:val="true"/>
        </w:trP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Step</w:t>
            </w:r>
          </w:p>
        </w:tc>
        <w:tc>
          <w:tcPr>
            <w:tcW w:type="dxa" w:w="8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Runtime behavior</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w:t>
            </w:r>
          </w:p>
        </w:tc>
        <w:tc>
          <w:tcPr>
            <w:tcW w:type="dxa" w:w="8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User signs in and opens the MedShield dashboard.</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w:t>
            </w:r>
          </w:p>
        </w:tc>
        <w:tc>
          <w:tcPr>
            <w:tcW w:type="dxa" w:w="8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Frontend requests data from the TypeScript gateway.</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w:t>
            </w:r>
          </w:p>
        </w:tc>
        <w:tc>
          <w:tcPr>
            <w:tcW w:type="dxa" w:w="8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Gateway probes the Python analytics and product services.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4</w:t>
            </w:r>
          </w:p>
        </w:tc>
        <w:tc>
          <w:tcPr>
            <w:tcW w:type="dxa" w:w="8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Analytics services read warehouse views or local processed snapshots.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5</w:t>
            </w:r>
          </w:p>
        </w:tc>
        <w:tc>
          <w:tcPr>
            <w:tcW w:type="dxa" w:w="8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Dashboard renders actual, estimated, draft, proxy, scenario, or blocked outputs with labels.</w:t>
            </w:r>
          </w:p>
        </w:tc>
      </w:tr>
    </w:tbl>
    <w:p/>
    <w:p>
      <w:pPr>
        <w:pStyle w:val="Heading2"/>
      </w:pPr>
      <w:r>
        <w:t>4.3 Database and Data Warehouse Design</w:t>
      </w:r>
    </w:p>
    <w:p>
      <w:pPr>
        <w:jc w:val="both"/>
      </w:pPr>
      <w:r>
        <w:t>The warehouse design uses staging tables for lineage, warehouse fact tables for cleaned historical sales and aggregates, and DSS output tables for model results. This design prevents raw workbook records, model outputs, and dashboard aggregates from being mixed in one uncontrolled table.</w:t>
      </w:r>
    </w:p>
    <w:tbl>
      <w:tblPr>
        <w:tblW w:type="dxa" w:w="9360"/>
        <w:tblLayout w:type="fixed"/>
        <w:tblLook w:firstColumn="1" w:firstRow="1" w:lastColumn="0" w:lastRow="0" w:noHBand="0" w:noVBand="1" w:val="04A0"/>
        <w:jc w:val="left"/>
        <w:tblInd w:type="dxa" w:w="120"/>
      </w:tblPr>
      <w:tblGrid>
        <w:gridCol w:w="1700"/>
        <w:gridCol w:w="3300"/>
        <w:gridCol w:w="4360"/>
      </w:tblGrid>
      <w:tr>
        <w:trPr>
          <w:tblHeader w:val="true"/>
        </w:trPr>
        <w:tc>
          <w:tcPr>
            <w:tcW w:type="dxa" w:w="1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Warehouse area</w:t>
            </w:r>
          </w:p>
        </w:tc>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Representative tables or views</w:t>
            </w:r>
          </w:p>
        </w:tc>
        <w:tc>
          <w:tcPr>
            <w:tcW w:type="dxa" w:w="4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Implementation purpose</w:t>
            </w:r>
          </w:p>
        </w:tc>
      </w:tr>
      <w:tr>
        <w:tc>
          <w:tcPr>
            <w:tcW w:type="dxa" w:w="1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Source and staging</w:t>
            </w:r>
          </w:p>
        </w:tc>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stg_sales_transactions, etl_pipeline_run, etl_source_extract</w:t>
            </w:r>
          </w:p>
        </w:tc>
        <w:tc>
          <w:tcPr>
            <w:tcW w:type="dxa" w:w="4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Preserve source workbook lineage, pipeline runs, and extracted-row audit information.</w:t>
            </w:r>
          </w:p>
        </w:tc>
      </w:tr>
      <w:tr>
        <w:tc>
          <w:tcPr>
            <w:tcW w:type="dxa" w:w="1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Warehouse facts</w:t>
            </w:r>
          </w:p>
        </w:tc>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fact_sales_transactions, fact_monthly_sales, fact_area_summary, fact_product_summary</w:t>
            </w:r>
          </w:p>
        </w:tc>
        <w:tc>
          <w:tcPr>
            <w:tcW w:type="dxa" w:w="4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Store accepted sales rows and dashboard-ready aggregates.</w:t>
            </w:r>
          </w:p>
        </w:tc>
      </w:tr>
      <w:tr>
        <w:tc>
          <w:tcPr>
            <w:tcW w:type="dxa" w:w="1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External signals</w:t>
            </w:r>
          </w:p>
        </w:tc>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fact_disease_signal, fact_weather_signal</w:t>
            </w:r>
          </w:p>
        </w:tc>
        <w:tc>
          <w:tcPr>
            <w:tcW w:type="dxa" w:w="4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Store historical DOH/PAGASA/API context with provider and period metadata.</w:t>
            </w:r>
          </w:p>
        </w:tc>
      </w:tr>
      <w:tr>
        <w:tc>
          <w:tcPr>
            <w:tcW w:type="dxa" w:w="1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DSS outputs</w:t>
            </w:r>
          </w:p>
        </w:tc>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fact_demand_forecast, fact_product_priority, fact_model_evaluation</w:t>
            </w:r>
          </w:p>
        </w:tc>
        <w:tc>
          <w:tcPr>
            <w:tcW w:type="dxa" w:w="4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Store model outputs, metrics, limitations, and publication status.</w:t>
            </w:r>
          </w:p>
        </w:tc>
      </w:tr>
    </w:tbl>
    <w:p/>
    <w:p>
      <w:pPr>
        <w:pStyle w:val="Heading2"/>
      </w:pPr>
      <w:r>
        <w:t>4.4 Historical Data Scope</w:t>
      </w:r>
    </w:p>
    <w:p>
      <w:pPr>
        <w:jc w:val="both"/>
      </w:pPr>
      <w:r>
        <w:t>The system scope is historical. Sales data covers 2021 to 2025. PAGASA data is expected for 2021 to 2024 only and must be treated as official historical reference data for that covered period. DOH data is expected for 2021 to 2025 and may support historical disease signal analysis after upload. Weather API data by latitude and longitude is used as a provider-derived weather proxy, not as official PAGASA observation data.</w:t>
      </w:r>
    </w:p>
    <w:tbl>
      <w:tblPr>
        <w:tblW w:type="dxa" w:w="9360"/>
        <w:tblLayout w:type="fixed"/>
        <w:tblLook w:firstColumn="1" w:firstRow="1" w:lastColumn="0" w:lastRow="0" w:noHBand="0" w:noVBand="1" w:val="04A0"/>
        <w:jc w:val="left"/>
        <w:tblInd w:type="dxa" w:w="120"/>
      </w:tblPr>
      <w:tblGrid>
        <w:gridCol w:w="1900"/>
        <w:gridCol w:w="2200"/>
        <w:gridCol w:w="5260"/>
      </w:tblGrid>
      <w:tr>
        <w:trPr>
          <w:tblHeader w:val="true"/>
        </w:trPr>
        <w:tc>
          <w:tcPr>
            <w:tcW w:type="dxa" w:w="1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Source</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Available or expected period</w:t>
            </w:r>
          </w:p>
        </w:tc>
        <w:tc>
          <w:tcPr>
            <w:tcW w:type="dxa" w:w="52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Current implementation status</w:t>
            </w:r>
          </w:p>
        </w:tc>
      </w:tr>
      <w:tr>
        <w:tc>
          <w:tcPr>
            <w:tcW w:type="dxa" w:w="1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Sales workbook</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2021-2025</w:t>
            </w:r>
          </w:p>
        </w:tc>
        <w:tc>
          <w:tcPr>
            <w:tcW w:type="dxa" w:w="52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Loaded, cleaned, layered, and used for descriptive and baseline model outputs.</w:t>
            </w:r>
          </w:p>
        </w:tc>
      </w:tr>
      <w:tr>
        <w:tc>
          <w:tcPr>
            <w:tcW w:type="dxa" w:w="1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PAGASA</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2021-2024</w:t>
            </w:r>
          </w:p>
        </w:tc>
        <w:tc>
          <w:tcPr>
            <w:tcW w:type="dxa" w:w="52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Pending upload; official historical reference only.</w:t>
            </w:r>
          </w:p>
        </w:tc>
      </w:tr>
      <w:tr>
        <w:tc>
          <w:tcPr>
            <w:tcW w:type="dxa" w:w="1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DOH</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2021-2025</w:t>
            </w:r>
          </w:p>
        </w:tc>
        <w:tc>
          <w:tcPr>
            <w:tcW w:type="dxa" w:w="52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Pending upload; historical disease scenario use only.</w:t>
            </w:r>
          </w:p>
        </w:tc>
      </w:tr>
      <w:tr>
        <w:tc>
          <w:tcPr>
            <w:tcW w:type="dxa" w:w="1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Weather API</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Provider-supported 2021-2025 history</w:t>
            </w:r>
          </w:p>
        </w:tc>
        <w:tc>
          <w:tcPr>
            <w:tcW w:type="dxa" w:w="52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Partial workspace coverage; treated as contextual proxy.</w:t>
            </w:r>
          </w:p>
        </w:tc>
      </w:tr>
      <w:tr>
        <w:tc>
          <w:tcPr>
            <w:tcW w:type="dxa" w:w="1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Inventory and cost policy</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Not yet available</w:t>
            </w:r>
          </w:p>
        </w:tc>
        <w:tc>
          <w:tcPr>
            <w:tcW w:type="dxa" w:w="52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Scenario-only; real EOQ/ROP/allocation remains blocked.</w:t>
            </w:r>
          </w:p>
        </w:tc>
      </w:tr>
    </w:tbl>
    <w:p/>
    <w:p>
      <w:pPr>
        <w:pStyle w:val="Heading2"/>
      </w:pPr>
      <w:r>
        <w:t>4.5 Sales Data Preparation and Quality Assurance</w:t>
      </w:r>
    </w:p>
    <w:p>
      <w:pPr>
        <w:jc w:val="both"/>
      </w:pPr>
      <w:r>
        <w:t>The sales pipeline is organized into three layers. The raw layer preserves yearly workbook exports. The semi-raw layer applies backward approximation to controlled contract-name rows and repairs defensible missing delivery dates while preserving row-level flags. The cleaned layer keeps only accepted analytical sales rows with product, area, valid date, positive quantity, and positive total trade price.</w:t>
      </w:r>
    </w:p>
    <w:tbl>
      <w:tblPr>
        <w:tblW w:type="dxa" w:w="9360"/>
        <w:tblLayout w:type="fixed"/>
        <w:tblLook w:firstColumn="1" w:firstRow="1" w:lastColumn="0" w:lastRow="0" w:noHBand="0" w:noVBand="1" w:val="04A0"/>
        <w:jc w:val="left"/>
        <w:tblInd w:type="dxa" w:w="120"/>
      </w:tblPr>
      <w:tblGrid>
        <w:gridCol w:w="2600"/>
        <w:gridCol w:w="1400"/>
        <w:gridCol w:w="5360"/>
      </w:tblGrid>
      <w:tr>
        <w:trPr>
          <w:tblHeader w:val="true"/>
        </w:trP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Layer</w:t>
            </w:r>
          </w:p>
        </w:tc>
        <w:tc>
          <w:tcPr>
            <w:tcW w:type="dxa" w:w="1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Rows</w:t>
            </w:r>
          </w:p>
        </w:tc>
        <w:tc>
          <w:tcPr>
            <w:tcW w:type="dxa" w:w="5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Key quality result</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Raw sales report</w:t>
            </w:r>
          </w:p>
        </w:tc>
        <w:tc>
          <w:tcPr>
            <w:tcW w:type="dxa" w:w="1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20,418</w:t>
            </w:r>
          </w:p>
        </w:tc>
        <w:tc>
          <w:tcPr>
            <w:tcW w:type="dxa" w:w="5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Direct workbook exports with 13 columns per year.</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Semi-raw backward approximation</w:t>
            </w:r>
          </w:p>
        </w:tc>
        <w:tc>
          <w:tcPr>
            <w:tcW w:type="dxa" w:w="1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21,802</w:t>
            </w:r>
          </w:p>
        </w:tc>
        <w:tc>
          <w:tcPr>
            <w:tcW w:type="dxa" w:w="5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1,730 estimated allocation rows; 841 pending exclusions.</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Cleaned sales</w:t>
            </w:r>
          </w:p>
        </w:tc>
        <w:tc>
          <w:tcPr>
            <w:tcW w:type="dxa" w:w="1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20,961</w:t>
            </w:r>
          </w:p>
        </w:tc>
        <w:tc>
          <w:tcPr>
            <w:tcW w:type="dxa" w:w="5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No empty product, empty area, bad date, or pending cleaning exclusions.</w:t>
            </w:r>
          </w:p>
        </w:tc>
      </w:tr>
    </w:tbl>
    <w:p/>
    <w:tbl>
      <w:tblPr>
        <w:tblW w:type="dxa" w:w="9360"/>
        <w:tblLayout w:type="fixed"/>
        <w:tblLook w:firstColumn="1" w:firstRow="1" w:lastColumn="0" w:lastRow="0" w:noHBand="0" w:noVBand="1" w:val="04A0"/>
        <w:jc w:val="left"/>
        <w:tblInd w:type="dxa" w:w="120"/>
      </w:tblPr>
      <w:tblGrid>
        <w:gridCol w:w="4300"/>
        <w:gridCol w:w="5060"/>
      </w:tblGrid>
      <w:tr>
        <w:trPr>
          <w:tblHeader w:val="true"/>
        </w:trP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Measure</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Value</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Accepted clean sales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20,961</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Excluded rows retained in QA audit</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841</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Unique products in accepted layer</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3,335</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Unique areas in accepted layer</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29</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Estimated backward-allocation rows accepted</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1,725</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Duplicate rows flagged</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33</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Accepted total trade price</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PHP 220,958,269.80</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Accepted gross margin/profit</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PHP 259,767,098.70</w:t>
            </w:r>
          </w:p>
        </w:tc>
      </w:tr>
    </w:tbl>
    <w:p/>
    <w:p>
      <w:pPr>
        <w:jc w:val="both"/>
      </w:pPr>
      <w:r>
        <w:t>The latest clean layer contains 20,961 accepted analytical rows. The accepted row count can exceed raw workbook rows in some years because one contract-name parent row can be replaced by multiple estimated child product rows while preserving additive totals.</w:t>
      </w:r>
    </w:p>
    <w:tbl>
      <w:tblPr>
        <w:tblW w:type="dxa" w:w="9360"/>
        <w:tblLayout w:type="fixed"/>
        <w:tblLook w:firstColumn="1" w:firstRow="1" w:lastColumn="0" w:lastRow="0" w:noHBand="0" w:noVBand="1" w:val="04A0"/>
        <w:jc w:val="left"/>
        <w:tblInd w:type="dxa" w:w="120"/>
      </w:tblPr>
      <w:tblGrid>
        <w:gridCol w:w="900"/>
        <w:gridCol w:w="1300"/>
        <w:gridCol w:w="1300"/>
        <w:gridCol w:w="1300"/>
        <w:gridCol w:w="4560"/>
      </w:tblGrid>
      <w:tr>
        <w:trPr>
          <w:tblHeader w:val="true"/>
        </w:trP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Year</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Source rows</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Clean rows</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Excluded rows</w:t>
            </w:r>
          </w:p>
        </w:tc>
        <w:tc>
          <w:tcPr>
            <w:tcW w:type="dxa" w:w="4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Interpretation</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2021</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3419</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3412</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4</w:t>
            </w:r>
          </w:p>
        </w:tc>
        <w:tc>
          <w:tcPr>
            <w:tcW w:type="dxa" w:w="4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lower count means source rows were excluded by clean-sales rules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2022</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4032</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3999</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30</w:t>
            </w:r>
          </w:p>
        </w:tc>
        <w:tc>
          <w:tcPr>
            <w:tcW w:type="dxa" w:w="4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lower count means source rows were excluded by clean-sales rules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2023</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5893</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5323</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567</w:t>
            </w:r>
          </w:p>
        </w:tc>
        <w:tc>
          <w:tcPr>
            <w:tcW w:type="dxa" w:w="4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lower count means source rows were excluded by clean-sales rules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2024</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2948</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3328</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109</w:t>
            </w:r>
          </w:p>
        </w:tc>
        <w:tc>
          <w:tcPr>
            <w:tcW w:type="dxa" w:w="4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clean rows can exceed workbook rows when contract rows are backward-allocated into child product rows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2025</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4141</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4899</w:t>
            </w:r>
          </w:p>
        </w:tc>
        <w:tc>
          <w:tcPr>
            <w:tcW w:type="dxa" w:w="1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131</w:t>
            </w:r>
          </w:p>
        </w:tc>
        <w:tc>
          <w:tcPr>
            <w:tcW w:type="dxa" w:w="45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clean rows can exceed workbook rows when contract rows are backward-allocated into child product rows</w:t>
            </w:r>
          </w:p>
        </w:tc>
      </w:tr>
    </w:tbl>
    <w:p/>
    <w:p>
      <w:pPr>
        <w:pStyle w:val="Heading2"/>
      </w:pPr>
      <w:r>
        <w:t>4.6 Contract-Name Row Backward Allocation</w:t>
      </w:r>
    </w:p>
    <w:p>
      <w:pPr>
        <w:jc w:val="both"/>
      </w:pPr>
      <w:r>
        <w:t>Rows whose product field contained controlled contract or area labels followed by a hash mark were not treated as real products. Instead, the transformation replaced each recognized parent row with estimated product-level child rows based only on earlier comparable transactions. This is a backward approximation for analytical use, not a reconstruction of exact invoice details.</w:t>
      </w:r>
    </w:p>
    <w:tbl>
      <w:tblPr>
        <w:tblW w:type="dxa" w:w="9360"/>
        <w:tblLayout w:type="fixed"/>
        <w:tblLook w:firstColumn="1" w:firstRow="1" w:lastColumn="0" w:lastRow="0" w:noHBand="0" w:noVBand="1" w:val="04A0"/>
        <w:jc w:val="left"/>
        <w:tblInd w:type="dxa" w:w="120"/>
      </w:tblPr>
      <w:tblGrid>
        <w:gridCol w:w="3900"/>
        <w:gridCol w:w="5460"/>
      </w:tblGrid>
      <w:tr>
        <w:trPr>
          <w:tblHeader w:val="true"/>
        </w:trPr>
        <w:tc>
          <w:tcPr>
            <w:tcW w:type="dxa" w:w="3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Allocation result</w:t>
            </w:r>
          </w:p>
        </w:tc>
        <w:tc>
          <w:tcPr>
            <w:tcW w:type="dxa" w:w="5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Value</w:t>
            </w:r>
          </w:p>
        </w:tc>
      </w:tr>
      <w:tr>
        <w:tc>
          <w:tcPr>
            <w:tcW w:type="dxa" w:w="3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Original row count before allocation</w:t>
            </w:r>
          </w:p>
        </w:tc>
        <w:tc>
          <w:tcPr>
            <w:tcW w:type="dxa" w:w="5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20,418</w:t>
            </w:r>
          </w:p>
        </w:tc>
      </w:tr>
      <w:tr>
        <w:tc>
          <w:tcPr>
            <w:tcW w:type="dxa" w:w="3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Contract or area-summary parent rows replaced</w:t>
            </w:r>
          </w:p>
        </w:tc>
        <w:tc>
          <w:tcPr>
            <w:tcW w:type="dxa" w:w="5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346</w:t>
            </w:r>
          </w:p>
        </w:tc>
      </w:tr>
      <w:tr>
        <w:tc>
          <w:tcPr>
            <w:tcW w:type="dxa" w:w="3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Estimated child rows created</w:t>
            </w:r>
          </w:p>
        </w:tc>
        <w:tc>
          <w:tcPr>
            <w:tcW w:type="dxa" w:w="5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1,730</w:t>
            </w:r>
          </w:p>
        </w:tc>
      </w:tr>
      <w:tr>
        <w:tc>
          <w:tcPr>
            <w:tcW w:type="dxa" w:w="3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Adjusted row count after allocation</w:t>
            </w:r>
          </w:p>
        </w:tc>
        <w:tc>
          <w:tcPr>
            <w:tcW w:type="dxa" w:w="5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21,802</w:t>
            </w:r>
          </w:p>
        </w:tc>
      </w:tr>
      <w:tr>
        <w:tc>
          <w:tcPr>
            <w:tcW w:type="dxa" w:w="3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Additive-field reconciliation delta</w:t>
            </w:r>
          </w:p>
        </w:tc>
        <w:tc>
          <w:tcPr>
            <w:tcW w:type="dxa" w:w="54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0 for quantity, cost, discount, net cost, total trade price, and gross margin/profit</w:t>
            </w:r>
          </w:p>
        </w:tc>
      </w:tr>
    </w:tbl>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4F6F9"/>
          </w:tcPr>
          <w:p>
            <w:pPr>
              <w:spacing w:after="60"/>
            </w:pPr>
            <w:r>
              <w:rPr>
                <w:rFonts w:ascii="Calibri" w:hAnsi="Calibri"/>
                <w:b/>
                <w:color w:val="1F4D78"/>
                <w:sz w:val="21"/>
              </w:rPr>
              <w:t>Use in the paper</w:t>
            </w:r>
          </w:p>
          <w:p>
            <w:pPr>
              <w:spacing w:after="0"/>
            </w:pPr>
            <w:r>
              <w:rPr>
                <w:rFonts w:ascii="Calibri" w:hAnsi="Calibri"/>
                <w:color w:val="000000"/>
                <w:sz w:val="20"/>
              </w:rPr>
              <w:t>The allocation method increases analytical row detail without increasing total revenue or gross margin/profit. All estimated child rows must remain labeled as estimated_backward_allocation.</w:t>
            </w:r>
          </w:p>
        </w:tc>
      </w:tr>
    </w:tbl>
    <w:p/>
    <w:p>
      <w:pPr>
        <w:pStyle w:val="Heading2"/>
      </w:pPr>
      <w:r>
        <w:t>4.7 Product and Area Mapping</w:t>
      </w:r>
    </w:p>
    <w:p>
      <w:pPr>
        <w:jc w:val="both"/>
      </w:pPr>
      <w:r>
        <w:t>The current system separates geographic territory values from customer types and business-line labels before weather or territory models are used. Product-level modeling is based on cleaned product values and draft SKU counts, but the final product master and SKU alias mapping still need group approval before final model claims.</w:t>
      </w:r>
    </w:p>
    <w:tbl>
      <w:tblPr>
        <w:tblW w:type="dxa" w:w="9360"/>
        <w:tblLayout w:type="fixed"/>
        <w:tblLook w:firstColumn="1" w:firstRow="1" w:lastColumn="0" w:lastRow="0" w:noHBand="0" w:noVBand="1" w:val="04A0"/>
        <w:jc w:val="left"/>
        <w:tblInd w:type="dxa" w:w="120"/>
      </w:tblPr>
      <w:tblGrid>
        <w:gridCol w:w="2200"/>
        <w:gridCol w:w="3400"/>
        <w:gridCol w:w="3760"/>
      </w:tblGrid>
      <w:tr>
        <w:trPr>
          <w:tblHeader w:val="true"/>
        </w:trP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Mapping area</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Current status</w:t>
            </w:r>
          </w:p>
        </w:tc>
        <w:tc>
          <w:tcPr>
            <w:tcW w:type="dxa" w:w="3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Impact</w:t>
            </w:r>
          </w:p>
        </w:tc>
      </w:tr>
      <w:t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Product/SKU aliases</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Draft mapping and product counts exist; approval pending.</w:t>
            </w:r>
          </w:p>
        </w:tc>
        <w:tc>
          <w:tcPr>
            <w:tcW w:type="dxa" w:w="3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XGBoost urgency and final SKU-level claims should remain draft.</w:t>
            </w:r>
          </w:p>
        </w:tc>
      </w:tr>
      <w:t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Contract-name rows</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Controlled hash-mark contract labels are estimated and flagged.</w:t>
            </w:r>
          </w:p>
        </w:tc>
        <w:tc>
          <w:tcPr>
            <w:tcW w:type="dxa" w:w="3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Prevents contract names from distorting product rankings.</w:t>
            </w:r>
          </w:p>
        </w:tc>
      </w:tr>
      <w:t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Territories</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Geographic territories are separated for area analysis.</w:t>
            </w:r>
          </w:p>
        </w:tc>
        <w:tc>
          <w:tcPr>
            <w:tcW w:type="dxa" w:w="3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Weather and disease joins should use approved geographic values only.</w:t>
            </w:r>
          </w:p>
        </w:tc>
      </w:tr>
      <w:t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Customer/business labels</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Separated from territories where identified.</w:t>
            </w:r>
          </w:p>
        </w:tc>
        <w:tc>
          <w:tcPr>
            <w:tcW w:type="dxa" w:w="3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Avoids joining external weather/disease signals to non-geographic labels.</w:t>
            </w:r>
          </w:p>
        </w:tc>
      </w:tr>
    </w:tbl>
    <w:p/>
    <w:p>
      <w:pPr>
        <w:pStyle w:val="Heading2"/>
      </w:pPr>
      <w:r>
        <w:t>4.8 Analytics and Model Outputs</w:t>
      </w:r>
    </w:p>
    <w:p>
      <w:pPr>
        <w:jc w:val="both"/>
      </w:pPr>
      <w:r>
        <w:t>The current analytics job produces repeatable local evidence outputs. It builds monthly marts, descriptive rankings, seasonality outputs, year-over-year summaries, a sales-only seasonal naive baseline forecast, product priority scoring, and model evaluation records. Outputs are draft or local evidence outputs until reviewed and published.</w:t>
      </w:r>
    </w:p>
    <w:tbl>
      <w:tblPr>
        <w:tblW w:type="dxa" w:w="9360"/>
        <w:tblLayout w:type="fixed"/>
        <w:tblLook w:firstColumn="1" w:firstRow="1" w:lastColumn="0" w:lastRow="0" w:noHBand="0" w:noVBand="1" w:val="04A0"/>
        <w:jc w:val="left"/>
        <w:tblInd w:type="dxa" w:w="120"/>
      </w:tblPr>
      <w:tblGrid>
        <w:gridCol w:w="4300"/>
        <w:gridCol w:w="5060"/>
      </w:tblGrid>
      <w:tr>
        <w:trPr>
          <w:tblHeader w:val="true"/>
        </w:trP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Generated output</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Count</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Clean sales rows used</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20,961</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Monthly overall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55</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Monthly territory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250</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Monthly product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11,656</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Dense product-territory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3,049</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Product priority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3,335</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Forecast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12</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Model evaluation rows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w:t>
            </w:r>
          </w:p>
        </w:tc>
      </w:tr>
      <w:tr>
        <w:tc>
          <w:tcPr>
            <w:tcW w:type="dxa" w:w="4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Blocked or downgraded items</w:t>
            </w:r>
          </w:p>
        </w:tc>
        <w:tc>
          <w:tcPr>
            <w:tcW w:type="dxa" w:w="5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4</w:t>
            </w:r>
          </w:p>
        </w:tc>
      </w:tr>
    </w:tbl>
    <w:p/>
    <w:tbl>
      <w:tblPr>
        <w:tblW w:type="dxa" w:w="9360"/>
        <w:tblLayout w:type="fixed"/>
        <w:tblLook w:firstColumn="1" w:firstRow="1" w:lastColumn="0" w:lastRow="0" w:noHBand="0" w:noVBand="1" w:val="04A0"/>
        <w:jc w:val="left"/>
        <w:tblInd w:type="dxa" w:w="120"/>
      </w:tblPr>
      <w:tblGrid>
        <w:gridCol w:w="700"/>
        <w:gridCol w:w="5200"/>
        <w:gridCol w:w="2400"/>
        <w:gridCol w:w="1060"/>
      </w:tblGrid>
      <w:tr>
        <w:trPr>
          <w:tblHeader w:val="true"/>
        </w:trP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Rank</w:t>
            </w:r>
          </w:p>
        </w:tc>
        <w:tc>
          <w:tcPr>
            <w:tcW w:type="dxa" w:w="5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Product</w:t>
            </w:r>
          </w:p>
        </w:tc>
        <w:tc>
          <w:tcPr>
            <w:tcW w:type="dxa" w:w="2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Revenue</w:t>
            </w:r>
          </w:p>
        </w:tc>
        <w:tc>
          <w:tcPr>
            <w:tcW w:type="dxa" w:w="1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ABC</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1</w:t>
            </w:r>
          </w:p>
        </w:tc>
        <w:tc>
          <w:tcPr>
            <w:tcW w:type="dxa" w:w="5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MONOWEL 1G IV</w:t>
            </w:r>
          </w:p>
        </w:tc>
        <w:tc>
          <w:tcPr>
            <w:tcW w:type="dxa" w:w="2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PHP 5,780,546.00</w:t>
            </w:r>
          </w:p>
        </w:tc>
        <w:tc>
          <w:tcPr>
            <w:tcW w:type="dxa" w:w="1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A</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w:t>
            </w:r>
          </w:p>
        </w:tc>
        <w:tc>
          <w:tcPr>
            <w:tcW w:type="dxa" w:w="5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EVAPROST 250MCG/ML</w:t>
            </w:r>
          </w:p>
        </w:tc>
        <w:tc>
          <w:tcPr>
            <w:tcW w:type="dxa" w:w="2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PHP 4,587,511.68</w:t>
            </w:r>
          </w:p>
        </w:tc>
        <w:tc>
          <w:tcPr>
            <w:tcW w:type="dxa" w:w="1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A</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w:t>
            </w:r>
          </w:p>
        </w:tc>
        <w:tc>
          <w:tcPr>
            <w:tcW w:type="dxa" w:w="5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CORRECTION TAPE JOY</w:t>
            </w:r>
          </w:p>
        </w:tc>
        <w:tc>
          <w:tcPr>
            <w:tcW w:type="dxa" w:w="2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PHP 3,842,121.29</w:t>
            </w:r>
          </w:p>
        </w:tc>
        <w:tc>
          <w:tcPr>
            <w:tcW w:type="dxa" w:w="1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A</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4</w:t>
            </w:r>
          </w:p>
        </w:tc>
        <w:tc>
          <w:tcPr>
            <w:tcW w:type="dxa" w:w="5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T SHIRT WITH PRINT</w:t>
            </w:r>
          </w:p>
        </w:tc>
        <w:tc>
          <w:tcPr>
            <w:tcW w:type="dxa" w:w="2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PHP 3,751,363.54</w:t>
            </w:r>
          </w:p>
        </w:tc>
        <w:tc>
          <w:tcPr>
            <w:tcW w:type="dxa" w:w="1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A</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5</w:t>
            </w:r>
          </w:p>
        </w:tc>
        <w:tc>
          <w:tcPr>
            <w:tcW w:type="dxa" w:w="5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SORBIFER 310MG</w:t>
            </w:r>
          </w:p>
        </w:tc>
        <w:tc>
          <w:tcPr>
            <w:tcW w:type="dxa" w:w="2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PHP 3,200,473.28</w:t>
            </w:r>
          </w:p>
        </w:tc>
        <w:tc>
          <w:tcPr>
            <w:tcW w:type="dxa" w:w="1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A</w:t>
            </w:r>
          </w:p>
        </w:tc>
      </w:tr>
    </w:tbl>
    <w:p/>
    <w:tbl>
      <w:tblPr>
        <w:tblW w:type="dxa" w:w="9360"/>
        <w:tblLayout w:type="fixed"/>
        <w:tblLook w:firstColumn="1" w:firstRow="1" w:lastColumn="0" w:lastRow="0" w:noHBand="0" w:noVBand="1" w:val="04A0"/>
        <w:jc w:val="left"/>
        <w:tblInd w:type="dxa" w:w="120"/>
      </w:tblPr>
      <w:tblGrid>
        <w:gridCol w:w="700"/>
        <w:gridCol w:w="3400"/>
        <w:gridCol w:w="2600"/>
        <w:gridCol w:w="2660"/>
      </w:tblGrid>
      <w:tr>
        <w:trPr>
          <w:tblHeader w:val="true"/>
        </w:trP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Rank</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Territory</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Revenue share</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ABC</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Quezon</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35.51%</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Batangas</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23.95%</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Marinduque</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21.71%</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4</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Camarines Norte</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7.53%</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5</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Laguna</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4.88%</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6</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Cavite</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3.78%</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w:t>
            </w:r>
          </w:p>
        </w:tc>
      </w:tr>
      <w:tr>
        <w:tc>
          <w:tcPr>
            <w:tcW w:type="dxa" w:w="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7</w:t>
            </w:r>
          </w:p>
        </w:tc>
        <w:tc>
          <w:tcPr>
            <w:tcW w:type="dxa" w:w="34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Camarines Sur</w:t>
            </w:r>
          </w:p>
        </w:tc>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2.64%</w:t>
            </w:r>
          </w:p>
        </w:tc>
        <w:tc>
          <w:tcPr>
            <w:tcW w:type="dxa" w:w="2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C</w:t>
            </w:r>
          </w:p>
        </w:tc>
      </w:tr>
    </w:tbl>
    <w:p/>
    <w:p>
      <w:pPr>
        <w:pStyle w:val="Heading2"/>
      </w:pPr>
      <w:r>
        <w:t>4.9 Baseline Forecast Evaluation</w:t>
      </w:r>
    </w:p>
    <w:p>
      <w:pPr>
        <w:jc w:val="both"/>
      </w:pPr>
      <w:r>
        <w:t>The first predictive output is a sales-only baseline rather than an external-regressor model. This follows the requirement that simple or baseline models be evaluated before more complex disease- or weather-adjusted models are introduced.</w:t>
      </w:r>
    </w:p>
    <w:tbl>
      <w:tblPr>
        <w:tblW w:type="dxa" w:w="9360"/>
        <w:tblLayout w:type="fixed"/>
        <w:tblLook w:firstColumn="1" w:firstRow="1" w:lastColumn="0" w:lastRow="0" w:noHBand="0" w:noVBand="1" w:val="04A0"/>
        <w:jc w:val="left"/>
        <w:tblInd w:type="dxa" w:w="120"/>
      </w:tblPr>
      <w:tblGrid>
        <w:gridCol w:w="2200"/>
        <w:gridCol w:w="2200"/>
        <w:gridCol w:w="1200"/>
        <w:gridCol w:w="1200"/>
        <w:gridCol w:w="1200"/>
        <w:gridCol w:w="1360"/>
      </w:tblGrid>
      <w:tr>
        <w:trPr>
          <w:tblHeader w:val="true"/>
        </w:trP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Model</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Evaluation period</w:t>
            </w:r>
          </w:p>
        </w:tc>
        <w:tc>
          <w:tcPr>
            <w:tcW w:type="dxa" w:w="1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MAE</w:t>
            </w:r>
          </w:p>
        </w:tc>
        <w:tc>
          <w:tcPr>
            <w:tcW w:type="dxa" w:w="1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RMSE</w:t>
            </w:r>
          </w:p>
        </w:tc>
        <w:tc>
          <w:tcPr>
            <w:tcW w:type="dxa" w:w="1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MAPE</w:t>
            </w:r>
          </w:p>
        </w:tc>
        <w:tc>
          <w:tcPr>
            <w:tcW w:type="dxa" w:w="1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7"/>
              </w:rPr>
              <w:t>Status</w:t>
            </w:r>
          </w:p>
        </w:tc>
      </w:tr>
      <w:tr>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SEASONAL_NAIVE_BASELINE</w:t>
            </w:r>
          </w:p>
        </w:tc>
        <w:tc>
          <w:tcPr>
            <w:tcW w:type="dxa" w:w="2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2023-01 to 2025-12</w:t>
            </w:r>
          </w:p>
        </w:tc>
        <w:tc>
          <w:tcPr>
            <w:tcW w:type="dxa" w:w="1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27,279.03</w:t>
            </w:r>
          </w:p>
        </w:tc>
        <w:tc>
          <w:tcPr>
            <w:tcW w:type="dxa" w:w="1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43,479.42</w:t>
            </w:r>
          </w:p>
        </w:tc>
        <w:tc>
          <w:tcPr>
            <w:tcW w:type="dxa" w:w="12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3.0447</w:t>
            </w:r>
          </w:p>
        </w:tc>
        <w:tc>
          <w:tcPr>
            <w:tcW w:type="dxa" w:w="1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7"/>
              </w:rPr>
              <w:t>validated</w:t>
            </w:r>
          </w:p>
        </w:tc>
      </w:tr>
    </w:tbl>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4F6F9"/>
          </w:tcPr>
          <w:p>
            <w:pPr>
              <w:spacing w:after="60"/>
            </w:pPr>
            <w:r>
              <w:rPr>
                <w:rFonts w:ascii="Calibri" w:hAnsi="Calibri"/>
                <w:b/>
                <w:color w:val="1F4D78"/>
                <w:sz w:val="21"/>
              </w:rPr>
              <w:t>Interpretation caution</w:t>
            </w:r>
          </w:p>
          <w:p>
            <w:pPr>
              <w:spacing w:after="0"/>
            </w:pPr>
            <w:r>
              <w:rPr>
                <w:rFonts w:ascii="Calibri" w:hAnsi="Calibri"/>
                <w:color w:val="000000"/>
                <w:sz w:val="20"/>
              </w:rPr>
              <w:t>The model evaluation record notes that 2025 remains partial. Therefore, 2025 months should not be treated as complete zero-demand periods and final holdout claims should wait for completeness approval.</w:t>
            </w:r>
          </w:p>
        </w:tc>
      </w:tr>
    </w:tbl>
    <w:p/>
    <w:p>
      <w:pPr>
        <w:pStyle w:val="Heading2"/>
      </w:pPr>
      <w:r>
        <w:t>4.10 Dashboard Implementation</w:t>
      </w:r>
    </w:p>
    <w:p>
      <w:pPr>
        <w:jc w:val="both"/>
      </w:pPr>
      <w:r>
        <w:t>The dashboard was simplified to prioritize charts, model status, and decision tables. Visible labels distinguish actual sales, estimated allocation rows, draft forecasts, provider weather proxies, official data when uploaded, scenario outputs, and blocked outputs. Workbook net_income is labeled as gross profit or gross margin/profit rather than company net income.</w:t>
      </w:r>
    </w:p>
    <w:tbl>
      <w:tblPr>
        <w:tblW w:type="dxa" w:w="9360"/>
        <w:tblLayout w:type="fixed"/>
        <w:tblLook w:firstColumn="1" w:firstRow="1" w:lastColumn="0" w:lastRow="0" w:noHBand="0" w:noVBand="1" w:val="04A0"/>
        <w:jc w:val="left"/>
        <w:tblInd w:type="dxa" w:w="120"/>
      </w:tblPr>
      <w:tblGrid>
        <w:gridCol w:w="2300"/>
        <w:gridCol w:w="7060"/>
      </w:tblGrid>
      <w:tr>
        <w:trPr>
          <w:tblHeader w:val="true"/>
        </w:trPr>
        <w:tc>
          <w:tcPr>
            <w:tcW w:type="dxa" w:w="2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Dashboard view</w:t>
            </w:r>
          </w:p>
        </w:tc>
        <w:tc>
          <w:tcPr>
            <w:tcW w:type="dxa" w:w="7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Implemented purpose</w:t>
            </w:r>
          </w:p>
        </w:tc>
      </w:tr>
      <w:tr>
        <w:tc>
          <w:tcPr>
            <w:tcW w:type="dxa" w:w="2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Overview</w:t>
            </w:r>
          </w:p>
        </w:tc>
        <w:tc>
          <w:tcPr>
            <w:tcW w:type="dxa" w:w="7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Shows demand, gross profit, and forecast direction with compact model publication status.</w:t>
            </w:r>
          </w:p>
        </w:tc>
      </w:tr>
      <w:tr>
        <w:tc>
          <w:tcPr>
            <w:tcW w:type="dxa" w:w="2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View Sales Data</w:t>
            </w:r>
          </w:p>
        </w:tc>
        <w:tc>
          <w:tcPr>
            <w:tcW w:type="dxa" w:w="7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Displays accepted transactions, quality status, lineage-related columns, and filtered computations.</w:t>
            </w:r>
          </w:p>
        </w:tc>
      </w:tr>
      <w:tr>
        <w:tc>
          <w:tcPr>
            <w:tcW w:type="dxa" w:w="2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Weather API Validation</w:t>
            </w:r>
          </w:p>
        </w:tc>
        <w:tc>
          <w:tcPr>
            <w:tcW w:type="dxa" w:w="7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Shows provider weather proxy validation and avoids official PAGASA claims.</w:t>
            </w:r>
          </w:p>
        </w:tc>
      </w:tr>
      <w:tr>
        <w:tc>
          <w:tcPr>
            <w:tcW w:type="dxa" w:w="2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Data Upload</w:t>
            </w:r>
          </w:p>
        </w:tc>
        <w:tc>
          <w:tcPr>
            <w:tcW w:type="dxa" w:w="7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Accepts MedShield XLSX/CSV files and runs cleaning before publication.</w:t>
            </w:r>
          </w:p>
        </w:tc>
      </w:tr>
      <w:tr>
        <w:tc>
          <w:tcPr>
            <w:tcW w:type="dxa" w:w="2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Forecast and planning</w:t>
            </w:r>
          </w:p>
        </w:tc>
        <w:tc>
          <w:tcPr>
            <w:tcW w:type="dxa" w:w="7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Shows draft outputs and scenario states rather than automatic procurement decisions.</w:t>
            </w:r>
          </w:p>
        </w:tc>
      </w:tr>
    </w:tbl>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4F6F9"/>
          </w:tcPr>
          <w:p>
            <w:pPr>
              <w:spacing w:after="60"/>
            </w:pPr>
            <w:r>
              <w:rPr>
                <w:rFonts w:ascii="Calibri" w:hAnsi="Calibri"/>
                <w:b/>
                <w:color w:val="1F4D78"/>
                <w:sz w:val="21"/>
              </w:rPr>
              <w:t>Pending insertion before final submission</w:t>
            </w:r>
          </w:p>
          <w:p>
            <w:pPr>
              <w:spacing w:after="0"/>
            </w:pPr>
            <w:r>
              <w:rPr>
                <w:rFonts w:ascii="Calibri" w:hAnsi="Calibri"/>
                <w:color w:val="000000"/>
                <w:sz w:val="20"/>
              </w:rPr>
              <w:t>Insert final screenshots after the latest frontend is opened: login page, dashboard overview, View Sales Data table, Data Upload status, Weather API Validation page, and model/evaluation output view if available.</w:t>
            </w:r>
          </w:p>
        </w:tc>
      </w:tr>
    </w:tbl>
    <w:p/>
    <w:p>
      <w:pPr>
        <w:pStyle w:val="Heading2"/>
      </w:pPr>
      <w:r>
        <w:t>4.11 Validation and Testing</w:t>
      </w:r>
    </w:p>
    <w:p>
      <w:pPr>
        <w:jc w:val="both"/>
      </w:pPr>
      <w:r>
        <w:t>Validation covered data quality checks, reproducible model output generation, backend compilation, frontend production build, and Python service unit tests. These checks support the claim that the current implementation is runnable and testable, while final model publication still requires data and business approval.</w:t>
      </w:r>
    </w:p>
    <w:tbl>
      <w:tblPr>
        <w:tblW w:type="dxa" w:w="9360"/>
        <w:tblLayout w:type="fixed"/>
        <w:tblLook w:firstColumn="1" w:firstRow="1" w:lastColumn="0" w:lastRow="0" w:noHBand="0" w:noVBand="1" w:val="04A0"/>
        <w:jc w:val="left"/>
        <w:tblInd w:type="dxa" w:w="120"/>
      </w:tblPr>
      <w:tblGrid>
        <w:gridCol w:w="2600"/>
        <w:gridCol w:w="6760"/>
      </w:tblGrid>
      <w:tr>
        <w:trPr>
          <w:tblHeader w:val="true"/>
        </w:trP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Validation item</w:t>
            </w:r>
          </w:p>
        </w:tc>
        <w:tc>
          <w:tcPr>
            <w:tcW w:type="dxa" w:w="6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Result</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Python unit tests</w:t>
            </w:r>
          </w:p>
        </w:tc>
        <w:tc>
          <w:tcPr>
            <w:tcW w:type="dxa" w:w="6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11 tests passed using python -m unittest discover -s services\tests -p test_*.py -v.</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Backend build</w:t>
            </w:r>
          </w:p>
        </w:tc>
        <w:tc>
          <w:tcPr>
            <w:tcW w:type="dxa" w:w="6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TypeScript backend build passed using npm run build.</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Frontend build</w:t>
            </w:r>
          </w:p>
        </w:tc>
        <w:tc>
          <w:tcPr>
            <w:tcW w:type="dxa" w:w="6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Next.js production build passed using npm run build.</w:t>
            </w:r>
          </w:p>
        </w:tc>
      </w:tr>
      <w:tr>
        <w:tc>
          <w:tcPr>
            <w:tcW w:type="dxa" w:w="2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Model computation job</w:t>
            </w:r>
          </w:p>
        </w:tc>
        <w:tc>
          <w:tcPr>
            <w:tcW w:type="dxa" w:w="67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Generated draft sales-only outputs and blocked missing-data models explicitly.</w:t>
            </w:r>
          </w:p>
        </w:tc>
      </w:tr>
    </w:tbl>
    <w:p/>
    <w:p>
      <w:pPr>
        <w:pStyle w:val="Heading2"/>
      </w:pPr>
      <w:r>
        <w:t>4.12 Chapter 4 Summary</w:t>
      </w:r>
    </w:p>
    <w:p>
      <w:pPr>
        <w:jc w:val="both"/>
      </w:pPr>
      <w:r>
        <w:t>The implemented system demonstrates the core historical decision-support workflow: sales data cleaning, contract-name allocation, descriptive analytics, baseline forecasting, product and territory prioritization, dashboard publication labels, and validation checks. The main implementation gaps are external dataset ingestion, final model publication through DSS tables, and final screenshot/API evidence for the paper.</w:t>
      </w:r>
    </w:p>
    <w:p>
      <w:r>
        <w:br w:type="page"/>
      </w:r>
    </w:p>
    <w:p>
      <w:pPr>
        <w:pStyle w:val="Heading1"/>
      </w:pPr>
      <w:r>
        <w:t>Chapter 5. Summary of Findings, Conclusions, and Recommendations</w:t>
      </w:r>
    </w:p>
    <w:p>
      <w:pPr>
        <w:jc w:val="both"/>
      </w:pPr>
      <w:r>
        <w:t>This chapter discusses the findings from the current implementation, explains what the outputs mean for the capstone objectives, identifies the limitations of the current evidence, and recommends the remaining work required before final defense.</w:t>
      </w:r>
    </w:p>
    <w:p>
      <w:pPr>
        <w:pStyle w:val="Heading2"/>
      </w:pPr>
      <w:r>
        <w:t>5.1 Summary of Findings</w:t>
      </w:r>
    </w:p>
    <w:p>
      <w:pPr>
        <w:jc w:val="both"/>
      </w:pPr>
      <w:r>
        <w:t>The system successfully established a reproducible sales analytics foundation. The cleaned analytical layer contains 20,961 accepted rows across 2021 to 2025 and removes rows that lack the minimum fields required for sales analysis. Contract-name rows marked with controlled hash labels were transformed into estimated product-level rows without changing additive totals. This allows product-level analysis to proceed without treating contract names as SKUs.</w:t>
      </w:r>
    </w:p>
    <w:p>
      <w:pPr>
        <w:jc w:val="both"/>
      </w:pPr>
      <w:r>
        <w:t>Descriptive outputs produced product and territory ABC/Pareto rankings, seasonality outputs, year-over-year summaries, and monthly demand marts. Predictive work has started with a sales-only seasonal naive baseline forecast and one model evaluation record. However, disease-adjusted, official PAGASA-adjusted, and true inventory optimization models remain blocked by unavailable or unapproved inputs.</w:t>
      </w:r>
    </w:p>
    <w:p>
      <w:pPr>
        <w:pStyle w:val="Heading2"/>
      </w:pPr>
      <w:r>
        <w:t>5.2 Sales and Product Insights</w:t>
      </w:r>
    </w:p>
    <w:p>
      <w:pPr>
        <w:jc w:val="both"/>
      </w:pPr>
      <w:r>
        <w:t>The cleaned data supports analysis of delivered demand, revenue, and workbook gross margin/profit. The product ranking output identifies a small set of products contributing a measurable share of revenue, which supports ABC classification and prioritization for management review. Because product master and SKU alias approval is still pending, final SKU-level claims should focus on draft prioritization rather than final medicine classification.</w:t>
      </w:r>
    </w:p>
    <w:p>
      <w:pPr>
        <w:jc w:val="both"/>
      </w:pPr>
      <w:r>
        <w:t>The top product rows include both medical and non-medical-sounding entries, which reinforces the need for the product master review. The dashboard and paper should avoid saying that every product row is a medicine until the product scope and forecast eligibility fields are approved.</w:t>
      </w:r>
    </w:p>
    <w:p>
      <w:pPr>
        <w:pStyle w:val="Heading2"/>
      </w:pPr>
      <w:r>
        <w:t>5.3 Territory Findings</w:t>
      </w:r>
    </w:p>
    <w:p>
      <w:pPr>
        <w:jc w:val="both"/>
      </w:pPr>
      <w:r>
        <w:t>The territory summary shows Quezon, Batangas, and Marinduque as the strongest current geographic contributors by revenue share in the draft output. This supports a management workflow where high-contribution territories receive priority review for stock planning, demand monitoring, and external-signal matching. However, external weather and disease joins should be limited to approved geographic territory values and should exclude customer-type or business-line labels.</w:t>
      </w:r>
    </w:p>
    <w:p>
      <w:pPr>
        <w:pStyle w:val="Heading2"/>
      </w:pPr>
      <w:r>
        <w:t>5.4 Forecasting and Model Evaluation</w:t>
      </w:r>
    </w:p>
    <w:p>
      <w:pPr>
        <w:jc w:val="both"/>
      </w:pPr>
      <w:r>
        <w:t>The current forecast evidence is a baseline rather than a final champion model. This is appropriate because the methodology requires a sales-only benchmark before adding disease or weather regressors. The baseline evaluation record reports MAE, RMSE, and MAPE for a rolling or partial evaluation context. The result is useful as a starting benchmark, but not sufficient for final claims that external features improve forecasting.</w:t>
      </w:r>
    </w:p>
    <w:p>
      <w:pPr>
        <w:jc w:val="both"/>
      </w:pPr>
      <w:r>
        <w:t>The 2025 data issue affects evaluation. Earlier processed records identified missing accepted coverage in several 2025 months, and the final holdout policy should not treat missing months as zero demand. Until the group approves the 2025 completeness decision, 2025 should be described as partial secondary validation rather than a complete holdout year.</w:t>
      </w:r>
    </w:p>
    <w:p>
      <w:pPr>
        <w:pStyle w:val="Heading2"/>
      </w:pPr>
      <w:r>
        <w:t>5.5 Weather and Disease Signal Usefulness</w:t>
      </w:r>
    </w:p>
    <w:p>
      <w:pPr>
        <w:jc w:val="both"/>
      </w:pPr>
      <w:r>
        <w:t>Weather and disease signals are not yet ready for final model conclusions. Weather API validation exists as a provider-derived proxy workflow, but the current checked-in weather API coverage is partial. PAGASA historical files have not yet been uploaded to provide the official 2021 to 2024 reference. DOH historical files have also not yet been uploaded for disease intensity computation.</w:t>
      </w:r>
    </w:p>
    <w:p>
      <w:pPr>
        <w:jc w:val="both"/>
      </w:pPr>
      <w:r>
        <w:t>For now, the correct conclusion is that the system is prepared to ingest and label external signals, but final disease-adjusted and official PAGASA-adjusted model comparisons remain pending. The dashboard should continue to label weather API records as proxy data and should not present disease or weather outputs as live official alerts.</w:t>
      </w:r>
    </w:p>
    <w:tbl>
      <w:tblPr>
        <w:tblW w:type="dxa" w:w="9360"/>
        <w:tblLayout w:type="fixed"/>
        <w:tblLook w:firstColumn="1" w:firstRow="1" w:lastColumn="0" w:lastRow="0" w:noHBand="0" w:noVBand="1" w:val="04A0"/>
        <w:jc w:val="left"/>
        <w:tblInd w:type="dxa" w:w="120"/>
      </w:tblPr>
      <w:tblGrid>
        <w:gridCol w:w="3300"/>
        <w:gridCol w:w="6060"/>
      </w:tblGrid>
      <w:tr>
        <w:trPr>
          <w:tblHeader w:val="true"/>
        </w:trP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Blocked or downgraded item</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Reason</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Load or prepare DOH historical disease data</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No DOH historical dataset is present in the workspace.</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Load historical PAGASA reference data</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No PAGASA historical dataset is present in the workspace.</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Weather-adjusted model comparison</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Only partial weather API data is checked in; current file covers one area/year.</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XGBoost urgency model</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Urgency target and product master classification are not approved.</w:t>
            </w:r>
          </w:p>
        </w:tc>
      </w:tr>
    </w:tbl>
    <w:p/>
    <w:p>
      <w:pPr>
        <w:pStyle w:val="Heading2"/>
      </w:pPr>
      <w:r>
        <w:t>5.6 Decision-Support Value</w:t>
      </w:r>
    </w:p>
    <w:p>
      <w:pPr>
        <w:jc w:val="both"/>
      </w:pPr>
      <w:r>
        <w:t>The current system supports management review by turning messy historical workbook data into cleaned sales records, product rankings, territory summaries, baseline forecast evidence, and clearly labeled dashboard outputs. The greatest value is not automatic decision execution but traceable decision support: the user can see which data was accepted, which rows were estimated, which outputs are draft, and which models are blocked by missing data.</w:t>
      </w:r>
    </w:p>
    <w:p>
      <w:pPr>
        <w:jc w:val="both"/>
      </w:pPr>
      <w:r>
        <w:t>The updated dashboard design improves professional use by reducing long explanatory text and excessive card density. It emphasizes charts, status labels, and decision tables, allowing Power BI-style visuals to be distinguished from supporting notes.</w:t>
      </w:r>
    </w:p>
    <w:p>
      <w:pPr>
        <w:pStyle w:val="Heading2"/>
      </w:pPr>
      <w:r>
        <w:t>5.7 Limitations</w:t>
      </w:r>
    </w:p>
    <w:p>
      <w:pPr>
        <w:jc w:val="both"/>
      </w:pPr>
      <w:r>
        <w:t>The study is limited by the availability and completeness of historical datasets. PAGASA data covers 2021 to 2024 only, DOH data covers 2021 to 2025, and weather API observations are provider-derived proxy data by coordinates. The system does not provide live official alerts or automatic procurement execution. Because inventory, supplier lead time, ordering cost, holding cost, and operating expense data are not yet available, inventory recommendations are treated as scenario-based decision-support outputs.</w:t>
      </w:r>
    </w:p>
    <w:tbl>
      <w:tblPr>
        <w:tblW w:type="dxa" w:w="9360"/>
        <w:tblLayout w:type="fixed"/>
        <w:tblLook w:firstColumn="1" w:firstRow="1" w:lastColumn="0" w:lastRow="0" w:noHBand="0" w:noVBand="1" w:val="04A0"/>
        <w:jc w:val="left"/>
        <w:tblInd w:type="dxa" w:w="120"/>
      </w:tblPr>
      <w:tblGrid>
        <w:gridCol w:w="3300"/>
        <w:gridCol w:w="6060"/>
      </w:tblGrid>
      <w:tr>
        <w:trPr>
          <w:tblHeader w:val="true"/>
        </w:trP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Limitation</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9"/>
              </w:rPr>
              <w:t>Effect on final claims</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Business rule approvals are still pending.</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Final paper wording should wait for group approval of demand, revenue, gross profit, SKU, and 2025 policies.</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Product master and SKU alias mapping are not fully approved.</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Product-level ML and medicine-only claims must remain draft.</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DOH files are not loaded.</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Disease intensity features and disease-adjusted model comparison cannot be finalized.</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PAGASA files are not loaded.</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Official historical weather validation and official PAGASA-adjusted comparisons cannot be finalized.</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Weather API coverage is partial.</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Weather effects remain contextual and should not be presented as causal or official.</w:t>
            </w:r>
          </w:p>
        </w:tc>
      </w:tr>
      <w:tr>
        <w:tc>
          <w:tcPr>
            <w:tcW w:type="dxa" w:w="33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Inventory and cost-policy data are unavailable.</w:t>
            </w:r>
          </w:p>
        </w:tc>
        <w:tc>
          <w:tcPr>
            <w:tcW w:type="dxa" w:w="60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9"/>
              </w:rPr>
              <w:t>EOQ, ROP, safety stock, allocation, and dead-stock outputs remain scenario-only.</w:t>
            </w:r>
          </w:p>
        </w:tc>
      </w:tr>
    </w:tbl>
    <w:p/>
    <w:p>
      <w:pPr>
        <w:pStyle w:val="Heading2"/>
      </w:pPr>
      <w:r>
        <w:t>5.8 Conclusions</w:t>
      </w:r>
    </w:p>
    <w:p>
      <w:pPr>
        <w:jc w:val="both"/>
      </w:pPr>
      <w:r>
        <w:t>The MedShield capstone currently demonstrates a functional historical analytics-driven decision-support system. It implements the core data pipeline, separates raw, semi-raw, and cleaned sales layers, prevents contract-name rows from being treated as products, produces descriptive sales analytics, generates a baseline forecast, and presents outputs through a more professional dashboard.</w:t>
      </w:r>
    </w:p>
    <w:p>
      <w:pPr>
        <w:jc w:val="both"/>
      </w:pPr>
      <w:r>
        <w:t>The implementation is feasible and aligned with the revised historical-only capstone scope. The system should be presented as a decision-support platform that helps review demand, product contribution, territory performance, and scenario planning. It should not be presented as a live disease surveillance tool, official PAGASA alerting tool, or automatic procurement system.</w:t>
      </w:r>
    </w:p>
    <w:p>
      <w:pPr>
        <w:pStyle w:val="Heading2"/>
      </w:pPr>
      <w:r>
        <w:t>5.9 Recommendations</w:t>
      </w:r>
    </w:p>
    <w:tbl>
      <w:tblPr>
        <w:tblW w:type="dxa" w:w="9360"/>
        <w:tblLayout w:type="fixed"/>
        <w:tblLook w:firstColumn="1" w:firstRow="1" w:lastColumn="0" w:lastRow="0" w:noHBand="0" w:noVBand="1" w:val="04A0"/>
        <w:jc w:val="left"/>
        <w:tblInd w:type="dxa" w:w="120"/>
      </w:tblPr>
      <w:tblGrid>
        <w:gridCol w:w="900"/>
        <w:gridCol w:w="3600"/>
        <w:gridCol w:w="4860"/>
      </w:tblGrid>
      <w:tr>
        <w:trPr>
          <w:tblHeader w:val="true"/>
        </w:trP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8"/>
              </w:rPr>
              <w:t>Priority</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8"/>
              </w:rPr>
              <w:t>Recommendation</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8"/>
              </w:rPr>
              <w:t>Reason</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1</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Approve business rules and product/area mappings.</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Final model claims need shared definitions for demand, revenue, gross profit, SKU, territory, and 2025 completeness.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2</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Upload and clean DOH and PAGASA datasets.</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Disease and official weather features are required before external-regressor models can be evaluated.</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3</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Complete model publication workflow.</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Draft outputs should move through validation, human review, and publication before dashboard use.</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4</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Capture Chapter 4 screenshots and API evidence.</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The paper needs visual and API evidence from the running system, not only source-code descriptions.</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5</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Keep inventory outputs scenario-only unless operational data is provided.</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Real EOQ/ROP/allocation requires current stock, lead time, cost policy, budget, and capacity.</w:t>
            </w:r>
          </w:p>
        </w:tc>
      </w:tr>
      <w:tr>
        <w:tc>
          <w:tcPr>
            <w:tcW w:type="dxa" w:w="9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6</w:t>
            </w:r>
          </w:p>
        </w:tc>
        <w:tc>
          <w:tcPr>
            <w:tcW w:type="dxa" w:w="36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Revise Chapters 1 to 3 to match this implementation.</w:t>
            </w:r>
          </w:p>
        </w:tc>
        <w:tc>
          <w:tcPr>
            <w:tcW w:type="dxa" w:w="48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The methodology and scope must clearly describe historical decision support and external-data limitations.</w:t>
            </w:r>
          </w:p>
        </w:tc>
      </w:tr>
    </w:tbl>
    <w:p/>
    <w:p>
      <w:pPr>
        <w:pStyle w:val="Heading2"/>
      </w:pPr>
      <w:r>
        <w:t>5.10 Final Chapter 5 Summary</w:t>
      </w:r>
    </w:p>
    <w:p>
      <w:pPr>
        <w:jc w:val="both"/>
      </w:pPr>
      <w:r>
        <w:t>The current implementation is strong enough to support a Chapter 4 draft and a Chapter 5 discussion of findings, limitations, and future work. The final capstone will be stronger after the group approves the pending business rules, uploads DOH and PAGASA historical files, captures dashboard screenshots, and publishes validated model outputs through the DSS workflow.</w:t>
      </w:r>
    </w:p>
    <w:p>
      <w:r>
        <w:br w:type="page"/>
      </w:r>
    </w:p>
    <w:p>
      <w:pPr>
        <w:pStyle w:val="Heading1"/>
      </w:pPr>
      <w:r>
        <w:t>Appendix A. Evidence Files Used for This Draft</w:t>
      </w:r>
    </w:p>
    <w:tbl>
      <w:tblPr>
        <w:tblW w:type="dxa" w:w="9360"/>
        <w:tblLayout w:type="fixed"/>
        <w:tblLook w:firstColumn="1" w:firstRow="1" w:lastColumn="0" w:lastRow="0" w:noHBand="0" w:noVBand="1" w:val="04A0"/>
        <w:jc w:val="left"/>
        <w:tblInd w:type="dxa" w:w="120"/>
      </w:tblPr>
      <w:tblGrid>
        <w:gridCol w:w="3700"/>
        <w:gridCol w:w="5660"/>
      </w:tblGrid>
      <w:tr>
        <w:trPr>
          <w:tblHeader w:val="true"/>
        </w:trP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8"/>
              </w:rPr>
              <w:t>Evidence file</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shd w:fill="F2F4F7"/>
          </w:tcPr>
          <w:p>
            <w:pPr>
              <w:spacing w:after="0"/>
            </w:pPr>
            <w:r>
              <w:rPr>
                <w:rFonts w:ascii="Calibri" w:hAnsi="Calibri"/>
                <w:b/>
                <w:color w:val="000000"/>
                <w:sz w:val="18"/>
              </w:rPr>
              <w:t>Use in draft</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docs/REQUIREMENTS.md</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Scope, functional requirements, non-functional requirements, Chapter 4/5 expectations.</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docs/ARCHITECTURE.md</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System layers and runtime flow.</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docs/DATABASE.md</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Warehouse layers, tables, views, and model-output tables.</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docs/SALES_DATA_LAYER_FLOW.md</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Raw, semi-raw, and cleaned sales layer definitions.</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docs/AREA_SUMMARY_BACKWARD_ALLOCATION.md</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Contract-name allocation method and reconciliation.</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outputs/sales_data_qa_20260623/</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Clean-sales QA row counts and exclusions.</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outputs/model_computation_start_20260623/</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Model output counts, evaluation metrics, and blocked item report.</w:t>
            </w:r>
          </w:p>
        </w:tc>
      </w:tr>
      <w:tr>
        <w:tc>
          <w:tcPr>
            <w:tcW w:type="dxa" w:w="370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docs/DASHBOARD_MODEL_PUBLICATION_GUIDE.md</w:t>
            </w:r>
          </w:p>
        </w:tc>
        <w:tc>
          <w:tcPr>
            <w:tcW w:type="dxa" w:w="5660"/>
            <w:vAlign w:val="center"/>
            <w:tcMar>
              <w:top w:w="80" w:type="dxa"/>
              <w:start w:w="120" w:type="dxa"/>
              <w:bottom w:w="80" w:type="dxa"/>
              <w:end w:w="120" w:type="dxa"/>
            </w:tcMar>
            <w:tcBorders>
              <w:top w:val="single" w:sz="4" w:space="0" w:color="B8C2CC"/>
              <w:left w:val="single" w:sz="4" w:space="0" w:color="B8C2CC"/>
              <w:bottom w:val="single" w:sz="4" w:space="0" w:color="B8C2CC"/>
              <w:right w:val="single" w:sz="4" w:space="0" w:color="B8C2CC"/>
            </w:tcBorders>
          </w:tcPr>
          <w:p>
            <w:pPr>
              <w:spacing w:after="0"/>
            </w:pPr>
            <w:r>
              <w:rPr>
                <w:rFonts w:ascii="Calibri" w:hAnsi="Calibri"/>
                <w:color w:val="000000"/>
                <w:sz w:val="18"/>
              </w:rPr>
              <w:t>Dashboard output labels and publication status definitions.</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Chapter 4 and 5 Draft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95959"/>
        <w:sz w:val="18"/>
      </w:rPr>
      <w:t>MedShield Business Analytics 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