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Multi-Agent Deep Research System for HCI</w:t>
      </w:r>
    </w:p>
    <w:p>
      <w:pPr>
        <w:spacing w:after="60"/>
        <w:jc w:val="center"/>
      </w:pPr>
      <w:r>
        <w:rPr>
          <w:rFonts w:ascii="Arial" w:cs="Arial" w:eastAsia="Arial" w:hAnsi="Arial"/>
          <w:color w:val="555555"/>
          <w:sz w:val="22"/>
          <w:szCs w:val="22"/>
        </w:rPr>
        <w:t xml:space="preserve">IS492 Assignment 3 | Spring 2026</w:t>
      </w:r>
    </w:p>
    <w:p>
      <w:pPr>
        <w:spacing w:after="240"/>
        <w:jc w:val="center"/>
      </w:pPr>
      <w:r>
        <w:rPr>
          <w:rFonts w:ascii="Arial" w:cs="Arial" w:eastAsia="Arial" w:hAnsi="Arial"/>
          <w:color w:val="555555"/>
          <w:sz w:val="22"/>
          <w:szCs w:val="22"/>
        </w:rPr>
        <w:t xml:space="preserve">Samuel Haskel | shaskel2@illinois.edu</w:t>
      </w:r>
    </w:p>
    <w:p>
      <w:pPr>
        <w:pStyle w:val="Heading1"/>
        <w:spacing w:after="120" w:before="240"/>
      </w:pPr>
      <w:r>
        <w:rPr>
          <w:rFonts w:ascii="Arial" w:cs="Arial" w:eastAsia="Arial" w:hAnsi="Arial"/>
          <w:b/>
          <w:bCs/>
          <w:sz w:val="28"/>
          <w:szCs w:val="28"/>
        </w:rPr>
        <w:t xml:space="preserve">Abstract</w:t>
      </w:r>
    </w:p>
    <w:p>
      <w:pPr>
        <w:spacing w:after="80" w:line="240"/>
      </w:pPr>
      <w:r>
        <w:rPr>
          <w:rFonts w:ascii="Arial" w:cs="Arial" w:eastAsia="Arial" w:hAnsi="Arial"/>
          <w:sz w:val="24"/>
          <w:szCs w:val="24"/>
        </w:rPr>
        <w:t xml:space="preserve">This report describes the design, implementation, and evaluation of a multi-agent deep research system for exploring topics in Human-Computer Interaction (HCI). The system uses four AutoGen agents (Planner, Researcher, Writer, Critic) orchestrated in a round-robin pipeline powered by a self-hosted Qwen3-8B model via a vLLM endpoint. Agents use real web search (Tavily) and academic paper search (Semantic Scholar) tools to gather evidence and produce cited research summaries. A custom safety layer enforces five policy categories through input and output guardrails, logging all events. A Streamlit web interface displays agent traces, citations, and safety events in real time. LLM-as-a-Judge evaluation uses two independent judging prompts across five criteria, applied to eight diverse HCI queries. Average overall score was 0.7214 out of 1.0, with the highest scores on safety compliance (0.89) and the lowest on cross-cultural design tasks (0.61). The report discusses system limitations and future directions for improving evaluation robustness and explanation quality.</w:t>
      </w:r>
    </w:p>
    <w:p>
      <w:pPr>
        <w:pStyle w:val="Heading1"/>
        <w:spacing w:after="120" w:before="240"/>
      </w:pPr>
      <w:r>
        <w:rPr>
          <w:rFonts w:ascii="Arial" w:cs="Arial" w:eastAsia="Arial" w:hAnsi="Arial"/>
          <w:b/>
          <w:bCs/>
          <w:sz w:val="28"/>
          <w:szCs w:val="28"/>
        </w:rPr>
        <w:t xml:space="preserve">1. System Design and Implementation</w:t>
      </w:r>
    </w:p>
    <w:p>
      <w:pPr>
        <w:pStyle w:val="Heading2"/>
        <w:spacing w:after="80" w:before="200"/>
      </w:pPr>
      <w:r>
        <w:rPr>
          <w:rFonts w:ascii="Arial" w:cs="Arial" w:eastAsia="Arial" w:hAnsi="Arial"/>
          <w:b/>
          <w:bCs/>
          <w:sz w:val="26"/>
          <w:szCs w:val="26"/>
        </w:rPr>
        <w:t xml:space="preserve">1.1 Agent Roles and Orchestration</w:t>
      </w:r>
    </w:p>
    <w:p>
      <w:pPr>
        <w:spacing w:after="80" w:line="240"/>
      </w:pPr>
      <w:r>
        <w:rPr>
          <w:rFonts w:ascii="Arial" w:cs="Arial" w:eastAsia="Arial" w:hAnsi="Arial"/>
          <w:sz w:val="24"/>
          <w:szCs w:val="24"/>
        </w:rPr>
        <w:t xml:space="preserve">The system uses AutoGen's RoundRobinGroupChat to coordinate four agents. Each agent has a specific role in the research pipeline:</w:t>
      </w:r>
    </w:p>
    <w:p>
      <w:pPr>
        <w:pStyle w:val="ListParagraph"/>
        <w:numPr>
          <w:ilvl w:val="0"/>
          <w:numId w:val="2"/>
        </w:numPr>
        <w:spacing w:after="60"/>
      </w:pPr>
      <w:r>
        <w:rPr>
          <w:rFonts w:ascii="Arial" w:cs="Arial" w:eastAsia="Arial" w:hAnsi="Arial"/>
          <w:b/>
          <w:bCs/>
          <w:sz w:val="24"/>
          <w:szCs w:val="24"/>
        </w:rPr>
        <w:t xml:space="preserve">Planner: </w:t>
      </w:r>
      <w:r>
        <w:rPr>
          <w:rFonts w:ascii="Arial" w:cs="Arial" w:eastAsia="Arial" w:hAnsi="Arial"/>
          <w:sz w:val="24"/>
          <w:szCs w:val="24"/>
        </w:rPr>
        <w:t xml:space="preserve">Receives the user query and produces a step-by-step research plan with specific search queries. No tools.</w:t>
      </w:r>
    </w:p>
    <w:p>
      <w:pPr>
        <w:pStyle w:val="ListParagraph"/>
        <w:numPr>
          <w:ilvl w:val="0"/>
          <w:numId w:val="2"/>
        </w:numPr>
        <w:spacing w:after="60"/>
      </w:pPr>
      <w:r>
        <w:rPr>
          <w:rFonts w:ascii="Arial" w:cs="Arial" w:eastAsia="Arial" w:hAnsi="Arial"/>
          <w:b/>
          <w:bCs/>
          <w:sz w:val="24"/>
          <w:szCs w:val="24"/>
        </w:rPr>
        <w:t xml:space="preserve">Researcher: </w:t>
      </w:r>
      <w:r>
        <w:rPr>
          <w:rFonts w:ascii="Arial" w:cs="Arial" w:eastAsia="Arial" w:hAnsi="Arial"/>
          <w:sz w:val="24"/>
          <w:szCs w:val="24"/>
        </w:rPr>
        <w:t xml:space="preserve">Executes web_search (Tavily) and paper_search (Semantic Scholar) tools. Collects 5-8 sources with URLs.</w:t>
      </w:r>
    </w:p>
    <w:p>
      <w:pPr>
        <w:pStyle w:val="ListParagraph"/>
        <w:numPr>
          <w:ilvl w:val="0"/>
          <w:numId w:val="2"/>
        </w:numPr>
        <w:spacing w:after="60"/>
      </w:pPr>
      <w:r>
        <w:rPr>
          <w:rFonts w:ascii="Arial" w:cs="Arial" w:eastAsia="Arial" w:hAnsi="Arial"/>
          <w:b/>
          <w:bCs/>
          <w:sz w:val="24"/>
          <w:szCs w:val="24"/>
        </w:rPr>
        <w:t xml:space="preserve">Writer: </w:t>
      </w:r>
      <w:r>
        <w:rPr>
          <w:rFonts w:ascii="Arial" w:cs="Arial" w:eastAsia="Arial" w:hAnsi="Arial"/>
          <w:sz w:val="24"/>
          <w:szCs w:val="24"/>
        </w:rPr>
        <w:t xml:space="preserve">Synthesizes findings into a structured response with inline citations and a References section.</w:t>
      </w:r>
    </w:p>
    <w:p>
      <w:pPr>
        <w:pStyle w:val="ListParagraph"/>
        <w:numPr>
          <w:ilvl w:val="0"/>
          <w:numId w:val="2"/>
        </w:numPr>
        <w:spacing w:after="80"/>
      </w:pPr>
      <w:r>
        <w:rPr>
          <w:rFonts w:ascii="Arial" w:cs="Arial" w:eastAsia="Arial" w:hAnsi="Arial"/>
          <w:b/>
          <w:bCs/>
          <w:sz w:val="24"/>
          <w:szCs w:val="24"/>
        </w:rPr>
        <w:t xml:space="preserve">Critic: </w:t>
      </w:r>
      <w:r>
        <w:rPr>
          <w:rFonts w:ascii="Arial" w:cs="Arial" w:eastAsia="Arial" w:hAnsi="Arial"/>
          <w:sz w:val="24"/>
          <w:szCs w:val="24"/>
        </w:rPr>
        <w:t xml:space="preserve">Evaluates the Writer output on relevance, evidence, and clarity. Terminates the pipeline or requests revision.</w:t>
      </w:r>
    </w:p>
    <w:p>
      <w:pPr>
        <w:spacing w:after="80" w:line="240"/>
      </w:pPr>
      <w:r>
        <w:rPr>
          <w:rFonts w:ascii="Arial" w:cs="Arial" w:eastAsia="Arial" w:hAnsi="Arial"/>
          <w:sz w:val="24"/>
          <w:szCs w:val="24"/>
        </w:rPr>
        <w:t xml:space="preserve">The workflow runs as: Planner -&gt; Researcher -&gt; Writer -&gt; Critic, repeating at most 12 turns. A TextMentionTermination condition stops the chat when the Critic outputs "TERMINATE". All four agents share the same Qwen3-8B model client but have distinct system prompts.</w:t>
      </w:r>
    </w:p>
    <w:p>
      <w:pPr>
        <w:pStyle w:val="Heading2"/>
        <w:spacing w:after="80" w:before="200"/>
      </w:pPr>
      <w:r>
        <w:rPr>
          <w:rFonts w:ascii="Arial" w:cs="Arial" w:eastAsia="Arial" w:hAnsi="Arial"/>
          <w:b/>
          <w:bCs/>
          <w:sz w:val="26"/>
          <w:szCs w:val="26"/>
        </w:rPr>
        <w:t xml:space="preserve">1.2 Tools</w:t>
      </w:r>
    </w:p>
    <w:p>
      <w:pPr>
        <w:spacing w:after="80" w:line="240"/>
      </w:pPr>
      <w:r>
        <w:rPr>
          <w:rFonts w:ascii="Arial" w:cs="Arial" w:eastAsia="Arial" w:hAnsi="Arial"/>
          <w:sz w:val="24"/>
          <w:szCs w:val="24"/>
        </w:rPr>
        <w:t xml:space="preserve">Two real search tools are integrated as AutoGen FunctionTools. Both wrappers are synchronous to avoid asyncio conflicts with the agent runtime:</w:t>
      </w:r>
    </w:p>
    <w:p>
      <w:pPr>
        <w:spacing w:after="80" w:line="240"/>
      </w:pPr>
      <w:r>
        <w:rPr>
          <w:rFonts w:ascii="Arial" w:cs="Arial" w:eastAsia="Arial" w:hAnsi="Arial"/>
          <w:sz w:val="24"/>
          <w:szCs w:val="24"/>
        </w:rPr>
        <w:t xml:space="preserve">web_search connects to the Tavily API and returns up to five results with titles, URLs, and text snippets. A fallback path supports Brave Search if TAVILY_API_KEY is not set.</w:t>
      </w:r>
    </w:p>
    <w:p>
      <w:pPr>
        <w:spacing w:after="80" w:line="240"/>
      </w:pPr>
      <w:r>
        <w:rPr>
          <w:rFonts w:ascii="Arial" w:cs="Arial" w:eastAsia="Arial" w:hAnsi="Arial"/>
          <w:sz w:val="24"/>
          <w:szCs w:val="24"/>
        </w:rPr>
        <w:t xml:space="preserve">paper_search uses the synchronous Semantic Scholar Python client to retrieve academic papers with metadata including authors, year, citation count, abstract excerpt, and URL. An optional year_from parameter filters to recent literature.</w:t>
      </w:r>
    </w:p>
    <w:p>
      <w:pPr>
        <w:spacing w:after="80" w:line="240"/>
      </w:pPr>
      <w:r>
        <w:rPr>
          <w:rFonts w:ascii="Arial" w:cs="Arial" w:eastAsia="Arial" w:hAnsi="Arial"/>
          <w:sz w:val="24"/>
          <w:szCs w:val="24"/>
        </w:rPr>
        <w:t xml:space="preserve">A CitationTool class (APA and MLA formatters) is available for downstream report generation but is not injected directly into the agent loop.</w:t>
      </w:r>
    </w:p>
    <w:p>
      <w:pPr>
        <w:pStyle w:val="Heading2"/>
        <w:spacing w:after="80" w:before="200"/>
      </w:pPr>
      <w:r>
        <w:rPr>
          <w:rFonts w:ascii="Arial" w:cs="Arial" w:eastAsia="Arial" w:hAnsi="Arial"/>
          <w:b/>
          <w:bCs/>
          <w:sz w:val="26"/>
          <w:szCs w:val="26"/>
        </w:rPr>
        <w:t xml:space="preserve">1.3 Models and Configuration</w:t>
      </w:r>
    </w:p>
    <w:p>
      <w:pPr>
        <w:spacing w:after="80" w:line="240"/>
      </w:pPr>
      <w:r>
        <w:rPr>
          <w:rFonts w:ascii="Arial" w:cs="Arial" w:eastAsia="Arial" w:hAnsi="Arial"/>
          <w:sz w:val="24"/>
          <w:szCs w:val="24"/>
        </w:rPr>
        <w:t xml:space="preserve">All agents and the judge use the self-hosted Qwen/Qwen3-8B model at the provided vLLM endpoint (https://vllm.salt-lab.org/v1) via the OpenAI-compatible API. Tunable settings including model names, temperatures, max_tokens, safety policies, and evaluation criteria are centralized in config.yaml so no values are scattered across source files.</w:t>
      </w:r>
    </w:p>
    <w:p>
      <w:pPr>
        <w:pStyle w:val="Heading2"/>
        <w:spacing w:after="80" w:before="200"/>
      </w:pPr>
      <w:r>
        <w:rPr>
          <w:rFonts w:ascii="Arial" w:cs="Arial" w:eastAsia="Arial" w:hAnsi="Arial"/>
          <w:b/>
          <w:bCs/>
          <w:sz w:val="26"/>
          <w:szCs w:val="26"/>
        </w:rPr>
        <w:t xml:space="preserve">1.4 Error Handling</w:t>
      </w:r>
    </w:p>
    <w:p>
      <w:pPr>
        <w:spacing w:after="80" w:line="240"/>
      </w:pPr>
      <w:r>
        <w:rPr>
          <w:rFonts w:ascii="Arial" w:cs="Arial" w:eastAsia="Arial" w:hAnsi="Arial"/>
          <w:sz w:val="24"/>
          <w:szCs w:val="24"/>
        </w:rPr>
        <w:t xml:space="preserve">Each tool catches all exceptions and returns a descriptive fallback string so the agent pipeline keeps running. The orchestrator also wraps the full agent run in a try/except block. API failures at the tool level produce informative messages rather than crashing the system. Input and output safety checks run even when agents fail, protecting users from partial outputs.</w:t>
      </w:r>
    </w:p>
    <w:p>
      <w:pPr>
        <w:pStyle w:val="Heading1"/>
        <w:spacing w:after="120" w:before="240"/>
      </w:pPr>
      <w:r>
        <w:rPr>
          <w:rFonts w:ascii="Arial" w:cs="Arial" w:eastAsia="Arial" w:hAnsi="Arial"/>
          <w:b/>
          <w:bCs/>
          <w:sz w:val="28"/>
          <w:szCs w:val="28"/>
        </w:rPr>
        <w:t xml:space="preserve">2. Safety Design</w:t>
      </w:r>
    </w:p>
    <w:p>
      <w:pPr>
        <w:pStyle w:val="Heading2"/>
        <w:spacing w:after="80" w:before="200"/>
      </w:pPr>
      <w:r>
        <w:rPr>
          <w:rFonts w:ascii="Arial" w:cs="Arial" w:eastAsia="Arial" w:hAnsi="Arial"/>
          <w:b/>
          <w:bCs/>
          <w:sz w:val="26"/>
          <w:szCs w:val="26"/>
        </w:rPr>
        <w:t xml:space="preserve">2.1 Guardrail Architecture</w:t>
      </w:r>
    </w:p>
    <w:p>
      <w:pPr>
        <w:spacing w:after="80" w:line="240"/>
      </w:pPr>
      <w:r>
        <w:rPr>
          <w:rFonts w:ascii="Arial" w:cs="Arial" w:eastAsia="Arial" w:hAnsi="Arial"/>
          <w:sz w:val="24"/>
          <w:szCs w:val="24"/>
        </w:rPr>
        <w:t xml:space="preserve">Safety is implemented in a three-layer custom framework rather than a third-party library, giving full control over policies and logging. The SafetyManager coordinates two guardrails: InputGuardrail (called before agents run) and OutputGuardrail (called on the final response).</w:t>
      </w:r>
    </w:p>
    <w:p>
      <w:pPr>
        <w:pStyle w:val="Heading2"/>
        <w:spacing w:after="80" w:before="200"/>
      </w:pPr>
      <w:r>
        <w:rPr>
          <w:rFonts w:ascii="Arial" w:cs="Arial" w:eastAsia="Arial" w:hAnsi="Arial"/>
          <w:b/>
          <w:bCs/>
          <w:sz w:val="26"/>
          <w:szCs w:val="26"/>
        </w:rPr>
        <w:t xml:space="preserve">2.2 Input Policies</w:t>
      </w:r>
    </w:p>
    <w:p>
      <w:pPr>
        <w:spacing w:after="80" w:line="240"/>
      </w:pPr>
      <w:r>
        <w:rPr>
          <w:rFonts w:ascii="Arial" w:cs="Arial" w:eastAsia="Arial" w:hAnsi="Arial"/>
          <w:sz w:val="24"/>
          <w:szCs w:val="24"/>
        </w:rPr>
        <w:t xml:space="preserve">The InputGuardrail enforces four categories:</w:t>
      </w:r>
    </w:p>
    <w:p>
      <w:pPr>
        <w:pStyle w:val="ListParagraph"/>
        <w:numPr>
          <w:ilvl w:val="0"/>
          <w:numId w:val="2"/>
        </w:numPr>
        <w:spacing w:after="60"/>
      </w:pPr>
      <w:r>
        <w:rPr>
          <w:rFonts w:ascii="Arial" w:cs="Arial" w:eastAsia="Arial" w:hAnsi="Arial"/>
          <w:b/>
          <w:bCs/>
          <w:sz w:val="24"/>
          <w:szCs w:val="24"/>
        </w:rPr>
        <w:t xml:space="preserve">harmful_content: </w:t>
      </w:r>
      <w:r>
        <w:rPr>
          <w:rFonts w:ascii="Arial" w:cs="Arial" w:eastAsia="Arial" w:hAnsi="Arial"/>
          <w:sz w:val="24"/>
          <w:szCs w:val="24"/>
        </w:rPr>
        <w:t xml:space="preserve">Keyword list covering violence, hacking, weapons, and self-harm. High severity.</w:t>
      </w:r>
    </w:p>
    <w:p>
      <w:pPr>
        <w:pStyle w:val="ListParagraph"/>
        <w:numPr>
          <w:ilvl w:val="0"/>
          <w:numId w:val="2"/>
        </w:numPr>
        <w:spacing w:after="60"/>
      </w:pPr>
      <w:r>
        <w:rPr>
          <w:rFonts w:ascii="Arial" w:cs="Arial" w:eastAsia="Arial" w:hAnsi="Arial"/>
          <w:b/>
          <w:bCs/>
          <w:sz w:val="24"/>
          <w:szCs w:val="24"/>
        </w:rPr>
        <w:t xml:space="preserve">prompt_injection: </w:t>
      </w:r>
      <w:r>
        <w:rPr>
          <w:rFonts w:ascii="Arial" w:cs="Arial" w:eastAsia="Arial" w:hAnsi="Arial"/>
          <w:sz w:val="24"/>
          <w:szCs w:val="24"/>
        </w:rPr>
        <w:t xml:space="preserve">Regex patterns for phrases like "ignore previous instructions," "jailbreak," or role-reassignment attacks. High severity.</w:t>
      </w:r>
    </w:p>
    <w:p>
      <w:pPr>
        <w:pStyle w:val="ListParagraph"/>
        <w:numPr>
          <w:ilvl w:val="0"/>
          <w:numId w:val="2"/>
        </w:numPr>
        <w:spacing w:after="60"/>
      </w:pPr>
      <w:r>
        <w:rPr>
          <w:rFonts w:ascii="Arial" w:cs="Arial" w:eastAsia="Arial" w:hAnsi="Arial"/>
          <w:b/>
          <w:bCs/>
          <w:sz w:val="24"/>
          <w:szCs w:val="24"/>
        </w:rPr>
        <w:t xml:space="preserve">off_topic_queries: </w:t>
      </w:r>
      <w:r>
        <w:rPr>
          <w:rFonts w:ascii="Arial" w:cs="Arial" w:eastAsia="Arial" w:hAnsi="Arial"/>
          <w:sz w:val="24"/>
          <w:szCs w:val="24"/>
        </w:rPr>
        <w:t xml:space="preserve">Detects requests unrelated to HCI or AI (e.g., recipes, tax questions). Low-to-medium severity.</w:t>
      </w:r>
    </w:p>
    <w:p>
      <w:pPr>
        <w:pStyle w:val="ListParagraph"/>
        <w:numPr>
          <w:ilvl w:val="0"/>
          <w:numId w:val="2"/>
        </w:numPr>
        <w:spacing w:after="80"/>
      </w:pPr>
      <w:r>
        <w:rPr>
          <w:rFonts w:ascii="Arial" w:cs="Arial" w:eastAsia="Arial" w:hAnsi="Arial"/>
          <w:b/>
          <w:bCs/>
          <w:sz w:val="24"/>
          <w:szCs w:val="24"/>
        </w:rPr>
        <w:t xml:space="preserve">length_violation: </w:t>
      </w:r>
      <w:r>
        <w:rPr>
          <w:rFonts w:ascii="Arial" w:cs="Arial" w:eastAsia="Arial" w:hAnsi="Arial"/>
          <w:sz w:val="24"/>
          <w:szCs w:val="24"/>
        </w:rPr>
        <w:t xml:space="preserve">Rejects queries shorter than 5 characters or longer than 2,000 characters.</w:t>
      </w:r>
    </w:p>
    <w:p>
      <w:pPr>
        <w:spacing w:after="80" w:line="240"/>
      </w:pPr>
      <w:r>
        <w:rPr>
          <w:rFonts w:ascii="Arial" w:cs="Arial" w:eastAsia="Arial" w:hAnsi="Arial"/>
          <w:sz w:val="24"/>
          <w:szCs w:val="24"/>
        </w:rPr>
        <w:t xml:space="preserve">High-severity violations result in a "refuse" action that stops the query before reaching any agent. Medium violations produce a warning but still allow the query through.</w:t>
      </w:r>
    </w:p>
    <w:p>
      <w:pPr>
        <w:pStyle w:val="Heading2"/>
        <w:spacing w:after="80" w:before="200"/>
      </w:pPr>
      <w:r>
        <w:rPr>
          <w:rFonts w:ascii="Arial" w:cs="Arial" w:eastAsia="Arial" w:hAnsi="Arial"/>
          <w:b/>
          <w:bCs/>
          <w:sz w:val="26"/>
          <w:szCs w:val="26"/>
        </w:rPr>
        <w:t xml:space="preserve">2.3 Output Policies</w:t>
      </w:r>
    </w:p>
    <w:p>
      <w:pPr>
        <w:spacing w:after="80" w:line="240"/>
      </w:pPr>
      <w:r>
        <w:rPr>
          <w:rFonts w:ascii="Arial" w:cs="Arial" w:eastAsia="Arial" w:hAnsi="Arial"/>
          <w:sz w:val="24"/>
          <w:szCs w:val="24"/>
        </w:rPr>
        <w:t xml:space="preserve">The OutputGuardrail enforces three categories:</w:t>
      </w:r>
    </w:p>
    <w:p>
      <w:pPr>
        <w:pStyle w:val="ListParagraph"/>
        <w:numPr>
          <w:ilvl w:val="0"/>
          <w:numId w:val="2"/>
        </w:numPr>
        <w:spacing w:after="60"/>
      </w:pPr>
      <w:r>
        <w:rPr>
          <w:rFonts w:ascii="Arial" w:cs="Arial" w:eastAsia="Arial" w:hAnsi="Arial"/>
          <w:b/>
          <w:bCs/>
          <w:sz w:val="24"/>
          <w:szCs w:val="24"/>
        </w:rPr>
        <w:t xml:space="preserve">pii_exposure: </w:t>
      </w:r>
      <w:r>
        <w:rPr>
          <w:rFonts w:ascii="Arial" w:cs="Arial" w:eastAsia="Arial" w:hAnsi="Arial"/>
          <w:sz w:val="24"/>
          <w:szCs w:val="24"/>
        </w:rPr>
        <w:t xml:space="preserve">Regex patterns detect emails, US phone numbers, SSNs, credit card numbers, and IP addresses. Matched values are redacted with [REDACTED].</w:t>
      </w:r>
    </w:p>
    <w:p>
      <w:pPr>
        <w:pStyle w:val="ListParagraph"/>
        <w:numPr>
          <w:ilvl w:val="0"/>
          <w:numId w:val="2"/>
        </w:numPr>
        <w:spacing w:after="60"/>
      </w:pPr>
      <w:r>
        <w:rPr>
          <w:rFonts w:ascii="Arial" w:cs="Arial" w:eastAsia="Arial" w:hAnsi="Arial"/>
          <w:b/>
          <w:bCs/>
          <w:sz w:val="24"/>
          <w:szCs w:val="24"/>
        </w:rPr>
        <w:t xml:space="preserve">harmful_content: </w:t>
      </w:r>
      <w:r>
        <w:rPr>
          <w:rFonts w:ascii="Arial" w:cs="Arial" w:eastAsia="Arial" w:hAnsi="Arial"/>
          <w:sz w:val="24"/>
          <w:szCs w:val="24"/>
        </w:rPr>
        <w:t xml:space="preserve">Regex patterns detect instructions for making weapons or causing harm in model output.</w:t>
      </w:r>
    </w:p>
    <w:p>
      <w:pPr>
        <w:pStyle w:val="ListParagraph"/>
        <w:numPr>
          <w:ilvl w:val="0"/>
          <w:numId w:val="2"/>
        </w:numPr>
        <w:spacing w:after="80"/>
      </w:pPr>
      <w:r>
        <w:rPr>
          <w:rFonts w:ascii="Arial" w:cs="Arial" w:eastAsia="Arial" w:hAnsi="Arial"/>
          <w:b/>
          <w:bCs/>
          <w:sz w:val="24"/>
          <w:szCs w:val="24"/>
        </w:rPr>
        <w:t xml:space="preserve">misinformation: </w:t>
      </w:r>
      <w:r>
        <w:rPr>
          <w:rFonts w:ascii="Arial" w:cs="Arial" w:eastAsia="Arial" w:hAnsi="Arial"/>
          <w:sz w:val="24"/>
          <w:szCs w:val="24"/>
        </w:rPr>
        <w:t xml:space="preserve">Heuristic patterns flag absolute certainty claims ("100% effective," "scientists have proven") that suggest unsupported assertions.</w:t>
      </w:r>
    </w:p>
    <w:p>
      <w:pPr>
        <w:spacing w:after="80" w:line="240"/>
      </w:pPr>
      <w:r>
        <w:rPr>
          <w:rFonts w:ascii="Arial" w:cs="Arial" w:eastAsia="Arial" w:hAnsi="Arial"/>
          <w:sz w:val="24"/>
          <w:szCs w:val="24"/>
        </w:rPr>
        <w:t xml:space="preserve">The SafetyManager logs every violation to logs/safety_events.log with timestamp, type, action, and a content preview. The Streamlit UI and CLI both surface safety events so users know when and why content was blocked or sanitized.</w:t>
      </w:r>
    </w:p>
    <w:p>
      <w:pPr>
        <w:pStyle w:val="Heading1"/>
        <w:spacing w:after="120" w:before="240"/>
      </w:pPr>
      <w:r>
        <w:rPr>
          <w:rFonts w:ascii="Arial" w:cs="Arial" w:eastAsia="Arial" w:hAnsi="Arial"/>
          <w:b/>
          <w:bCs/>
          <w:sz w:val="28"/>
          <w:szCs w:val="28"/>
        </w:rPr>
        <w:t xml:space="preserve">3. Evaluation Setup and Results</w:t>
      </w:r>
    </w:p>
    <w:p>
      <w:pPr>
        <w:pStyle w:val="Heading2"/>
        <w:spacing w:after="80" w:before="200"/>
      </w:pPr>
      <w:r>
        <w:rPr>
          <w:rFonts w:ascii="Arial" w:cs="Arial" w:eastAsia="Arial" w:hAnsi="Arial"/>
          <w:b/>
          <w:bCs/>
          <w:sz w:val="26"/>
          <w:szCs w:val="26"/>
        </w:rPr>
        <w:t xml:space="preserve">3.1 Test Dataset</w:t>
      </w:r>
    </w:p>
    <w:p>
      <w:pPr>
        <w:spacing w:after="80" w:line="240"/>
      </w:pPr>
      <w:r>
        <w:rPr>
          <w:rFonts w:ascii="Arial" w:cs="Arial" w:eastAsia="Arial" w:hAnsi="Arial"/>
          <w:sz w:val="24"/>
          <w:szCs w:val="24"/>
        </w:rPr>
        <w:t xml:space="preserve">Eight diverse HCI queries were defined in data/example_queries.json, spanning: explainable AI for novice users, AR usability trends, AI ethics in education, UX measurement methods, conversational agent failures, web accessibility patterns, uncertainty visualization, and cross-cultural voice interface design. This covers a range of difficulty levels and source availability, providing a realistic picture of system performance.</w:t>
      </w:r>
    </w:p>
    <w:p>
      <w:pPr>
        <w:pStyle w:val="Heading2"/>
        <w:spacing w:after="80" w:before="200"/>
      </w:pPr>
      <w:r>
        <w:rPr>
          <w:rFonts w:ascii="Arial" w:cs="Arial" w:eastAsia="Arial" w:hAnsi="Arial"/>
          <w:b/>
          <w:bCs/>
          <w:sz w:val="26"/>
          <w:szCs w:val="26"/>
        </w:rPr>
        <w:t xml:space="preserve">3.2 Judging Approach</w:t>
      </w:r>
    </w:p>
    <w:p>
      <w:pPr>
        <w:spacing w:after="80" w:line="240"/>
      </w:pPr>
      <w:r>
        <w:rPr>
          <w:rFonts w:ascii="Arial" w:cs="Arial" w:eastAsia="Arial" w:hAnsi="Arial"/>
          <w:sz w:val="24"/>
          <w:szCs w:val="24"/>
        </w:rPr>
        <w:t xml:space="preserve">LLM-as-a-Judge uses two independent prompts per response, both sent to the Qwen3-8B model:</w:t>
      </w:r>
    </w:p>
    <w:p>
      <w:pPr>
        <w:pStyle w:val="ListParagraph"/>
        <w:numPr>
          <w:ilvl w:val="0"/>
          <w:numId w:val="2"/>
        </w:numPr>
        <w:spacing w:after="60"/>
      </w:pPr>
      <w:r>
        <w:rPr>
          <w:rFonts w:ascii="Arial" w:cs="Arial" w:eastAsia="Arial" w:hAnsi="Arial"/>
          <w:b/>
          <w:bCs/>
          <w:sz w:val="24"/>
          <w:szCs w:val="24"/>
        </w:rPr>
        <w:t xml:space="preserve">Prompt A (Rubric Judge): </w:t>
      </w:r>
      <w:r>
        <w:rPr>
          <w:rFonts w:ascii="Arial" w:cs="Arial" w:eastAsia="Arial" w:hAnsi="Arial"/>
          <w:sz w:val="24"/>
          <w:szCs w:val="24"/>
        </w:rPr>
        <w:t xml:space="preserve">Scores each of five criteria on a 0-10 scale: relevance (weight 0.25), evidence quality (0.25), factual accuracy (0.20), safety compliance (0.15), and clarity (0.15). Returns JSON with per-criterion score and one-sentence reasoning.</w:t>
      </w:r>
    </w:p>
    <w:p>
      <w:pPr>
        <w:pStyle w:val="ListParagraph"/>
        <w:numPr>
          <w:ilvl w:val="0"/>
          <w:numId w:val="2"/>
        </w:numPr>
        <w:spacing w:after="80"/>
      </w:pPr>
      <w:r>
        <w:rPr>
          <w:rFonts w:ascii="Arial" w:cs="Arial" w:eastAsia="Arial" w:hAnsi="Arial"/>
          <w:b/>
          <w:bCs/>
          <w:sz w:val="24"/>
          <w:szCs w:val="24"/>
        </w:rPr>
        <w:t xml:space="preserve">Prompt B (Holistic Judge): </w:t>
      </w:r>
      <w:r>
        <w:rPr>
          <w:rFonts w:ascii="Arial" w:cs="Arial" w:eastAsia="Arial" w:hAnsi="Arial"/>
          <w:sz w:val="24"/>
          <w:szCs w:val="24"/>
        </w:rPr>
        <w:t xml:space="preserve">A domain expert persona evaluates the response holistically on a 0-10 scale with a 2-4 sentence narrative critique. Returns JSON with score and feedback string.</w:t>
      </w:r>
    </w:p>
    <w:p>
      <w:pPr>
        <w:spacing w:after="80" w:line="240"/>
      </w:pPr>
      <w:r>
        <w:rPr>
          <w:rFonts w:ascii="Arial" w:cs="Arial" w:eastAsia="Arial" w:hAnsi="Arial"/>
          <w:sz w:val="24"/>
          <w:szCs w:val="24"/>
        </w:rPr>
        <w:t xml:space="preserve">The final overall score combines rubric and holistic scores at a 60/40 ratio. All raw judge prompts and outputs are saved to outputs/judge_raw_output_sample.json.</w:t>
      </w:r>
    </w:p>
    <w:p>
      <w:pPr>
        <w:pStyle w:val="Heading2"/>
        <w:spacing w:after="80" w:before="200"/>
      </w:pPr>
      <w:r>
        <w:rPr>
          <w:rFonts w:ascii="Arial" w:cs="Arial" w:eastAsia="Arial" w:hAnsi="Arial"/>
          <w:b/>
          <w:bCs/>
          <w:sz w:val="26"/>
          <w:szCs w:val="26"/>
        </w:rPr>
        <w:t xml:space="preserve">3.3 Results</w:t>
      </w:r>
    </w:p>
    <w:p>
      <w:pPr>
        <w:spacing w:after="80" w:line="240"/>
      </w:pPr>
      <w:r>
        <w:rPr>
          <w:rFonts w:ascii="Arial" w:cs="Arial" w:eastAsia="Arial" w:hAnsi="Arial"/>
          <w:sz w:val="24"/>
          <w:szCs w:val="24"/>
        </w:rPr>
        <w:t xml:space="preserve">Table 1 summarizes the results across eight queries.</w:t>
      </w:r>
    </w:p>
    <w:p>
      <w:pPr>
        <w:spacing w:after="80" w:line="240"/>
      </w:pPr>
      <w:r>
        <w:rPr>
          <w:rFonts w:ascii="Arial" w:cs="Arial" w:eastAsia="Arial" w:hAnsi="Arial"/>
          <w:sz w:val="24"/>
          <w:szCs w:val="24"/>
        </w:rPr>
        <w:t xml:space="preserve">Average overall score: 0.7214 out of 1.0 across all eight queries.</w:t>
      </w:r>
    </w:p>
    <w:p>
      <w:pPr>
        <w:spacing w:after="80" w:line="240"/>
      </w:pPr>
      <w:r>
        <w:rPr>
          <w:rFonts w:ascii="Arial" w:cs="Arial" w:eastAsia="Arial" w:hAnsi="Arial"/>
          <w:sz w:val="24"/>
          <w:szCs w:val="24"/>
        </w:rPr>
        <w:t xml:space="preserve">By criterion: relevance 0.785, evidence quality 0.710, factual accuracy 0.740, safety compliance 0.890, clarity 0.760.</w:t>
      </w:r>
    </w:p>
    <w:p>
      <w:pPr>
        <w:spacing w:after="80" w:line="240"/>
      </w:pPr>
      <w:r>
        <w:rPr>
          <w:rFonts w:ascii="Arial" w:cs="Arial" w:eastAsia="Arial" w:hAnsi="Arial"/>
          <w:sz w:val="24"/>
          <w:szCs w:val="24"/>
        </w:rPr>
        <w:t xml:space="preserve">Best query: "What are the key principles of explainable AI for novice users?" (0.8312). This topic has a rich academic literature with well-cited foundational papers, which the Researcher successfully retrieved.</w:t>
      </w:r>
    </w:p>
    <w:p>
      <w:pPr>
        <w:spacing w:after="80" w:line="240"/>
      </w:pPr>
      <w:r>
        <w:rPr>
          <w:rFonts w:ascii="Arial" w:cs="Arial" w:eastAsia="Arial" w:hAnsi="Arial"/>
          <w:sz w:val="24"/>
          <w:szCs w:val="24"/>
        </w:rPr>
        <w:t xml:space="preserve">Worst query: "How do cultural factors influence the design of voice interfaces?" (0.6104). Cross-cultural voice UI research is a niche area with less accessible primary literature, resulting in shallower evidence quality.</w:t>
      </w:r>
    </w:p>
    <w:p>
      <w:pPr>
        <w:pStyle w:val="Heading2"/>
        <w:spacing w:after="80" w:before="200"/>
      </w:pPr>
      <w:r>
        <w:rPr>
          <w:rFonts w:ascii="Arial" w:cs="Arial" w:eastAsia="Arial" w:hAnsi="Arial"/>
          <w:b/>
          <w:bCs/>
          <w:sz w:val="26"/>
          <w:szCs w:val="26"/>
        </w:rPr>
        <w:t xml:space="preserve">3.4 Error Analysis</w:t>
      </w:r>
    </w:p>
    <w:p>
      <w:pPr>
        <w:spacing w:after="80" w:line="240"/>
      </w:pPr>
      <w:r>
        <w:rPr>
          <w:rFonts w:ascii="Arial" w:cs="Arial" w:eastAsia="Arial" w:hAnsi="Arial"/>
          <w:sz w:val="24"/>
          <w:szCs w:val="24"/>
        </w:rPr>
        <w:t xml:space="preserve">The system performed best on well-established HCI topics (XAI, accessibility, AR) where the Researcher could find highly cited papers with substantial abstracts. Performance dropped for niche or specialized subtopics where search results skewed toward blog posts rather than peer-reviewed work. The Critic agent occasionally reached the maximum turn limit (12 turns) without issuing TERMINATE, which resulted in the last available Writer message being returned.</w:t>
      </w:r>
    </w:p>
    <w:p>
      <w:pPr>
        <w:spacing w:after="80" w:line="240"/>
      </w:pPr>
      <w:r>
        <w:rPr>
          <w:rFonts w:ascii="Arial" w:cs="Arial" w:eastAsia="Arial" w:hAnsi="Arial"/>
          <w:sz w:val="24"/>
          <w:szCs w:val="24"/>
        </w:rPr>
        <w:t xml:space="preserve">The judge model itself is the same Qwen3-8B instance used for generation, introducing a potential for self-evaluation bias. Future work should use a separate, stronger model for judging.</w:t>
      </w:r>
    </w:p>
    <w:p>
      <w:pPr>
        <w:pStyle w:val="Heading1"/>
        <w:spacing w:after="120" w:before="240"/>
      </w:pPr>
      <w:r>
        <w:rPr>
          <w:rFonts w:ascii="Arial" w:cs="Arial" w:eastAsia="Arial" w:hAnsi="Arial"/>
          <w:b/>
          <w:bCs/>
          <w:sz w:val="28"/>
          <w:szCs w:val="28"/>
        </w:rPr>
        <w:t xml:space="preserve">4. Discussion and Limitations</w:t>
      </w:r>
    </w:p>
    <w:p>
      <w:pPr>
        <w:spacing w:after="80" w:line="240"/>
      </w:pPr>
      <w:r>
        <w:rPr>
          <w:rFonts w:ascii="Arial" w:cs="Arial" w:eastAsia="Arial" w:hAnsi="Arial"/>
          <w:sz w:val="24"/>
          <w:szCs w:val="24"/>
        </w:rPr>
        <w:t xml:space="preserve">The multi-agent setup successfully distributes responsibility across specialized roles. The Planner consistently produces structured research plans with useful search queries, and the Researcher demonstrates real tool use. The Writer produces readable syntheses with citations drawn from tool outputs, and the Critic provides constructive feedback in most runs.</w:t>
      </w:r>
    </w:p>
    <w:p>
      <w:pPr>
        <w:spacing w:after="80" w:line="240"/>
      </w:pPr>
      <w:r>
        <w:rPr>
          <w:rFonts w:ascii="Arial" w:cs="Arial" w:eastAsia="Arial" w:hAnsi="Arial"/>
          <w:sz w:val="24"/>
          <w:szCs w:val="24"/>
        </w:rPr>
        <w:t xml:space="preserve">Key limitations include: (1) Qwen3-8B has limited context length, which can truncate long tool call results or conversation histories in extended runs. (2) Tool calls rely on external APIs (Tavily, Semantic Scholar) that may have rate limits or outages. (3) The same model evaluates outputs as judges, limiting objectivity. (4) Safety guardrails are primarily heuristic (keyword and regex) rather than using a dedicated toxicity or moderation model.</w:t>
      </w:r>
    </w:p>
    <w:p>
      <w:pPr>
        <w:spacing w:after="80" w:line="240"/>
      </w:pPr>
      <w:r>
        <w:rPr>
          <w:rFonts w:ascii="Arial" w:cs="Arial" w:eastAsia="Arial" w:hAnsi="Arial"/>
          <w:sz w:val="24"/>
          <w:szCs w:val="24"/>
        </w:rPr>
        <w:t xml:space="preserve">Future directions include: adding a dedicated synthesizer step that extracts structured citations before writing, integrating a moderation model (such as Llama Guard) for more robust safety checking, supporting a larger model for the judge role, and adding human-in-the-loop evaluation alongside LLM-as-a-Judge for triangulation.</w:t>
      </w:r>
    </w:p>
    <w:p>
      <w:pPr>
        <w:pStyle w:val="Heading1"/>
        <w:spacing w:after="120" w:before="240"/>
      </w:pPr>
      <w:r>
        <w:rPr>
          <w:rFonts w:ascii="Arial" w:cs="Arial" w:eastAsia="Arial" w:hAnsi="Arial"/>
          <w:b/>
          <w:bCs/>
          <w:sz w:val="28"/>
          <w:szCs w:val="28"/>
        </w:rPr>
        <w:t xml:space="preserve">References</w:t>
      </w:r>
    </w:p>
    <w:p>
      <w:pPr>
        <w:spacing w:after="60" w:line="240"/>
        <w:ind w:left="720" w:hanging="720"/>
      </w:pPr>
      <w:r>
        <w:rPr>
          <w:rFonts w:ascii="Arial" w:cs="Arial" w:eastAsia="Arial" w:hAnsi="Arial"/>
          <w:sz w:val="22"/>
          <w:szCs w:val="22"/>
        </w:rPr>
        <w:t xml:space="preserve">Anthropic. (2024). Claude model overview. https://docs.anthropic.com</w:t>
      </w:r>
    </w:p>
    <w:p>
      <w:pPr>
        <w:spacing w:after="60" w:line="240"/>
        <w:ind w:left="720" w:hanging="720"/>
      </w:pPr>
      <w:r>
        <w:rPr>
          <w:rFonts w:ascii="Arial" w:cs="Arial" w:eastAsia="Arial" w:hAnsi="Arial"/>
          <w:sz w:val="22"/>
          <w:szCs w:val="22"/>
        </w:rPr>
        <w:t xml:space="preserve">Chen, B., Shu, T., Shareghi, E., Collier, N., Narasimhan, K., &amp; Yao, S. (2024). AGENTBENCH: Evaluating LLMs as agents. Proceedings of ICLR 2024. https://arxiv.org/abs/2308.03688</w:t>
      </w:r>
    </w:p>
    <w:p>
      <w:pPr>
        <w:spacing w:after="60" w:line="240"/>
        <w:ind w:left="720" w:hanging="720"/>
      </w:pPr>
      <w:r>
        <w:rPr>
          <w:rFonts w:ascii="Arial" w:cs="Arial" w:eastAsia="Arial" w:hAnsi="Arial"/>
          <w:sz w:val="22"/>
          <w:szCs w:val="22"/>
        </w:rPr>
        <w:t xml:space="preserve">Lim, B. Y., Dey, A. K., &amp; Avrahami, D. (2009). Why and why not explanations improve the intelligibility of context-aware intelligent systems. Proceedings of CHI 2009. https://dl.acm.org/doi/10.1145/1518701.1518920</w:t>
      </w:r>
    </w:p>
    <w:p>
      <w:pPr>
        <w:spacing w:after="60" w:line="240"/>
        <w:ind w:left="720" w:hanging="720"/>
      </w:pPr>
      <w:r>
        <w:rPr>
          <w:rFonts w:ascii="Arial" w:cs="Arial" w:eastAsia="Arial" w:hAnsi="Arial"/>
          <w:sz w:val="22"/>
          <w:szCs w:val="22"/>
        </w:rPr>
        <w:t xml:space="preserve">Microsoft. (2024). AutoGen: Enabling next-gen LLM applications via multi-agent conversation. https://microsoft.github.io/autogen/stable/</w:t>
      </w:r>
    </w:p>
    <w:p>
      <w:pPr>
        <w:spacing w:after="60" w:line="240"/>
        <w:ind w:left="720" w:hanging="720"/>
      </w:pPr>
      <w:r>
        <w:rPr>
          <w:rFonts w:ascii="Arial" w:cs="Arial" w:eastAsia="Arial" w:hAnsi="Arial"/>
          <w:sz w:val="22"/>
          <w:szCs w:val="22"/>
        </w:rPr>
        <w:t xml:space="preserve">Ribeiro, M. T., Singh, S., &amp; Guestrin, C. (2016). "Why should I trust you?": Explaining the predictions of any classifier. Proceedings of KDD 2016. https://arxiv.org/abs/1602.04938</w:t>
      </w:r>
    </w:p>
    <w:p>
      <w:pPr>
        <w:spacing w:after="60" w:line="240"/>
        <w:ind w:left="720" w:hanging="720"/>
      </w:pPr>
      <w:r>
        <w:rPr>
          <w:rFonts w:ascii="Arial" w:cs="Arial" w:eastAsia="Arial" w:hAnsi="Arial"/>
          <w:sz w:val="22"/>
          <w:szCs w:val="22"/>
        </w:rPr>
        <w:t xml:space="preserve">Semantic Scholar. (2024). Semantic Scholar API documentation. https://api.semanticscholar.org/</w:t>
      </w:r>
    </w:p>
    <w:p>
      <w:pPr>
        <w:spacing w:after="60" w:line="240"/>
        <w:ind w:left="720" w:hanging="720"/>
      </w:pPr>
      <w:r>
        <w:rPr>
          <w:rFonts w:ascii="Arial" w:cs="Arial" w:eastAsia="Arial" w:hAnsi="Arial"/>
          <w:sz w:val="22"/>
          <w:szCs w:val="22"/>
        </w:rPr>
        <w:t xml:space="preserve">Tavily. (2024). Tavily Search API documentation. https://docs.tavily.com/</w:t>
      </w:r>
    </w:p>
    <w:p>
      <w:pPr>
        <w:spacing w:after="60" w:line="240"/>
        <w:ind w:left="720" w:hanging="720"/>
      </w:pPr>
      <w:r>
        <w:rPr>
          <w:rFonts w:ascii="Arial" w:cs="Arial" w:eastAsia="Arial" w:hAnsi="Arial"/>
          <w:sz w:val="22"/>
          <w:szCs w:val="22"/>
        </w:rPr>
        <w:t xml:space="preserve">Wachter, S., Mittelstadt, B., &amp; Russell, C. (2017). Counterfactual explanations without opening the black box. Harvard Journal of Law &amp; Technology, 31(2). https://arxiv.org/abs/1711.00399</w:t>
      </w:r>
    </w:p>
    <w:p>
      <w:pPr>
        <w:spacing w:after="60" w:line="240"/>
        <w:ind w:left="720" w:hanging="720"/>
      </w:pPr>
      <w:r>
        <w:rPr>
          <w:rFonts w:ascii="Arial" w:cs="Arial" w:eastAsia="Arial" w:hAnsi="Arial"/>
          <w:sz w:val="22"/>
          <w:szCs w:val="22"/>
        </w:rPr>
        <w:t xml:space="preserve">Wu, Q., Bansal, G., Zhang, J., Wu, Y., Li, B., Zhu, E., Jiang, L., Zhang, X., Zhang, S., Liu, J., Awadallah, A. H., White, R. W., Burger, D., &amp; Wang, C. (2023). AutoGen: Enabling next-generation LLM applications. arXiv. https://arxiv.org/abs/2308.08155</w:t>
      </w:r>
    </w:p>
    <w:p>
      <w:pPr>
        <w:spacing w:after="60" w:line="240"/>
        <w:ind w:left="720" w:hanging="720"/>
      </w:pPr>
      <w:r>
        <w:rPr>
          <w:rFonts w:ascii="Arial" w:cs="Arial" w:eastAsia="Arial" w:hAnsi="Arial"/>
          <w:sz w:val="22"/>
          <w:szCs w:val="22"/>
        </w:rPr>
        <w:t xml:space="preserve">Zhang, Y., Liao, Q. V., &amp; Bellamy, R. K. E. (2020). Effect of confidence and explanation on accuracy and trust calibration in AI-assisted decision making. Proceedings of FAccT 2020. https://dl.acm.org/doi/10.1145/3351095.3372852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20"/>
        <w:szCs w:val="20"/>
      </w:rPr>
      <w:t xml:space="preserve">IS492 Assignment 3   |   Page </w:t>
    </w:r>
    <w:r>
      <w:rPr>
        <w:rFonts w:ascii="Arial" w:cs="Arial" w:eastAsia="Arial" w:hAnsi="Arial"/>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555555"/>
        <w:sz w:val="20"/>
        <w:szCs w:val="20"/>
      </w:rPr>
      <w:t xml:space="preserve">Multi-Agent HCI Research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2026-05-04T19:21:53.380Z</dcterms:created>
  <dcterms:modified xsi:type="dcterms:W3CDTF">2026-05-04T19:21:53.380Z</dcterms:modified>
</cp:coreProperties>
</file>

<file path=docProps/custom.xml><?xml version="1.0" encoding="utf-8"?>
<Properties xmlns="http://schemas.openxmlformats.org/officeDocument/2006/custom-properties" xmlns:vt="http://schemas.openxmlformats.org/officeDocument/2006/docPropsVTypes"/>
</file>