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Injection–recovery tests calibrate what a tree-ring array can detect before use</w:t>
      </w:r>
    </w:p>
    <w:p>
      <w:pPr>
        <w:pStyle w:val="Compact"/>
        <w:numPr>
          <w:ilvl w:val="0"/>
          <w:numId w:val="1001"/>
        </w:numPr>
      </w:pPr>
      <w:r>
        <w:t xml:space="preserve">13 Japanese ITRDB sites, 3,193 site–event pairs: no far-field earthquake signal found</w:t>
      </w:r>
    </w:p>
    <w:p>
      <w:pPr>
        <w:pStyle w:val="Compact"/>
        <w:numPr>
          <w:ilvl w:val="0"/>
          <w:numId w:val="1001"/>
        </w:numPr>
      </w:pPr>
      <w:r>
        <w:t xml:space="preserve">M8 subduction earthquakes at 100–250 km suppressed stand growth by &lt;7–9 % (95 %)</w:t>
      </w:r>
    </w:p>
    <w:p>
      <w:pPr>
        <w:pStyle w:val="Compact"/>
        <w:numPr>
          <w:ilvl w:val="0"/>
          <w:numId w:val="1001"/>
        </w:numPr>
      </w:pPr>
      <w:r>
        <w:t xml:space="preserve">Independent-year nulls overstate significance when events are shared across sites</w:t>
      </w:r>
    </w:p>
    <w:p>
      <w:pPr>
        <w:pStyle w:val="Compact"/>
        <w:numPr>
          <w:ilvl w:val="0"/>
          <w:numId w:val="1001"/>
        </w:numPr>
      </w:pPr>
      <w:r>
        <w:t xml:space="preserve">~140 sites of 30 trees would be needed to see a 10 % far-field signal at 3σ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2026-09-06T00:49:25Z</dcterms:created>
  <dcterms:modified xsi:type="dcterms:W3CDTF">2026-09-06T00:49:25Z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