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0457B" w14:textId="07B1B5A5" w:rsidR="00712F97" w:rsidRPr="00585445" w:rsidRDefault="00585445" w:rsidP="00585445">
      <w:pPr>
        <w:jc w:val="center"/>
        <w:rPr>
          <w:rFonts w:ascii="Calibri Light" w:hAnsi="Calibri Light"/>
          <w:b/>
          <w:bCs/>
          <w:color w:val="E00047"/>
          <w:sz w:val="52"/>
          <w:szCs w:val="52"/>
        </w:rPr>
      </w:pPr>
      <w:r w:rsidRPr="00585445">
        <w:rPr>
          <w:rFonts w:ascii="Calibri Light" w:hAnsi="Calibri Light"/>
          <w:b/>
          <w:bCs/>
          <w:color w:val="E00047"/>
          <w:sz w:val="52"/>
          <w:szCs w:val="52"/>
        </w:rPr>
        <w:t xml:space="preserve">Study Master File Checklist </w:t>
      </w:r>
    </w:p>
    <w:p w14:paraId="3422843A" w14:textId="77777777" w:rsidR="00451F1C" w:rsidRDefault="00A05F44" w:rsidP="00E31E68">
      <w:pPr>
        <w:rPr>
          <w:sz w:val="20"/>
          <w:szCs w:val="20"/>
        </w:rPr>
      </w:pPr>
      <w:r>
        <w:rPr>
          <w:sz w:val="20"/>
          <w:szCs w:val="20"/>
        </w:rPr>
        <w:t xml:space="preserve">This template </w:t>
      </w:r>
      <w:r w:rsidR="005957F8">
        <w:rPr>
          <w:sz w:val="20"/>
          <w:szCs w:val="20"/>
        </w:rPr>
        <w:t>g</w:t>
      </w:r>
      <w:r>
        <w:rPr>
          <w:sz w:val="20"/>
          <w:szCs w:val="20"/>
        </w:rPr>
        <w:t xml:space="preserve">uide </w:t>
      </w:r>
      <w:r w:rsidR="005957F8">
        <w:rPr>
          <w:sz w:val="20"/>
          <w:szCs w:val="20"/>
        </w:rPr>
        <w:t>can be used to implement</w:t>
      </w:r>
      <w:r>
        <w:rPr>
          <w:sz w:val="20"/>
          <w:szCs w:val="20"/>
        </w:rPr>
        <w:t xml:space="preserve"> the CCP Global</w:t>
      </w:r>
      <w:r w:rsidR="00451F1C">
        <w:rPr>
          <w:sz w:val="20"/>
          <w:szCs w:val="20"/>
        </w:rPr>
        <w:t>.  It should be accessible to study staff so that they can refer to it when implementing the study</w:t>
      </w:r>
      <w:r>
        <w:rPr>
          <w:sz w:val="20"/>
          <w:szCs w:val="20"/>
        </w:rPr>
        <w:t xml:space="preserve">. </w:t>
      </w:r>
    </w:p>
    <w:p w14:paraId="10B9E21D" w14:textId="06D4C1CD" w:rsidR="00585445" w:rsidRDefault="00A05F44" w:rsidP="00E31E68">
      <w:pPr>
        <w:rPr>
          <w:b/>
          <w:sz w:val="20"/>
          <w:szCs w:val="20"/>
        </w:rPr>
      </w:pPr>
      <w:r>
        <w:rPr>
          <w:sz w:val="20"/>
          <w:szCs w:val="20"/>
        </w:rPr>
        <w:t>G</w:t>
      </w:r>
      <w:r w:rsidR="00E31E68" w:rsidRPr="00FE45DC">
        <w:rPr>
          <w:sz w:val="20"/>
          <w:szCs w:val="20"/>
        </w:rPr>
        <w:t xml:space="preserve">uidance is provided in </w:t>
      </w:r>
      <w:r w:rsidR="00E31E68" w:rsidRPr="00C569CE">
        <w:rPr>
          <w:i/>
          <w:color w:val="4472C4" w:themeColor="accent1"/>
          <w:sz w:val="20"/>
          <w:szCs w:val="20"/>
          <w:u w:val="single"/>
        </w:rPr>
        <w:t>blue text</w:t>
      </w:r>
      <w:r w:rsidR="00E31E68" w:rsidRPr="00FE45DC">
        <w:rPr>
          <w:sz w:val="20"/>
          <w:szCs w:val="20"/>
        </w:rPr>
        <w:t xml:space="preserve"> and should not be copied to your </w:t>
      </w:r>
      <w:r w:rsidR="00E31E68">
        <w:rPr>
          <w:sz w:val="20"/>
          <w:szCs w:val="20"/>
        </w:rPr>
        <w:t>File</w:t>
      </w:r>
      <w:r w:rsidR="00D17525">
        <w:rPr>
          <w:sz w:val="20"/>
          <w:szCs w:val="20"/>
        </w:rPr>
        <w:t xml:space="preserve"> (paper/electronic)</w:t>
      </w:r>
      <w:r w:rsidR="00E31E68" w:rsidRPr="00FE45DC">
        <w:rPr>
          <w:sz w:val="20"/>
          <w:szCs w:val="20"/>
        </w:rPr>
        <w:t>.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419"/>
        <w:gridCol w:w="3687"/>
        <w:gridCol w:w="4961"/>
      </w:tblGrid>
      <w:tr w:rsidR="00585445" w14:paraId="3B75466B" w14:textId="77777777" w:rsidTr="00585445">
        <w:trPr>
          <w:trHeight w:val="236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2DA7" w14:textId="4557F90F" w:rsidR="00585445" w:rsidRDefault="00585445">
            <w:pPr>
              <w:rPr>
                <w:b/>
                <w:sz w:val="20"/>
                <w:szCs w:val="20"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4591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Sections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CD13" w14:textId="77777777" w:rsidR="00585445" w:rsidRPr="00F90C5B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F90C5B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Guidance </w:t>
            </w:r>
          </w:p>
        </w:tc>
      </w:tr>
      <w:tr w:rsidR="00A1201E" w14:paraId="314E4662" w14:textId="77777777" w:rsidTr="008D187B">
        <w:trPr>
          <w:trHeight w:val="217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3BBC" w14:textId="77777777" w:rsidR="00A1201E" w:rsidRPr="00E31E68" w:rsidRDefault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</w:t>
            </w:r>
          </w:p>
        </w:tc>
        <w:tc>
          <w:tcPr>
            <w:tcW w:w="8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7864" w14:textId="6BD631B0" w:rsidR="00A1201E" w:rsidRPr="00F90C5B" w:rsidRDefault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PROTOCOL</w:t>
            </w:r>
          </w:p>
        </w:tc>
      </w:tr>
      <w:tr w:rsidR="00585445" w14:paraId="12F0D3DF" w14:textId="77777777" w:rsidTr="00585445">
        <w:trPr>
          <w:trHeight w:val="1424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DDF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27B2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0E6A" w14:textId="7DB8D96B" w:rsidR="00A05F44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the c</w:t>
            </w:r>
            <w:r w:rsidR="00932D21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urrent version of the protocol.</w:t>
            </w:r>
          </w:p>
          <w:p w14:paraId="18B83780" w14:textId="598F1BD5" w:rsidR="00A05F44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Sub-sections </w:t>
            </w:r>
            <w:r w:rsidR="00932D21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can be created in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this folder for </w:t>
            </w:r>
            <w:r w:rsidR="00932D21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drafts and previous versions</w:t>
            </w:r>
            <w:r w:rsidR="00202A6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,</w:t>
            </w:r>
            <w:r w:rsidR="00932D21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which have now been superseded.</w:t>
            </w:r>
          </w:p>
          <w:p w14:paraId="0CED9EC6" w14:textId="52409B73" w:rsidR="00585445" w:rsidRPr="00E31E68" w:rsidRDefault="00585445" w:rsidP="00932D21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Creating a Version History Log is a useful way of keeping track of each updated protocol and its amendments and could</w:t>
            </w:r>
            <w:r w:rsidR="00932D21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also be saved in this section.</w:t>
            </w:r>
          </w:p>
        </w:tc>
      </w:tr>
      <w:tr w:rsidR="00585445" w14:paraId="483C14AE" w14:textId="77777777" w:rsidTr="003D6A1B">
        <w:trPr>
          <w:trHeight w:val="1030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BF7E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286D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Study Standard Operating Procedures (SOPs)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3790" w14:textId="77777777" w:rsidR="005957F8" w:rsidRDefault="0007415F" w:rsidP="005957F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Develop standard operational procedures (SOPs) to be used by study staff </w:t>
            </w:r>
            <w:r w:rsidR="005957F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for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a quick reference guid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e during study implementation.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</w:t>
            </w:r>
          </w:p>
          <w:p w14:paraId="1D11A037" w14:textId="1F376932" w:rsidR="0007415F" w:rsidRPr="00E31E68" w:rsidRDefault="0007415F" w:rsidP="005957F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his should include all aspects of the study (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e.g. 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clinical,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sampling processes,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lab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oratory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etc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.</w:t>
            </w:r>
            <w:r w:rsidRPr="0007415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)</w:t>
            </w:r>
            <w:r w:rsidR="005957F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–</w:t>
            </w:r>
            <w:r w:rsidR="00202A6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copies can be stored here.</w:t>
            </w:r>
          </w:p>
        </w:tc>
      </w:tr>
      <w:tr w:rsidR="00A1201E" w14:paraId="4288CF16" w14:textId="77777777" w:rsidTr="0024006B">
        <w:trPr>
          <w:trHeight w:val="363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219D" w14:textId="77777777" w:rsidR="00A1201E" w:rsidRPr="00E31E68" w:rsidRDefault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2</w:t>
            </w:r>
          </w:p>
        </w:tc>
        <w:tc>
          <w:tcPr>
            <w:tcW w:w="8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739B" w14:textId="31AAAE06" w:rsidR="00A1201E" w:rsidRPr="00E31E68" w:rsidRDefault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PATIENT INFORMATION &amp; CONSENT</w:t>
            </w:r>
          </w:p>
        </w:tc>
      </w:tr>
      <w:tr w:rsidR="00585445" w14:paraId="1B62EE63" w14:textId="77777777" w:rsidTr="00585445">
        <w:trPr>
          <w:trHeight w:val="2135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D474D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1351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Patient information sheet (PIS) &amp; Informed Consent Forms (ICF)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CD47" w14:textId="16286D76" w:rsidR="00F10D8F" w:rsidRDefault="000B0F02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Templates are available and can be adapted to your local s</w:t>
            </w:r>
            <w:r w:rsidR="00202A6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etting; </w:t>
            </w:r>
            <w:r w:rsid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You may wish to </w:t>
            </w:r>
            <w:r w:rsidR="00F10D8F" w:rsidRP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US"/>
              </w:rPr>
              <w:t>develop simple study flow charts that can be stuck on walls in consulting room, doctors</w:t>
            </w:r>
            <w:r w:rsid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US"/>
              </w:rPr>
              <w:t xml:space="preserve">/nurses </w:t>
            </w:r>
            <w:r w:rsidR="00F10D8F" w:rsidRP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US"/>
              </w:rPr>
              <w:t>room, staff tea room</w:t>
            </w:r>
            <w:r w:rsid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US"/>
              </w:rPr>
              <w:t xml:space="preserve"> etc.</w:t>
            </w:r>
          </w:p>
          <w:p w14:paraId="2C3CA658" w14:textId="77777777" w:rsidR="00F10D8F" w:rsidRDefault="00F10D8F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</w:p>
          <w:p w14:paraId="6BA5CCD2" w14:textId="5DF48820" w:rsidR="00F10D8F" w:rsidRDefault="00585445" w:rsidP="00D1752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the current version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s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of 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these documents.</w:t>
            </w:r>
          </w:p>
          <w:p w14:paraId="091729F1" w14:textId="77777777" w:rsidR="00202A65" w:rsidRDefault="00202A65" w:rsidP="00D1752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</w:p>
          <w:p w14:paraId="0882C241" w14:textId="0A84978C" w:rsidR="00585445" w:rsidRPr="00E31E68" w:rsidRDefault="000B0F02" w:rsidP="00D1752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If 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any updates 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are made, the old versions should be clearly marked as </w:t>
            </w:r>
            <w:r w:rsidR="00F10D8F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superseded.</w:t>
            </w:r>
          </w:p>
        </w:tc>
      </w:tr>
      <w:tr w:rsidR="00A1201E" w14:paraId="3B75E842" w14:textId="77777777" w:rsidTr="0024006B">
        <w:trPr>
          <w:trHeight w:val="343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B44A" w14:textId="77777777" w:rsidR="00A1201E" w:rsidRPr="00E31E68" w:rsidRDefault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3</w:t>
            </w:r>
          </w:p>
        </w:tc>
        <w:tc>
          <w:tcPr>
            <w:tcW w:w="8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FD4A" w14:textId="54B759E3" w:rsidR="00A1201E" w:rsidRPr="00E31E68" w:rsidRDefault="00A1201E" w:rsidP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CASE REPORT FORMS</w:t>
            </w: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</w:p>
        </w:tc>
      </w:tr>
      <w:tr w:rsidR="00585445" w14:paraId="07A7B352" w14:textId="77777777" w:rsidTr="00585445">
        <w:trPr>
          <w:trHeight w:val="949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06CA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52EB" w14:textId="6E326E45" w:rsidR="00585445" w:rsidRPr="00E31E68" w:rsidRDefault="00585445" w:rsidP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Case Report Form</w:t>
            </w:r>
            <w:r w:rsidR="00A1201E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(CRF)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4440" w14:textId="64CD76DC" w:rsidR="00A1201E" w:rsidRDefault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[IF USING THE ISARIC </w:t>
            </w:r>
            <w:proofErr w:type="spellStart"/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nCoV</w:t>
            </w:r>
            <w:proofErr w:type="spellEnd"/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CRFs] </w:t>
            </w:r>
            <w:r w:rsidR="0024006B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CORE CRF and a RAPID CRF have been created and both are available in electronic and paper format.</w:t>
            </w:r>
          </w:p>
          <w:p w14:paraId="30E2CB8D" w14:textId="1CBB207E" w:rsidR="00585445" w:rsidRPr="00E31E68" w:rsidRDefault="00585445" w:rsidP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The current 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CRF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should be saved in this section 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 any superseded versions</w:t>
            </w:r>
            <w:r w:rsidR="00202A6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marked accordingly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.</w:t>
            </w:r>
          </w:p>
        </w:tc>
      </w:tr>
      <w:tr w:rsidR="00585445" w14:paraId="5193EE8D" w14:textId="77777777" w:rsidTr="00585445">
        <w:trPr>
          <w:trHeight w:val="474"/>
        </w:trPr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520" w14:textId="2A356C08" w:rsidR="00585445" w:rsidRPr="00E31E68" w:rsidRDefault="00A65EE7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394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CRF guidance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2BA9" w14:textId="148955CE" w:rsidR="00585445" w:rsidRPr="00E31E68" w:rsidRDefault="000B0F02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[IF USING THE ISARIC DATA PLATFORM] Data entry guides for the CORE and RAPID Case Report Forms have already</w:t>
            </w:r>
            <w:r w:rsidR="00202A6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been created and w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ould be included here.</w:t>
            </w:r>
          </w:p>
        </w:tc>
      </w:tr>
    </w:tbl>
    <w:p w14:paraId="71221F91" w14:textId="77777777" w:rsidR="00451F1C" w:rsidRDefault="00451F1C">
      <w: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460"/>
        <w:gridCol w:w="3673"/>
        <w:gridCol w:w="4934"/>
      </w:tblGrid>
      <w:tr w:rsidR="00A1201E" w14:paraId="55B7CEE2" w14:textId="77777777" w:rsidTr="007473C2">
        <w:trPr>
          <w:trHeight w:val="217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7050" w14:textId="5CB6F000" w:rsidR="00A1201E" w:rsidRPr="00E31E68" w:rsidRDefault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FF87" w14:textId="2B95D50E" w:rsidR="00A1201E" w:rsidRPr="00585445" w:rsidRDefault="00A1201E">
            <w:pPr>
              <w:rPr>
                <w:color w:val="E00047"/>
                <w:sz w:val="20"/>
                <w:szCs w:val="20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ETHICS</w:t>
            </w:r>
          </w:p>
        </w:tc>
      </w:tr>
      <w:tr w:rsidR="00585445" w14:paraId="274CF96B" w14:textId="77777777" w:rsidTr="00A1201E">
        <w:trPr>
          <w:trHeight w:val="244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A31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C3C1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Initial application and approval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9144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at least the following items:</w:t>
            </w:r>
          </w:p>
          <w:p w14:paraId="166FA27D" w14:textId="77777777" w:rsidR="00585445" w:rsidRPr="00E31E68" w:rsidRDefault="00585445" w:rsidP="005F5A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Ethics application form</w:t>
            </w:r>
          </w:p>
          <w:p w14:paraId="53B96582" w14:textId="2A218769" w:rsidR="00585445" w:rsidRPr="00E31E68" w:rsidRDefault="00585445" w:rsidP="005F5A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All supporting documents submitted to the ethics committee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 xml:space="preserve"> (e.g. Patient Information Sheets &amp; Informed Consent Forms etc.)</w:t>
            </w:r>
          </w:p>
          <w:p w14:paraId="5CB5AD7D" w14:textId="77777777" w:rsidR="00585445" w:rsidRPr="00E31E68" w:rsidRDefault="00585445" w:rsidP="005F5A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Cover letter (where required)</w:t>
            </w:r>
          </w:p>
          <w:p w14:paraId="7839303A" w14:textId="5FD655F9" w:rsidR="00A1201E" w:rsidRPr="00E31E68" w:rsidRDefault="00A1201E" w:rsidP="00A1201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Approval letter(s)</w:t>
            </w:r>
          </w:p>
          <w:p w14:paraId="40CD83FB" w14:textId="77777777" w:rsidR="00585445" w:rsidRPr="00E31E68" w:rsidRDefault="00585445" w:rsidP="005F5A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Any queries returned by ethics prior to approval and the study team’s response</w:t>
            </w:r>
          </w:p>
        </w:tc>
      </w:tr>
      <w:tr w:rsidR="00585445" w14:paraId="0422CBC3" w14:textId="77777777" w:rsidTr="00A1201E">
        <w:trPr>
          <w:trHeight w:val="245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516A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3DA7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Amendments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76" w14:textId="77777777" w:rsidR="005F7EC5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 sub-section should be created in this folder for each submitted amendment. </w:t>
            </w:r>
          </w:p>
          <w:p w14:paraId="199B09F6" w14:textId="7A2AA92B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Each sub-folder should contain at the least the following items:</w:t>
            </w:r>
          </w:p>
          <w:p w14:paraId="6BD9D11F" w14:textId="5C4B537F" w:rsidR="00585445" w:rsidRPr="00E31E68" w:rsidRDefault="00A1201E" w:rsidP="005F5A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Amendment notification</w:t>
            </w:r>
          </w:p>
          <w:p w14:paraId="1E38794A" w14:textId="31DC1796" w:rsidR="00585445" w:rsidRPr="00E31E68" w:rsidRDefault="00585445" w:rsidP="005F5A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 xml:space="preserve">All supporting documents associated with the amendment 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(e.g. revised Patient Information Sheets &amp; Informed Consent Forms etc.)</w:t>
            </w:r>
          </w:p>
          <w:p w14:paraId="7791DC6D" w14:textId="77777777" w:rsidR="00585445" w:rsidRPr="00E31E68" w:rsidRDefault="00585445" w:rsidP="005F5A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Cover letter (where required)</w:t>
            </w:r>
          </w:p>
          <w:p w14:paraId="120926D1" w14:textId="375E64EB" w:rsidR="00585445" w:rsidRPr="00A1201E" w:rsidRDefault="00585445" w:rsidP="00A1201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Approval letter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(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s</w:t>
            </w:r>
            <w:r w:rsidR="00A1201E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  <w:lang w:val="en-GB"/>
              </w:rPr>
              <w:t>)</w:t>
            </w:r>
          </w:p>
        </w:tc>
      </w:tr>
      <w:tr w:rsidR="00585445" w14:paraId="281B8727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FB54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2E6" w14:textId="13353C86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Annual Progress Reports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5F7EC5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DFEE" w14:textId="532326D7" w:rsidR="00585445" w:rsidRPr="00E31E68" w:rsidRDefault="00A1201E" w:rsidP="00220930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Some committees require an annual </w:t>
            </w:r>
            <w:r w:rsidR="003D6A1B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progress 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report: Use t</w:t>
            </w:r>
            <w:r w:rsidR="00585445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his section 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to store e</w:t>
            </w:r>
            <w:r w:rsidR="00585445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ach report</w:t>
            </w:r>
            <w:r w:rsidR="00220930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 w:rsidR="00585445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submitted to the ethics committee</w:t>
            </w:r>
            <w:r w:rsidR="00220930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,</w:t>
            </w:r>
            <w:r w:rsidR="00585445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 w:rsidR="00A05F4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</w:t>
            </w:r>
            <w:r w:rsidR="00585445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any queries from the committee.</w:t>
            </w:r>
          </w:p>
        </w:tc>
      </w:tr>
      <w:tr w:rsidR="00A1201E" w14:paraId="2D1C10D3" w14:textId="77777777" w:rsidTr="00A1201E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A6E7" w14:textId="77777777" w:rsidR="00A1201E" w:rsidRPr="00E31E68" w:rsidRDefault="00A1201E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67B3" w14:textId="6319A58C" w:rsidR="00A1201E" w:rsidRPr="00E31E68" w:rsidRDefault="00A1201E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SPONSOR </w:t>
            </w:r>
          </w:p>
        </w:tc>
      </w:tr>
      <w:tr w:rsidR="00585445" w14:paraId="0D8F0842" w14:textId="77777777" w:rsidTr="00A1201E">
        <w:trPr>
          <w:trHeight w:val="693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E3D7B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4E7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Agreement with Sponsor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AFE1" w14:textId="3AFA6782" w:rsidR="00585445" w:rsidRPr="00E31E68" w:rsidRDefault="00585445" w:rsidP="00A05F44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The final signed agreement should be saved here </w:t>
            </w:r>
            <w:r w:rsidR="00A05F4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any amendments and the correspond</w:t>
            </w:r>
            <w:r w:rsidR="003D6A1B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ence relating to the agreement.</w:t>
            </w:r>
          </w:p>
        </w:tc>
      </w:tr>
      <w:tr w:rsidR="00585445" w14:paraId="3CEAB60C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845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2E69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Sponsorship confirmation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25D9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Any documentation relating to registration for sponsorship and confirmation documents should be filed in this section</w:t>
            </w:r>
          </w:p>
        </w:tc>
      </w:tr>
      <w:tr w:rsidR="00585445" w14:paraId="663655EC" w14:textId="77777777" w:rsidTr="000916D4">
        <w:trPr>
          <w:trHeight w:val="33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B764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2051" w14:textId="29D353A2" w:rsidR="00585445" w:rsidRPr="00E31E68" w:rsidRDefault="0015628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Chief</w:t>
            </w:r>
            <w:r w:rsidR="00585445"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Investigator</w:t>
            </w:r>
            <w:r w:rsidR="003D6A1B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  <w:r w:rsidR="003D6A1B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I)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7EE2" w14:textId="18932A9F" w:rsidR="00220930" w:rsidRDefault="00220930" w:rsidP="0015628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 CI will be responsible for all aspects of the study at theirs and other sites (if this is being conducted in many facilities).</w:t>
            </w:r>
          </w:p>
          <w:p w14:paraId="4BD2849D" w14:textId="710D26CD" w:rsidR="00585445" w:rsidRPr="00E31E68" w:rsidRDefault="00585445" w:rsidP="0015628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File a copy of the </w:t>
            </w:r>
            <w:r w:rsidR="0015628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C</w:t>
            </w:r>
            <w:r w:rsidR="003D6A1B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I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’s CV and GCP certificate.</w:t>
            </w:r>
          </w:p>
        </w:tc>
      </w:tr>
      <w:tr w:rsidR="0024006B" w14:paraId="503D6FD6" w14:textId="77777777" w:rsidTr="00FE6143">
        <w:trPr>
          <w:trHeight w:val="217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30B3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6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9016" w14:textId="0DCC492F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INSURANCE</w:t>
            </w:r>
          </w:p>
        </w:tc>
      </w:tr>
      <w:tr w:rsidR="00585445" w14:paraId="67C6E712" w14:textId="77777777" w:rsidTr="00A1201E">
        <w:trPr>
          <w:trHeight w:val="949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486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3ADC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Insurance policy documents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E089" w14:textId="7BCEE7ED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This section should contain copies of the relevant insurance documentation provided by the sponsor as well as any other additional insurance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that is required for the study.</w:t>
            </w:r>
          </w:p>
        </w:tc>
      </w:tr>
      <w:tr w:rsidR="0024006B" w14:paraId="686F17D5" w14:textId="77777777" w:rsidTr="007C5FE8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8EC1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7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F2EB" w14:textId="17D54B1C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FUNDING AND FINANCE</w:t>
            </w:r>
          </w:p>
        </w:tc>
      </w:tr>
      <w:tr w:rsidR="00585445" w14:paraId="7FC37EBD" w14:textId="77777777" w:rsidTr="00A1201E">
        <w:trPr>
          <w:trHeight w:val="45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26E4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AA81" w14:textId="36241F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Study budget</w:t>
            </w:r>
            <w:r w:rsidR="000916D4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5F7EC5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011D" w14:textId="37C8C4B8" w:rsidR="00585445" w:rsidRPr="00E31E68" w:rsidRDefault="00585445" w:rsidP="00A05F44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 copy of the study budget should be saved here </w:t>
            </w:r>
            <w:r w:rsidR="00A05F4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any related correspondence.</w:t>
            </w:r>
          </w:p>
        </w:tc>
      </w:tr>
      <w:tr w:rsidR="00585445" w14:paraId="7A313827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044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2B86" w14:textId="4B322C74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Grant application</w:t>
            </w:r>
            <w:r w:rsidR="000916D4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5F7EC5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7B75" w14:textId="6B487240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The </w:t>
            </w:r>
            <w:r w:rsidR="0032612B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s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tudy’s funding applications should be saved here with submission acknowledgements and any queri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es relating to the application.</w:t>
            </w:r>
          </w:p>
        </w:tc>
      </w:tr>
      <w:tr w:rsidR="00585445" w14:paraId="126462C7" w14:textId="77777777" w:rsidTr="00A1201E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2BB9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4647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Grant award letter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E51E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</w:p>
        </w:tc>
      </w:tr>
      <w:tr w:rsidR="00585445" w14:paraId="6F3E551E" w14:textId="77777777" w:rsidTr="00A1201E">
        <w:trPr>
          <w:trHeight w:val="693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2C9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d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241F" w14:textId="17D5EFA9" w:rsidR="00585445" w:rsidRPr="00E31E68" w:rsidRDefault="00585445" w:rsidP="005F7EC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Reports/ updates to funding bodies</w:t>
            </w:r>
            <w:r w:rsidR="000916D4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5F7EC5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AADA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copies of each report or informal update sent to funding bodies relating to the study.</w:t>
            </w:r>
          </w:p>
        </w:tc>
      </w:tr>
      <w:tr w:rsidR="0024006B" w:rsidRPr="005F7EC5" w14:paraId="0E11CF83" w14:textId="77777777" w:rsidTr="0024006B">
        <w:trPr>
          <w:trHeight w:val="497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5DB4" w14:textId="77777777" w:rsidR="0024006B" w:rsidRPr="005F7EC5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5F7EC5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D6A7" w14:textId="27130CAC" w:rsidR="0024006B" w:rsidRPr="005F7EC5" w:rsidRDefault="0024006B" w:rsidP="005F7EC5">
            <w:pPr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</w:pPr>
            <w:r w:rsidRPr="005F7EC5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COMMITTEES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[a</w:t>
            </w:r>
            <w:r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dd other committees as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</w:tr>
      <w:tr w:rsidR="00585445" w14:paraId="670EDD9B" w14:textId="77777777" w:rsidTr="000916D4">
        <w:trPr>
          <w:trHeight w:val="702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9E6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5F4E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Study Management Group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14B" w14:textId="4FDFA8E3" w:rsidR="00585445" w:rsidRPr="000916D4" w:rsidRDefault="000916D4" w:rsidP="00CA6BF9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0916D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documents related to study management</w:t>
            </w:r>
            <w:r w:rsidR="00CA6BF9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e.g.</w:t>
            </w:r>
            <w:r w:rsidRPr="000916D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signed charters, meeting agendas and meeting minutes.</w:t>
            </w:r>
          </w:p>
        </w:tc>
      </w:tr>
      <w:tr w:rsidR="0024006B" w14:paraId="21020BF6" w14:textId="77777777" w:rsidTr="00BA0109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6876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9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3333" w14:textId="06CC63EC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SITES</w:t>
            </w:r>
            <w:r w:rsidR="0015628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15628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156288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15628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</w:tr>
      <w:tr w:rsidR="00585445" w14:paraId="552D8AE9" w14:textId="77777777" w:rsidTr="00A1201E">
        <w:trPr>
          <w:trHeight w:val="949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AD70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900E" w14:textId="32B93F92" w:rsidR="00585445" w:rsidRPr="00E31E68" w:rsidRDefault="00585445" w:rsidP="0097459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List of sites/ investigators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5849" w14:textId="5EE89E1F" w:rsidR="00585445" w:rsidRPr="00E31E68" w:rsidRDefault="00156288" w:rsidP="0015628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If you are running this study across many facilities/sites, this section should</w:t>
            </w:r>
            <w:r w:rsidRPr="0015628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contain an up-to-date list of all sites participating in the study, including the name and contact details of the Principal Investigator (PI) and site status (i.e. open, in set-up, closed)</w:t>
            </w:r>
          </w:p>
        </w:tc>
      </w:tr>
      <w:tr w:rsidR="00585445" w14:paraId="047472C1" w14:textId="77777777" w:rsidTr="00A1201E">
        <w:trPr>
          <w:trHeight w:val="45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F4CB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FC05" w14:textId="4A35E132" w:rsidR="00585445" w:rsidRPr="00E31E68" w:rsidRDefault="00585445" w:rsidP="0097459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Site agreements</w:t>
            </w:r>
            <w:r w:rsidR="0015628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115A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Signed agreements and amendments between the sponsor and each site should be saved in this section</w:t>
            </w:r>
          </w:p>
        </w:tc>
      </w:tr>
      <w:tr w:rsidR="0024006B" w14:paraId="654374E4" w14:textId="77777777" w:rsidTr="00F42DF4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D6A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10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A7DB" w14:textId="36E3D09F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CENTRAL LABORATORIES</w:t>
            </w:r>
          </w:p>
        </w:tc>
      </w:tr>
      <w:tr w:rsidR="00585445" w14:paraId="7D874926" w14:textId="77777777" w:rsidTr="00A1201E">
        <w:trPr>
          <w:trHeight w:val="118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4417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0A7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List of central laboratories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6655" w14:textId="77777777" w:rsidR="00A90F3D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It is useful to keep an up-to-date list of all central laboratories participating in the study and their contact details.</w:t>
            </w:r>
          </w:p>
          <w:p w14:paraId="28631E1F" w14:textId="20F9ACCF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If more than one laboratory is involved, detail the role/ responsibility of each laboratory.</w:t>
            </w:r>
          </w:p>
        </w:tc>
      </w:tr>
      <w:tr w:rsidR="00585445" w14:paraId="7BB7EC2D" w14:textId="77777777" w:rsidTr="00A1201E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385B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D726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Lab accreditation documents 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8959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Accreditation documents for all laboratories participating in the study should be saved here. </w:t>
            </w:r>
          </w:p>
        </w:tc>
      </w:tr>
      <w:tr w:rsidR="00585445" w14:paraId="41D00B1F" w14:textId="77777777" w:rsidTr="00A1201E">
        <w:trPr>
          <w:trHeight w:val="45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7A2D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E5B0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Laboratory contracts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8CDF" w14:textId="07A38B11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should contain all signed laboratory contracts</w:t>
            </w:r>
            <w:r w:rsidR="0032612B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.</w:t>
            </w:r>
          </w:p>
        </w:tc>
      </w:tr>
      <w:tr w:rsidR="00585445" w14:paraId="0E82DDAB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825F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d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55C0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Laboratory manual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50E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All applicable manuals relating to sample management at site and at the central laboratory level should be saved here. </w:t>
            </w:r>
          </w:p>
        </w:tc>
      </w:tr>
      <w:tr w:rsidR="00585445" w14:paraId="26350C28" w14:textId="77777777" w:rsidTr="00A1201E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ABF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e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7B0BF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Sample documentation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4197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Templates for sites to log samples taken and shipped are useful tools to create to record sample activity. </w:t>
            </w:r>
          </w:p>
        </w:tc>
      </w:tr>
      <w:tr w:rsidR="00585445" w14:paraId="30B3B632" w14:textId="77777777" w:rsidTr="00A90F3D">
        <w:trPr>
          <w:trHeight w:val="968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2D40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f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DE7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Sample tracker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82D9" w14:textId="73BEB2DD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 sponsor sample tracker is also useful to track sample shipments, their receipt at the lab, their analysis and when results are returned to sites (where applicable) or ente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red on the data capture system.</w:t>
            </w:r>
          </w:p>
        </w:tc>
      </w:tr>
      <w:tr w:rsidR="0024006B" w14:paraId="67B8EEB4" w14:textId="77777777" w:rsidTr="005F2934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5D46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11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70BF" w14:textId="7B325F47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QUALITY CONTROL</w:t>
            </w:r>
          </w:p>
        </w:tc>
      </w:tr>
      <w:tr w:rsidR="00585445" w14:paraId="31B98B23" w14:textId="77777777" w:rsidTr="00A1201E">
        <w:trPr>
          <w:trHeight w:val="126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6CBF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BC44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Protocol deviation reports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7796" w14:textId="3C1CC323" w:rsidR="00585445" w:rsidRPr="00E31E68" w:rsidRDefault="00585445" w:rsidP="00A05F44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 template protocol deviation report should be created and sent to sites to ensure that deviations are reported to the sponsor in a consistent manner. All final versions of the protocol deviation reports associated with the study should be saved here</w:t>
            </w:r>
            <w:r w:rsidR="0032612B"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,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</w:t>
            </w:r>
            <w:r w:rsidR="00A05F4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ongoing reports that were incomplete at the time of submission and related correspondence. All incidents should be closed before archiving. A protocol deviation report log is also useful to track the status of deviations and monitor trends in incidents. </w:t>
            </w:r>
          </w:p>
        </w:tc>
      </w:tr>
      <w:tr w:rsidR="00585445" w14:paraId="7B6E696D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88CB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DBC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Internal audit reports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E4E8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This section should contain a log of all internal audits that have taken place on the study, in addition to audit reports and correspondence. </w:t>
            </w:r>
          </w:p>
        </w:tc>
      </w:tr>
    </w:tbl>
    <w:p w14:paraId="4ED1EECE" w14:textId="77777777" w:rsidR="00451F1C" w:rsidRDefault="00451F1C">
      <w: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460"/>
        <w:gridCol w:w="3673"/>
        <w:gridCol w:w="4934"/>
      </w:tblGrid>
      <w:tr w:rsidR="0024006B" w14:paraId="18A311AF" w14:textId="77777777" w:rsidTr="00390591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AEF6" w14:textId="0A7893FC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45AF" w14:textId="37CC4313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STUDY STAFF</w:t>
            </w:r>
          </w:p>
        </w:tc>
      </w:tr>
      <w:tr w:rsidR="00585445" w14:paraId="1A595CFE" w14:textId="77777777" w:rsidTr="00A1201E">
        <w:trPr>
          <w:trHeight w:val="140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288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FD70" w14:textId="5324299F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Delegation log</w:t>
            </w:r>
            <w:r w:rsidR="0097459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974598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6EFC" w14:textId="1BB672BA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This is a log of all sponsor/ coordinating centre staff who are working on the study, including their roles, start date, end date and delegated tasks. This log should be updated each time a new member of staff joins or leaves the study, or when their delegated tasks change. </w:t>
            </w:r>
          </w:p>
        </w:tc>
      </w:tr>
      <w:tr w:rsidR="00585445" w14:paraId="00198F73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C778" w14:textId="63721EBC" w:rsidR="00585445" w:rsidRPr="00E31E68" w:rsidRDefault="0097459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3CFA" w14:textId="68952B85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Training log 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974598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42B9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 training log should be kept and updated throughout the study to document the training undertaken by all study staff.</w:t>
            </w:r>
          </w:p>
        </w:tc>
      </w:tr>
      <w:tr w:rsidR="0024006B" w14:paraId="1A993DA3" w14:textId="77777777" w:rsidTr="00156288">
        <w:trPr>
          <w:trHeight w:val="35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D2E4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13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710A" w14:textId="65EFD09D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RISK ASSESSMENTS AND MONITORING</w:t>
            </w:r>
          </w:p>
        </w:tc>
      </w:tr>
      <w:tr w:rsidR="00585445" w14:paraId="57012661" w14:textId="77777777" w:rsidTr="00A1201E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681E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E87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Risk assessment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0575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This section should contain the final version of the study risk assessment (preferably signed by the CI). </w:t>
            </w:r>
          </w:p>
        </w:tc>
      </w:tr>
      <w:tr w:rsidR="00585445" w14:paraId="004616B6" w14:textId="77777777" w:rsidTr="00A1201E">
        <w:trPr>
          <w:trHeight w:val="71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3F0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45E3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Monitoring plan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C93E" w14:textId="31F9EE7E" w:rsidR="00585445" w:rsidRPr="00E31E68" w:rsidRDefault="00585445" w:rsidP="00A05F44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The final monitoring plan should be filed </w:t>
            </w:r>
            <w:r w:rsidR="00A05F44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</w:t>
            </w: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updated versions, drafts, superseded documents and any related correspondence. </w:t>
            </w:r>
          </w:p>
        </w:tc>
      </w:tr>
      <w:tr w:rsidR="00585445" w14:paraId="3616EAEA" w14:textId="77777777" w:rsidTr="00A1201E">
        <w:trPr>
          <w:trHeight w:val="2135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E6A9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c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B11F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Monitoring templates and tracking log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65E50" w14:textId="77777777" w:rsidR="00265A43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Templates for documenting monitoring activities should be created for the study team to use each time an activity is undertaken. </w:t>
            </w:r>
          </w:p>
          <w:p w14:paraId="4F7E2D08" w14:textId="659CA517" w:rsidR="00265A43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The templates included in this section will be guided by the requirements of the monitoring plan.</w:t>
            </w:r>
          </w:p>
          <w:p w14:paraId="6649BE50" w14:textId="374610A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A tracking log is a useful way of keeping track of the status of all past and future monitoring activities and should be an accurate and up-to-date record of the activities undertaken throughout the study. </w:t>
            </w:r>
          </w:p>
        </w:tc>
      </w:tr>
      <w:tr w:rsidR="0024006B" w14:paraId="0BBCEA4B" w14:textId="77777777" w:rsidTr="001500D3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E368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14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9A08" w14:textId="1450AD15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DATA MANAGEMENT</w:t>
            </w:r>
            <w:r w:rsidR="0097459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 </w:t>
            </w:r>
            <w:r w:rsidR="00974598"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ANALYSIS AND OUTPUT</w:t>
            </w:r>
          </w:p>
        </w:tc>
      </w:tr>
      <w:tr w:rsidR="00585445" w14:paraId="4DF975E5" w14:textId="77777777" w:rsidTr="00A1201E">
        <w:trPr>
          <w:trHeight w:val="693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A5D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A7B0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Data protection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8F4A" w14:textId="77777777" w:rsidR="00265A43" w:rsidRDefault="0097459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File all relevant documentation relating to your institutional data protection requirements.</w:t>
            </w:r>
          </w:p>
          <w:p w14:paraId="1EEEE5FA" w14:textId="46F0A90E" w:rsidR="00585445" w:rsidRPr="00E31E68" w:rsidRDefault="00974598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If your study has sites in Europe also file a copy of the GDPR and transparency statement here</w:t>
            </w:r>
          </w:p>
        </w:tc>
      </w:tr>
      <w:tr w:rsidR="00585445" w14:paraId="3A6F216D" w14:textId="77777777" w:rsidTr="00A1201E">
        <w:trPr>
          <w:trHeight w:val="1167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4FA6" w14:textId="512A9ABB" w:rsidR="00585445" w:rsidRPr="00E31E68" w:rsidRDefault="0097459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75C2" w14:textId="68F508E3" w:rsidR="00585445" w:rsidRPr="00E31E68" w:rsidRDefault="00974598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Analysis and output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873F" w14:textId="264FF89B" w:rsidR="00585445" w:rsidRPr="00E31E68" w:rsidRDefault="00974598" w:rsidP="00D1752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This section should contain the contact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 details and CV of anyone analys</w:t>
            </w:r>
            <w:r w:rsidRP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ing the study data. Contracts between the any collaborating organisations should also be held here. The final analysis plan should also be saved </w:t>
            </w:r>
            <w:r w:rsidR="00D17525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with any previous versions marked as superseded</w:t>
            </w:r>
            <w: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.</w:t>
            </w:r>
          </w:p>
        </w:tc>
      </w:tr>
      <w:tr w:rsidR="0024006B" w14:paraId="04C40F86" w14:textId="77777777" w:rsidTr="000927F4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7D81" w14:textId="5AFA9CE6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16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1F56" w14:textId="7B12C422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PUBLICATIONS </w:t>
            </w:r>
          </w:p>
        </w:tc>
      </w:tr>
      <w:tr w:rsidR="00585445" w14:paraId="3A28701A" w14:textId="77777777" w:rsidTr="00A1201E">
        <w:trPr>
          <w:trHeight w:val="693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284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DFCA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Final study report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4AFD" w14:textId="3A3E63B0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The final published study report should be saved here. A sub-folder should be created containing dr</w:t>
            </w:r>
            <w:r w:rsidR="0097459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>afts and author correspondence.</w:t>
            </w:r>
          </w:p>
        </w:tc>
      </w:tr>
      <w:tr w:rsidR="00585445" w14:paraId="04598440" w14:textId="77777777" w:rsidTr="00A1201E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6505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46E8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Other publications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6272C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  <w:t xml:space="preserve">Copies of any other published work generated by the study team should be held here. </w:t>
            </w:r>
          </w:p>
        </w:tc>
      </w:tr>
      <w:tr w:rsidR="0024006B" w14:paraId="09652ACE" w14:textId="77777777" w:rsidTr="005547DB">
        <w:trPr>
          <w:trHeight w:val="474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46BD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17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614A" w14:textId="70CF85CA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 xml:space="preserve">ARCHIVING 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[if</w:t>
            </w:r>
            <w:r w:rsidR="005F7EC5" w:rsidRP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 xml:space="preserve"> require</w:t>
            </w:r>
            <w:r w:rsidR="005F7EC5">
              <w:rPr>
                <w:rFonts w:ascii="Calibri" w:eastAsia="Calibri" w:hAnsi="Calibri" w:cs="Times New Roman"/>
                <w:i/>
                <w:color w:val="4472C4" w:themeColor="accent1"/>
                <w:sz w:val="24"/>
                <w:szCs w:val="24"/>
                <w:u w:val="single"/>
              </w:rPr>
              <w:t>d]</w:t>
            </w:r>
          </w:p>
        </w:tc>
      </w:tr>
      <w:tr w:rsidR="00585445" w14:paraId="6A734257" w14:textId="77777777" w:rsidTr="00A1201E">
        <w:trPr>
          <w:trHeight w:val="217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C8ED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E664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Box lists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704E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</w:p>
        </w:tc>
      </w:tr>
      <w:tr w:rsidR="00585445" w14:paraId="4B6A9BA8" w14:textId="77777777" w:rsidTr="00A1201E">
        <w:trPr>
          <w:trHeight w:val="23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F3EC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b</w:t>
            </w:r>
          </w:p>
        </w:tc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894A" w14:textId="77777777" w:rsidR="00585445" w:rsidRPr="00E31E68" w:rsidRDefault="00585445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Archiving forms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AC94" w14:textId="77777777" w:rsidR="00585445" w:rsidRPr="00E31E68" w:rsidRDefault="00585445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</w:p>
        </w:tc>
        <w:bookmarkStart w:id="0" w:name="_GoBack"/>
        <w:bookmarkEnd w:id="0"/>
      </w:tr>
      <w:tr w:rsidR="0024006B" w14:paraId="25CB2AB1" w14:textId="77777777" w:rsidTr="001A5417">
        <w:trPr>
          <w:trHeight w:val="45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5977" w14:textId="77777777" w:rsidR="0024006B" w:rsidRPr="00E31E68" w:rsidRDefault="0024006B">
            <w:pPr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18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76B7" w14:textId="3847E9FA" w:rsidR="0024006B" w:rsidRPr="00E31E68" w:rsidRDefault="0024006B">
            <w:pPr>
              <w:rPr>
                <w:rFonts w:ascii="Calibri" w:eastAsia="Calibri" w:hAnsi="Calibri" w:cs="Times New Roman"/>
                <w:i/>
                <w:color w:val="4472C4" w:themeColor="accent1"/>
                <w:sz w:val="20"/>
                <w:szCs w:val="20"/>
                <w:u w:val="single"/>
              </w:rPr>
            </w:pPr>
            <w:r w:rsidRPr="00E31E68">
              <w:rPr>
                <w:rFonts w:ascii="Calibri Light" w:hAnsi="Calibri Light"/>
                <w:b/>
                <w:bCs/>
                <w:color w:val="E00047"/>
                <w:sz w:val="24"/>
                <w:szCs w:val="24"/>
                <w:lang w:val="en-US"/>
              </w:rPr>
              <w:t>GENERAL CORRESPONDENCE</w:t>
            </w:r>
          </w:p>
        </w:tc>
      </w:tr>
    </w:tbl>
    <w:p w14:paraId="0AC64465" w14:textId="0392845A" w:rsidR="00F144EA" w:rsidRDefault="00F144EA" w:rsidP="00D17525"/>
    <w:p w14:paraId="26EC27C5" w14:textId="1F692554" w:rsidR="00712F97" w:rsidRPr="00F144EA" w:rsidRDefault="00F144EA" w:rsidP="00F144EA">
      <w:pPr>
        <w:tabs>
          <w:tab w:val="left" w:pos="4995"/>
        </w:tabs>
      </w:pPr>
      <w:r>
        <w:tab/>
      </w:r>
    </w:p>
    <w:sectPr w:rsidR="00712F97" w:rsidRPr="00F144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F6E5B9" w16cid:durableId="2231BC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86B74" w14:textId="77777777" w:rsidR="005C0B31" w:rsidRDefault="005C0B31">
      <w:pPr>
        <w:spacing w:after="0" w:line="240" w:lineRule="auto"/>
      </w:pPr>
      <w:r>
        <w:separator/>
      </w:r>
    </w:p>
  </w:endnote>
  <w:endnote w:type="continuationSeparator" w:id="0">
    <w:p w14:paraId="47C8688F" w14:textId="77777777" w:rsidR="005C0B31" w:rsidRDefault="005C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5DD45" w14:textId="478C7609" w:rsidR="00294B5E" w:rsidRDefault="00294B5E" w:rsidP="00294B5E">
    <w:pPr>
      <w:pStyle w:val="Footer"/>
      <w:pBdr>
        <w:top w:val="single" w:sz="4" w:space="1" w:color="auto"/>
      </w:pBdr>
    </w:pPr>
    <w:r>
      <w:rPr>
        <w:color w:val="000000"/>
        <w:sz w:val="15"/>
        <w:szCs w:val="15"/>
      </w:rPr>
      <w:t>Study Master File Example Template, Version 1,</w:t>
    </w:r>
    <w:r w:rsidR="00F144EA">
      <w:rPr>
        <w:color w:val="000000"/>
        <w:sz w:val="15"/>
        <w:szCs w:val="15"/>
      </w:rPr>
      <w:t xml:space="preserve"> 4</w:t>
    </w:r>
    <w:r w:rsidRPr="00BB7A6E">
      <w:rPr>
        <w:color w:val="000000"/>
        <w:sz w:val="15"/>
        <w:szCs w:val="15"/>
        <w:vertAlign w:val="superscript"/>
      </w:rPr>
      <w:t>th</w:t>
    </w:r>
    <w:r>
      <w:rPr>
        <w:color w:val="000000"/>
        <w:sz w:val="15"/>
        <w:szCs w:val="15"/>
      </w:rPr>
      <w:t xml:space="preserve"> </w:t>
    </w:r>
    <w:r w:rsidR="00F144EA">
      <w:rPr>
        <w:color w:val="000000"/>
        <w:sz w:val="15"/>
        <w:szCs w:val="15"/>
      </w:rPr>
      <w:t>May</w:t>
    </w:r>
    <w:r>
      <w:rPr>
        <w:color w:val="000000"/>
        <w:sz w:val="15"/>
        <w:szCs w:val="15"/>
      </w:rPr>
      <w:t xml:space="preserve"> 2020 [Based on the WHO/ISARIC </w:t>
    </w:r>
    <w:r w:rsidRPr="00BB7A6E">
      <w:rPr>
        <w:color w:val="000000"/>
        <w:sz w:val="15"/>
        <w:szCs w:val="15"/>
      </w:rPr>
      <w:t xml:space="preserve">Clinical </w:t>
    </w:r>
    <w:r>
      <w:rPr>
        <w:color w:val="000000"/>
        <w:sz w:val="15"/>
        <w:szCs w:val="15"/>
      </w:rPr>
      <w:t>Characterisation Protocol (CCP), Version 3.1</w:t>
    </w:r>
    <w:r w:rsidR="00F144EA">
      <w:rPr>
        <w:color w:val="000000"/>
        <w:sz w:val="15"/>
        <w:szCs w:val="15"/>
      </w:rPr>
      <w:t>/3.2</w:t>
    </w:r>
    <w:r w:rsidR="00C81EFD">
      <w:rPr>
        <w:color w:val="000000"/>
        <w:sz w:val="15"/>
        <w:szCs w:val="15"/>
      </w:rPr>
      <w:t>; C</w:t>
    </w:r>
    <w:r w:rsidR="002479FD" w:rsidRPr="002479FD">
      <w:rPr>
        <w:color w:val="000000"/>
        <w:sz w:val="15"/>
        <w:szCs w:val="15"/>
      </w:rPr>
      <w:t>itation: Dunning, J. W., et al. (2014). "Open source clinical science for emerging infections</w:t>
    </w:r>
    <w:r w:rsidR="002479FD">
      <w:rPr>
        <w:color w:val="000000"/>
        <w:sz w:val="15"/>
        <w:szCs w:val="15"/>
      </w:rPr>
      <w:t>." Lancet Infect Dis 14(1): 8-9</w:t>
    </w:r>
    <w:r>
      <w:rPr>
        <w:color w:val="000000"/>
        <w:sz w:val="15"/>
        <w:szCs w:val="15"/>
      </w:rPr>
      <w:t>].</w:t>
    </w:r>
  </w:p>
  <w:p w14:paraId="36765411" w14:textId="77777777" w:rsidR="00294B5E" w:rsidRDefault="00294B5E" w:rsidP="00294B5E">
    <w:pPr>
      <w:pStyle w:val="Footer"/>
      <w:rPr>
        <w:color w:val="000000"/>
        <w:sz w:val="15"/>
        <w:szCs w:val="15"/>
      </w:rPr>
    </w:pPr>
  </w:p>
  <w:p w14:paraId="7EEDA3D4" w14:textId="7E1BF453" w:rsidR="00294B5E" w:rsidRDefault="00294B5E">
    <w:pPr>
      <w:pStyle w:val="Footer"/>
    </w:pPr>
    <w:r w:rsidRPr="00063768">
      <w:rPr>
        <w:color w:val="000000"/>
        <w:sz w:val="15"/>
        <w:szCs w:val="15"/>
      </w:rPr>
      <w:t>Licensed under a </w:t>
    </w:r>
    <w:hyperlink r:id="rId1" w:history="1">
      <w:r w:rsidRPr="00100858">
        <w:rPr>
          <w:rStyle w:val="Hyperlink"/>
          <w:sz w:val="16"/>
          <w:szCs w:val="16"/>
        </w:rPr>
        <w:t>Creative Commons Attribution-</w:t>
      </w:r>
      <w:proofErr w:type="spellStart"/>
      <w:r w:rsidRPr="00100858">
        <w:rPr>
          <w:rStyle w:val="Hyperlink"/>
          <w:sz w:val="16"/>
          <w:szCs w:val="16"/>
        </w:rPr>
        <w:t>ShareAlike</w:t>
      </w:r>
      <w:proofErr w:type="spellEnd"/>
      <w:r w:rsidRPr="00100858">
        <w:rPr>
          <w:rStyle w:val="Hyperlink"/>
          <w:sz w:val="16"/>
          <w:szCs w:val="16"/>
        </w:rPr>
        <w:t xml:space="preserve"> 4.0</w:t>
      </w:r>
    </w:hyperlink>
    <w:r w:rsidRPr="00100858">
      <w:rPr>
        <w:rStyle w:val="Hyperlink"/>
        <w:sz w:val="16"/>
        <w:szCs w:val="16"/>
      </w:rPr>
      <w:t xml:space="preserve"> </w:t>
    </w:r>
    <w:r w:rsidRPr="00100858">
      <w:rPr>
        <w:rStyle w:val="Hyperlink"/>
        <w:color w:val="000000" w:themeColor="text1"/>
        <w:sz w:val="16"/>
        <w:szCs w:val="16"/>
      </w:rPr>
      <w:t>International</w:t>
    </w:r>
    <w:r w:rsidRPr="00100858">
      <w:rPr>
        <w:color w:val="000000" w:themeColor="text1"/>
        <w:sz w:val="15"/>
        <w:szCs w:val="15"/>
      </w:rPr>
      <w:t xml:space="preserve"> </w:t>
    </w:r>
    <w:r w:rsidRPr="00063768">
      <w:rPr>
        <w:color w:val="000000"/>
        <w:sz w:val="15"/>
        <w:szCs w:val="15"/>
      </w:rPr>
      <w:t>by </w:t>
    </w:r>
    <w:hyperlink r:id="rId2" w:history="1">
      <w:r w:rsidRPr="00100858">
        <w:rPr>
          <w:rStyle w:val="Hyperlink"/>
          <w:sz w:val="16"/>
          <w:szCs w:val="16"/>
        </w:rPr>
        <w:t>ISARIC</w:t>
      </w:r>
    </w:hyperlink>
    <w:r w:rsidRPr="00100858">
      <w:rPr>
        <w:rStyle w:val="Hyperlink"/>
        <w:sz w:val="16"/>
        <w:szCs w:val="16"/>
      </w:rPr>
      <w:t> </w:t>
    </w:r>
    <w:r w:rsidRPr="00C81EFD">
      <w:rPr>
        <w:rStyle w:val="Hyperlink"/>
        <w:color w:val="000000" w:themeColor="text1"/>
        <w:sz w:val="16"/>
        <w:szCs w:val="16"/>
        <w:u w:val="none"/>
      </w:rPr>
      <w:t>on</w:t>
    </w:r>
    <w:r w:rsidRPr="00C81EFD">
      <w:rPr>
        <w:color w:val="000000" w:themeColor="text1"/>
        <w:sz w:val="15"/>
        <w:szCs w:val="15"/>
      </w:rPr>
      <w:t xml:space="preserve"> </w:t>
    </w:r>
    <w:r w:rsidRPr="00063768">
      <w:rPr>
        <w:color w:val="000000"/>
        <w:sz w:val="15"/>
        <w:szCs w:val="15"/>
      </w:rPr>
      <w:t>behalf of Oxford University.</w:t>
    </w:r>
    <w:r>
      <w:rPr>
        <w:color w:val="000000"/>
        <w:sz w:val="15"/>
        <w:szCs w:val="15"/>
      </w:rPr>
      <w:t xml:space="preserve"> Please credit us in any publication or dissemination of documents/training.</w:t>
    </w:r>
    <w:r>
      <w:rPr>
        <w:color w:val="000000"/>
        <w:sz w:val="15"/>
        <w:szCs w:val="15"/>
      </w:rPr>
      <w:tab/>
    </w:r>
    <w:r>
      <w:rPr>
        <w:color w:val="000000"/>
        <w:sz w:val="15"/>
        <w:szCs w:val="15"/>
      </w:rPr>
      <w:tab/>
    </w:r>
    <w:r w:rsidRPr="00F64509">
      <w:rPr>
        <w:color w:val="7F7F7F" w:themeColor="background1" w:themeShade="7F"/>
        <w:spacing w:val="60"/>
        <w:sz w:val="15"/>
        <w:szCs w:val="15"/>
      </w:rPr>
      <w:t>Page</w:t>
    </w:r>
    <w:r w:rsidRPr="00F64509">
      <w:rPr>
        <w:color w:val="000000"/>
        <w:sz w:val="15"/>
        <w:szCs w:val="15"/>
      </w:rPr>
      <w:t xml:space="preserve"> | </w:t>
    </w:r>
    <w:r w:rsidRPr="00F64509">
      <w:rPr>
        <w:color w:val="000000"/>
        <w:sz w:val="15"/>
        <w:szCs w:val="15"/>
      </w:rPr>
      <w:fldChar w:fldCharType="begin"/>
    </w:r>
    <w:r w:rsidRPr="00F64509">
      <w:rPr>
        <w:color w:val="000000"/>
        <w:sz w:val="15"/>
        <w:szCs w:val="15"/>
      </w:rPr>
      <w:instrText xml:space="preserve"> PAGE   \* MERGEFORMAT </w:instrText>
    </w:r>
    <w:r w:rsidRPr="00F64509">
      <w:rPr>
        <w:color w:val="000000"/>
        <w:sz w:val="15"/>
        <w:szCs w:val="15"/>
      </w:rPr>
      <w:fldChar w:fldCharType="separate"/>
    </w:r>
    <w:r w:rsidR="00F144EA" w:rsidRPr="00F144EA">
      <w:rPr>
        <w:b/>
        <w:bCs/>
        <w:noProof/>
        <w:color w:val="000000"/>
        <w:sz w:val="15"/>
        <w:szCs w:val="15"/>
      </w:rPr>
      <w:t>4</w:t>
    </w:r>
    <w:r w:rsidRPr="00F64509">
      <w:rPr>
        <w:b/>
        <w:bCs/>
        <w:noProof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3E5B9" w14:textId="77777777" w:rsidR="005C0B31" w:rsidRDefault="005C0B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50A5C0" w14:textId="77777777" w:rsidR="005C0B31" w:rsidRDefault="005C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51C23" w14:textId="77777777" w:rsidR="00D8296B" w:rsidRDefault="000D174A">
    <w:pPr>
      <w:spacing w:after="0" w:line="240" w:lineRule="auto"/>
    </w:pPr>
    <w:r>
      <w:rPr>
        <w:rFonts w:ascii="Roboto Condensed" w:eastAsia="Times New Roman" w:hAnsi="Roboto Condensed"/>
        <w:b/>
        <w:bCs/>
        <w:noProof/>
        <w:color w:val="E00047"/>
        <w:sz w:val="20"/>
        <w:szCs w:val="2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C122D" wp14:editId="4DF1F647">
              <wp:simplePos x="0" y="0"/>
              <wp:positionH relativeFrom="margin">
                <wp:posOffset>1524003</wp:posOffset>
              </wp:positionH>
              <wp:positionV relativeFrom="paragraph">
                <wp:posOffset>236216</wp:posOffset>
              </wp:positionV>
              <wp:extent cx="3161666" cy="449583"/>
              <wp:effectExtent l="0" t="0" r="634" b="7617"/>
              <wp:wrapSquare wrapText="bothSides"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1666" cy="44958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677DCFB7" w14:textId="77777777" w:rsidR="00D8296B" w:rsidRDefault="000D174A">
                          <w:pPr>
                            <w:spacing w:after="0" w:line="240" w:lineRule="auto"/>
                          </w:pPr>
                          <w:r>
                            <w:rPr>
                              <w:rFonts w:ascii="Roboto Condensed" w:eastAsia="Times New Roman" w:hAnsi="Roboto Condensed"/>
                              <w:b/>
                              <w:bCs/>
                              <w:color w:val="E00047"/>
                              <w:sz w:val="20"/>
                              <w:szCs w:val="20"/>
                              <w:lang w:eastAsia="en-GB"/>
                            </w:rPr>
                            <w:t>International Severe Acute Respiratory and</w:t>
                          </w:r>
                        </w:p>
                        <w:p w14:paraId="609689A7" w14:textId="77777777" w:rsidR="00D8296B" w:rsidRDefault="000D174A">
                          <w:pPr>
                            <w:spacing w:after="0" w:line="240" w:lineRule="auto"/>
                          </w:pPr>
                          <w:proofErr w:type="gramStart"/>
                          <w:r>
                            <w:rPr>
                              <w:rFonts w:ascii="Roboto Condensed" w:eastAsia="Times New Roman" w:hAnsi="Roboto Condensed"/>
                              <w:b/>
                              <w:bCs/>
                              <w:color w:val="E00047"/>
                              <w:sz w:val="20"/>
                              <w:szCs w:val="20"/>
                              <w:lang w:eastAsia="en-GB"/>
                            </w:rPr>
                            <w:t>emerging</w:t>
                          </w:r>
                          <w:proofErr w:type="gramEnd"/>
                          <w:r>
                            <w:rPr>
                              <w:rFonts w:ascii="Roboto Condensed" w:eastAsia="Times New Roman" w:hAnsi="Roboto Condensed"/>
                              <w:b/>
                              <w:bCs/>
                              <w:color w:val="E00047"/>
                              <w:sz w:val="20"/>
                              <w:szCs w:val="20"/>
                              <w:lang w:eastAsia="en-GB"/>
                            </w:rPr>
                            <w:t xml:space="preserve"> Infection Consortium </w:t>
                          </w:r>
                        </w:p>
                        <w:p w14:paraId="0A2BB445" w14:textId="77777777" w:rsidR="00D8296B" w:rsidRDefault="00F144EA"/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C12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0pt;margin-top:18.6pt;width:248.95pt;height:35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" stroked="f">
              <v:textbox>
                <w:txbxContent>
                  <w:p w14:paraId="677DCFB7" w14:textId="77777777" w:rsidR="00D8296B" w:rsidRDefault="000D174A">
                    <w:pPr>
                      <w:spacing w:after="0" w:line="240" w:lineRule="auto"/>
                    </w:pPr>
                    <w:r>
                      <w:rPr>
                        <w:rFonts w:ascii="Roboto Condensed" w:eastAsia="Times New Roman" w:hAnsi="Roboto Condensed"/>
                        <w:b/>
                        <w:bCs/>
                        <w:color w:val="E00047"/>
                        <w:sz w:val="20"/>
                        <w:szCs w:val="20"/>
                        <w:lang w:eastAsia="en-GB"/>
                      </w:rPr>
                      <w:t>International Severe Acute Respiratory and</w:t>
                    </w:r>
                  </w:p>
                  <w:p w14:paraId="609689A7" w14:textId="77777777" w:rsidR="00D8296B" w:rsidRDefault="000D174A">
                    <w:pPr>
                      <w:spacing w:after="0" w:line="240" w:lineRule="auto"/>
                    </w:pPr>
                    <w:proofErr w:type="gramStart"/>
                    <w:r>
                      <w:rPr>
                        <w:rFonts w:ascii="Roboto Condensed" w:eastAsia="Times New Roman" w:hAnsi="Roboto Condensed"/>
                        <w:b/>
                        <w:bCs/>
                        <w:color w:val="E00047"/>
                        <w:sz w:val="20"/>
                        <w:szCs w:val="20"/>
                        <w:lang w:eastAsia="en-GB"/>
                      </w:rPr>
                      <w:t>emerging</w:t>
                    </w:r>
                    <w:proofErr w:type="gramEnd"/>
                    <w:r>
                      <w:rPr>
                        <w:rFonts w:ascii="Roboto Condensed" w:eastAsia="Times New Roman" w:hAnsi="Roboto Condensed"/>
                        <w:b/>
                        <w:bCs/>
                        <w:color w:val="E00047"/>
                        <w:sz w:val="20"/>
                        <w:szCs w:val="20"/>
                        <w:lang w:eastAsia="en-GB"/>
                      </w:rPr>
                      <w:t xml:space="preserve"> Infection Consortium </w:t>
                    </w:r>
                  </w:p>
                  <w:p w14:paraId="0A2BB445" w14:textId="77777777" w:rsidR="00D8296B" w:rsidRDefault="00CB5CDC"/>
                </w:txbxContent>
              </v:textbox>
              <w10:wrap type="square" anchorx="margin"/>
            </v:shape>
          </w:pict>
        </mc:Fallback>
      </mc:AlternateContent>
    </w:r>
    <w:r>
      <w:rPr>
        <w:rFonts w:ascii="Roboto Condensed" w:eastAsia="Times New Roman" w:hAnsi="Roboto Condensed"/>
        <w:b/>
        <w:bCs/>
        <w:noProof/>
        <w:color w:val="E00047"/>
        <w:sz w:val="20"/>
        <w:szCs w:val="20"/>
        <w:lang w:eastAsia="en-GB"/>
      </w:rPr>
      <w:drawing>
        <wp:inline distT="0" distB="0" distL="0" distR="0" wp14:anchorId="5681E8E5" wp14:editId="50D070A2">
          <wp:extent cx="1382261" cy="599096"/>
          <wp:effectExtent l="0" t="0" r="0" b="0"/>
          <wp:docPr id="2" name="Picture 5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2261" cy="5990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Roboto Condensed" w:eastAsia="Times New Roman" w:hAnsi="Roboto Condensed"/>
        <w:b/>
        <w:bCs/>
        <w:color w:val="E00047"/>
        <w:sz w:val="20"/>
        <w:szCs w:val="20"/>
        <w:lang w:eastAsia="en-GB"/>
      </w:rPr>
      <w:t xml:space="preserve"> </w:t>
    </w:r>
  </w:p>
  <w:p w14:paraId="3475332C" w14:textId="77777777" w:rsidR="00D8296B" w:rsidRDefault="000D174A">
    <w:pPr>
      <w:pStyle w:val="Header"/>
    </w:pPr>
    <w:r>
      <w:t xml:space="preserve">                                                               </w:t>
    </w:r>
  </w:p>
  <w:p w14:paraId="15A63FBC" w14:textId="77777777" w:rsidR="00D8296B" w:rsidRDefault="00F14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F96"/>
    <w:multiLevelType w:val="hybridMultilevel"/>
    <w:tmpl w:val="48AAF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0B8"/>
    <w:multiLevelType w:val="hybridMultilevel"/>
    <w:tmpl w:val="A5589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B0633"/>
    <w:multiLevelType w:val="hybridMultilevel"/>
    <w:tmpl w:val="11DC6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C7B36"/>
    <w:multiLevelType w:val="hybridMultilevel"/>
    <w:tmpl w:val="33BAE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97"/>
    <w:rsid w:val="0007415F"/>
    <w:rsid w:val="000916D4"/>
    <w:rsid w:val="000949BC"/>
    <w:rsid w:val="000B0F02"/>
    <w:rsid w:val="000D174A"/>
    <w:rsid w:val="00156288"/>
    <w:rsid w:val="00202A65"/>
    <w:rsid w:val="00220930"/>
    <w:rsid w:val="0024006B"/>
    <w:rsid w:val="002479FD"/>
    <w:rsid w:val="00265A43"/>
    <w:rsid w:val="00294B5E"/>
    <w:rsid w:val="0032612B"/>
    <w:rsid w:val="003D6A1B"/>
    <w:rsid w:val="00451F1C"/>
    <w:rsid w:val="00585445"/>
    <w:rsid w:val="005957F8"/>
    <w:rsid w:val="005C0B31"/>
    <w:rsid w:val="005F7EC5"/>
    <w:rsid w:val="00712F97"/>
    <w:rsid w:val="00932D21"/>
    <w:rsid w:val="00974598"/>
    <w:rsid w:val="00A05F44"/>
    <w:rsid w:val="00A1201E"/>
    <w:rsid w:val="00A65EE7"/>
    <w:rsid w:val="00A90F3D"/>
    <w:rsid w:val="00C81EFD"/>
    <w:rsid w:val="00CA6BF9"/>
    <w:rsid w:val="00CB5CDC"/>
    <w:rsid w:val="00D17525"/>
    <w:rsid w:val="00E31E68"/>
    <w:rsid w:val="00F10D8F"/>
    <w:rsid w:val="00F144EA"/>
    <w:rsid w:val="00F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937799"/>
  <w15:docId w15:val="{D9924222-4A1A-4F4D-AC05-ADB61DC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ListParagraph">
    <w:name w:val="List Paragraph"/>
    <w:basedOn w:val="Normal"/>
    <w:uiPriority w:val="34"/>
    <w:qFormat/>
    <w:rsid w:val="00585445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585445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6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2B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294B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saric.tghn.org/" TargetMode="External"/><Relationship Id="rId1" Type="http://schemas.openxmlformats.org/officeDocument/2006/relationships/hyperlink" Target="http://creativecommons.org/licenses/by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Resende</dc:creator>
  <dc:description/>
  <cp:lastModifiedBy>Nina Jamieson</cp:lastModifiedBy>
  <cp:revision>27</cp:revision>
  <dcterms:created xsi:type="dcterms:W3CDTF">2020-04-03T13:51:00Z</dcterms:created>
  <dcterms:modified xsi:type="dcterms:W3CDTF">2020-05-05T08:34:00Z</dcterms:modified>
</cp:coreProperties>
</file>