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B9745" w14:textId="77777777" w:rsidR="009A4DD9" w:rsidRDefault="0035667E" w:rsidP="009A4DD9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Oméga-3 combien il faut manger?</w:t>
      </w:r>
    </w:p>
    <w:p w14:paraId="3F971340" w14:textId="77777777" w:rsidR="0035667E" w:rsidRDefault="0035667E" w:rsidP="009A4DD9">
      <w:pPr>
        <w:spacing w:line="360" w:lineRule="auto"/>
        <w:jc w:val="both"/>
        <w:rPr>
          <w:rFonts w:asciiTheme="majorHAnsi" w:hAnsiTheme="majorHAnsi" w:cstheme="majorHAnsi"/>
        </w:rPr>
      </w:pPr>
    </w:p>
    <w:p w14:paraId="36A2968E" w14:textId="170D69D4" w:rsidR="00C9591F" w:rsidRDefault="0035667E" w:rsidP="009A4DD9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vous étés convaincus que </w:t>
      </w:r>
      <w:proofErr w:type="gramStart"/>
      <w:r w:rsidR="00B87317">
        <w:rPr>
          <w:rFonts w:asciiTheme="majorHAnsi" w:hAnsiTheme="majorHAnsi" w:cstheme="majorHAnsi"/>
        </w:rPr>
        <w:t xml:space="preserve">les </w:t>
      </w:r>
      <w:r>
        <w:rPr>
          <w:rFonts w:asciiTheme="majorHAnsi" w:hAnsiTheme="majorHAnsi" w:cstheme="majorHAnsi"/>
        </w:rPr>
        <w:t>oméga-3</w:t>
      </w:r>
      <w:proofErr w:type="gramEnd"/>
      <w:r>
        <w:rPr>
          <w:rFonts w:asciiTheme="majorHAnsi" w:hAnsiTheme="majorHAnsi" w:cstheme="majorHAnsi"/>
        </w:rPr>
        <w:t xml:space="preserve"> </w:t>
      </w:r>
      <w:r w:rsidR="00B87317">
        <w:rPr>
          <w:rFonts w:asciiTheme="majorHAnsi" w:hAnsiTheme="majorHAnsi" w:cstheme="majorHAnsi"/>
        </w:rPr>
        <w:t>sont</w:t>
      </w:r>
      <w:r>
        <w:rPr>
          <w:rFonts w:asciiTheme="majorHAnsi" w:hAnsiTheme="majorHAnsi" w:cstheme="majorHAnsi"/>
        </w:rPr>
        <w:t xml:space="preserve"> une bonne chose et qu’il faut l’inclure dans votre diète,</w:t>
      </w:r>
      <w:r w:rsidR="00B87317">
        <w:rPr>
          <w:rFonts w:asciiTheme="majorHAnsi" w:hAnsiTheme="majorHAnsi" w:cstheme="majorHAnsi"/>
        </w:rPr>
        <w:t xml:space="preserve"> c’est presque sûr que vous êtes concernés par la quantité d’aliments riches en oméga qu’i</w:t>
      </w:r>
      <w:r>
        <w:rPr>
          <w:rFonts w:asciiTheme="majorHAnsi" w:hAnsiTheme="majorHAnsi" w:cstheme="majorHAnsi"/>
        </w:rPr>
        <w:t>l faut manger.</w:t>
      </w:r>
    </w:p>
    <w:p w14:paraId="16769D2E" w14:textId="77777777" w:rsidR="00C9591F" w:rsidRDefault="00C9591F" w:rsidP="009A4DD9">
      <w:pPr>
        <w:spacing w:line="360" w:lineRule="auto"/>
        <w:jc w:val="both"/>
        <w:rPr>
          <w:rFonts w:asciiTheme="majorHAnsi" w:hAnsiTheme="majorHAnsi" w:cstheme="majorHAnsi"/>
        </w:rPr>
      </w:pPr>
    </w:p>
    <w:p w14:paraId="61CB5E71" w14:textId="585CF3EA" w:rsidR="00F941A0" w:rsidRDefault="00154894" w:rsidP="009A4DD9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Selon Santé Canada, il est recommandé d’ingérer </w:t>
      </w:r>
      <w:r w:rsidR="00DE054A">
        <w:rPr>
          <w:rFonts w:asciiTheme="majorHAnsi" w:hAnsiTheme="majorHAnsi" w:cstheme="majorHAnsi"/>
        </w:rPr>
        <w:t>de</w:t>
      </w:r>
      <w:r w:rsidRPr="00C9046B">
        <w:rPr>
          <w:rFonts w:asciiTheme="majorHAnsi" w:hAnsiTheme="majorHAnsi" w:cstheme="majorHAnsi"/>
        </w:rPr>
        <w:t xml:space="preserve"> 1</w:t>
      </w:r>
      <w:r>
        <w:rPr>
          <w:rFonts w:asciiTheme="majorHAnsi" w:hAnsiTheme="majorHAnsi" w:cstheme="majorHAnsi"/>
        </w:rPr>
        <w:t>.</w:t>
      </w:r>
      <w:r w:rsidRPr="00C9046B">
        <w:rPr>
          <w:rFonts w:asciiTheme="majorHAnsi" w:hAnsiTheme="majorHAnsi" w:cstheme="majorHAnsi"/>
        </w:rPr>
        <w:t xml:space="preserve">3 à </w:t>
      </w:r>
      <w:r w:rsidR="00B87317">
        <w:rPr>
          <w:rFonts w:asciiTheme="majorHAnsi" w:hAnsiTheme="majorHAnsi" w:cstheme="majorHAnsi"/>
        </w:rPr>
        <w:t>2.7 </w:t>
      </w:r>
      <w:r w:rsidR="00DE054A">
        <w:rPr>
          <w:rFonts w:asciiTheme="majorHAnsi" w:hAnsiTheme="majorHAnsi" w:cstheme="majorHAnsi"/>
        </w:rPr>
        <w:t>g</w:t>
      </w:r>
      <w:r w:rsidR="00C9591F">
        <w:rPr>
          <w:rFonts w:asciiTheme="majorHAnsi" w:hAnsiTheme="majorHAnsi" w:cstheme="majorHAnsi"/>
        </w:rPr>
        <w:t xml:space="preserve"> </w:t>
      </w:r>
      <w:r w:rsidR="00931DD5">
        <w:rPr>
          <w:rFonts w:asciiTheme="majorHAnsi" w:hAnsiTheme="majorHAnsi" w:cstheme="majorHAnsi"/>
        </w:rPr>
        <w:t xml:space="preserve">d’acides gras oméga-3 </w:t>
      </w:r>
      <w:r w:rsidR="00C9591F">
        <w:rPr>
          <w:rFonts w:asciiTheme="majorHAnsi" w:hAnsiTheme="majorHAnsi" w:cstheme="majorHAnsi"/>
        </w:rPr>
        <w:t>par jour</w:t>
      </w:r>
      <w:r w:rsidRPr="00C9046B">
        <w:rPr>
          <w:rFonts w:asciiTheme="majorHAnsi" w:hAnsiTheme="majorHAnsi" w:cstheme="majorHAnsi"/>
        </w:rPr>
        <w:t>, sur la base d'un régime de 2 000 calories</w:t>
      </w:r>
      <w:r>
        <w:rPr>
          <w:rFonts w:asciiTheme="majorHAnsi" w:hAnsiTheme="majorHAnsi" w:cstheme="majorHAnsi"/>
        </w:rPr>
        <w:fldChar w:fldCharType="begin"/>
      </w:r>
      <w:r w:rsidR="009611CF">
        <w:rPr>
          <w:rFonts w:asciiTheme="majorHAnsi" w:hAnsiTheme="majorHAnsi" w:cstheme="majorHAnsi"/>
        </w:rPr>
        <w:instrText xml:space="preserve"> ADDIN EN.CITE &lt;EndNote&gt;&lt;Cite&gt;&lt;Author&gt;Fitzpatrick&lt;/Author&gt;&lt;Year&gt;2005&lt;/Year&gt;&lt;RecNum&gt;12&lt;/RecNum&gt;&lt;DisplayText&gt;[1]&lt;/DisplayText&gt;&lt;record&gt;&lt;rec-number&gt;12&lt;/rec-number&gt;&lt;foreign-keys&gt;&lt;key app="EN" db-id="fp9sz22e30szv2exwvlp2wee5rxfert0x9f9"&gt;12&lt;/key&gt;&lt;/foreign-keys&gt;&lt;ref-type name="Web Page"&gt;12&lt;/ref-type&gt;&lt;contributors&gt;&lt;authors&gt;&lt;author&gt;Fitzpatrick, K.C.&lt;/author&gt;&lt;/authors&gt;&lt;/contributors&gt;&lt;titles&gt;&lt;title&gt;Acides gras essentiels&lt;/title&gt;&lt;/titles&gt;&lt;number&gt;2013-09-23&lt;/number&gt;&lt;dates&gt;&lt;year&gt;2005&lt;/year&gt;&lt;/dates&gt;&lt;pub-location&gt;Winnipeg, Canada&lt;/pub-location&gt;&lt;publisher&gt;Santé Canada&lt;/publisher&gt;&lt;urls&gt;&lt;related-urls&gt;&lt;url&gt;http://www.hc-sc.gc.ca/dhp-mps/pubs/natur/efa_age-fra.php&lt;/url&gt;&lt;/related-urls&gt;&lt;/urls&gt;&lt;/record&gt;&lt;/Cite&gt;&lt;/EndNote&gt;</w:instrText>
      </w:r>
      <w:r>
        <w:rPr>
          <w:rFonts w:asciiTheme="majorHAnsi" w:hAnsiTheme="majorHAnsi" w:cstheme="majorHAnsi"/>
        </w:rPr>
        <w:fldChar w:fldCharType="separate"/>
      </w:r>
      <w:r w:rsidR="009611CF">
        <w:rPr>
          <w:rFonts w:asciiTheme="majorHAnsi" w:hAnsiTheme="majorHAnsi" w:cstheme="majorHAnsi"/>
          <w:noProof/>
        </w:rPr>
        <w:t>[</w:t>
      </w:r>
      <w:hyperlink w:anchor="_ENREF_1" w:tooltip="Fitzpatrick, 2005 #12" w:history="1">
        <w:r w:rsidR="001A4AA1">
          <w:rPr>
            <w:rFonts w:asciiTheme="majorHAnsi" w:hAnsiTheme="majorHAnsi" w:cstheme="majorHAnsi"/>
            <w:noProof/>
          </w:rPr>
          <w:t>1</w:t>
        </w:r>
      </w:hyperlink>
      <w:r w:rsidR="009611CF">
        <w:rPr>
          <w:rFonts w:asciiTheme="majorHAnsi" w:hAnsiTheme="majorHAnsi" w:cstheme="majorHAnsi"/>
          <w:noProof/>
        </w:rPr>
        <w:t>]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. </w:t>
      </w:r>
      <w:r w:rsidR="009611CF">
        <w:rPr>
          <w:rFonts w:asciiTheme="majorHAnsi" w:hAnsiTheme="majorHAnsi" w:cstheme="majorHAnsi"/>
        </w:rPr>
        <w:t>Cette quantité est équivalente à man</w:t>
      </w:r>
      <w:r w:rsidR="00DE054A">
        <w:rPr>
          <w:rFonts w:asciiTheme="majorHAnsi" w:hAnsiTheme="majorHAnsi" w:cstheme="majorHAnsi"/>
        </w:rPr>
        <w:t xml:space="preserve">ger entre 70 et </w:t>
      </w:r>
      <w:r w:rsidR="00B87317">
        <w:rPr>
          <w:rFonts w:asciiTheme="majorHAnsi" w:hAnsiTheme="majorHAnsi" w:cstheme="majorHAnsi"/>
        </w:rPr>
        <w:t>140 </w:t>
      </w:r>
      <w:r w:rsidR="00DE054A">
        <w:rPr>
          <w:rFonts w:asciiTheme="majorHAnsi" w:hAnsiTheme="majorHAnsi" w:cstheme="majorHAnsi"/>
        </w:rPr>
        <w:t xml:space="preserve">g de saumon par jour. </w:t>
      </w:r>
      <w:r w:rsidR="00B87317">
        <w:rPr>
          <w:rFonts w:asciiTheme="majorHAnsi" w:hAnsiTheme="majorHAnsi" w:cstheme="majorHAnsi"/>
        </w:rPr>
        <w:t xml:space="preserve">Ici nous proposons les </w:t>
      </w:r>
      <w:r w:rsidR="00E374C0">
        <w:rPr>
          <w:rFonts w:asciiTheme="majorHAnsi" w:hAnsiTheme="majorHAnsi" w:cstheme="majorHAnsi"/>
        </w:rPr>
        <w:t>poissons-salmonidés</w:t>
      </w:r>
      <w:r w:rsidR="00B87317">
        <w:rPr>
          <w:rFonts w:asciiTheme="majorHAnsi" w:hAnsiTheme="majorHAnsi" w:cstheme="majorHAnsi"/>
        </w:rPr>
        <w:t>, m</w:t>
      </w:r>
      <w:r w:rsidR="00DE054A">
        <w:rPr>
          <w:rFonts w:asciiTheme="majorHAnsi" w:hAnsiTheme="majorHAnsi" w:cstheme="majorHAnsi"/>
        </w:rPr>
        <w:t>ais ne vous inquiétez pas, vous n’aviez pas à manger que du saumon dans votre vie puisque d’autres aliments en contiennent</w:t>
      </w:r>
      <w:r w:rsidR="00B87317">
        <w:rPr>
          <w:rFonts w:asciiTheme="majorHAnsi" w:hAnsiTheme="majorHAnsi" w:cstheme="majorHAnsi"/>
        </w:rPr>
        <w:t xml:space="preserve"> d’oméga-3</w:t>
      </w:r>
      <w:r w:rsidR="00DE054A">
        <w:rPr>
          <w:rFonts w:asciiTheme="majorHAnsi" w:hAnsiTheme="majorHAnsi" w:cstheme="majorHAnsi"/>
        </w:rPr>
        <w:t xml:space="preserve">. On retrouve une quantité semblable </w:t>
      </w:r>
      <w:r w:rsidR="00F04BA3">
        <w:rPr>
          <w:rFonts w:asciiTheme="majorHAnsi" w:hAnsiTheme="majorHAnsi" w:cstheme="majorHAnsi"/>
        </w:rPr>
        <w:t xml:space="preserve">d’omégas </w:t>
      </w:r>
      <w:r w:rsidR="00DE054A">
        <w:rPr>
          <w:rFonts w:asciiTheme="majorHAnsi" w:hAnsiTheme="majorHAnsi" w:cstheme="majorHAnsi"/>
        </w:rPr>
        <w:t xml:space="preserve">dans </w:t>
      </w:r>
      <w:r w:rsidR="00B87317">
        <w:rPr>
          <w:rFonts w:asciiTheme="majorHAnsi" w:hAnsiTheme="majorHAnsi" w:cstheme="majorHAnsi"/>
        </w:rPr>
        <w:t>15-30 </w:t>
      </w:r>
      <w:proofErr w:type="spellStart"/>
      <w:r w:rsidR="00DE054A">
        <w:rPr>
          <w:rFonts w:asciiTheme="majorHAnsi" w:hAnsiTheme="majorHAnsi" w:cstheme="majorHAnsi"/>
        </w:rPr>
        <w:t>mL</w:t>
      </w:r>
      <w:proofErr w:type="spellEnd"/>
      <w:r w:rsidR="00DE054A">
        <w:rPr>
          <w:rFonts w:asciiTheme="majorHAnsi" w:hAnsiTheme="majorHAnsi" w:cstheme="majorHAnsi"/>
        </w:rPr>
        <w:t xml:space="preserve"> </w:t>
      </w:r>
      <w:r w:rsidR="00B87317">
        <w:rPr>
          <w:rFonts w:asciiTheme="majorHAnsi" w:hAnsiTheme="majorHAnsi" w:cstheme="majorHAnsi"/>
        </w:rPr>
        <w:t>d’</w:t>
      </w:r>
      <w:r w:rsidR="00DE054A">
        <w:rPr>
          <w:rFonts w:asciiTheme="majorHAnsi" w:hAnsiTheme="majorHAnsi" w:cstheme="majorHAnsi"/>
        </w:rPr>
        <w:t xml:space="preserve">huile de canola, </w:t>
      </w:r>
      <w:r w:rsidR="00B87317">
        <w:rPr>
          <w:rFonts w:asciiTheme="majorHAnsi" w:hAnsiTheme="majorHAnsi" w:cstheme="majorHAnsi"/>
        </w:rPr>
        <w:t>10-20 </w:t>
      </w:r>
      <w:r w:rsidR="00DE054A">
        <w:rPr>
          <w:rFonts w:asciiTheme="majorHAnsi" w:hAnsiTheme="majorHAnsi" w:cstheme="majorHAnsi"/>
        </w:rPr>
        <w:t>ml de grains de lin broyé, 5 à 10 noi</w:t>
      </w:r>
      <w:r w:rsidR="001A4AA1">
        <w:rPr>
          <w:rFonts w:asciiTheme="majorHAnsi" w:hAnsiTheme="majorHAnsi" w:cstheme="majorHAnsi"/>
        </w:rPr>
        <w:t xml:space="preserve">x, </w:t>
      </w:r>
      <w:r w:rsidR="00B87317">
        <w:rPr>
          <w:rFonts w:asciiTheme="majorHAnsi" w:hAnsiTheme="majorHAnsi" w:cstheme="majorHAnsi"/>
        </w:rPr>
        <w:t>90-180 </w:t>
      </w:r>
      <w:r w:rsidR="001A4AA1">
        <w:rPr>
          <w:rFonts w:asciiTheme="majorHAnsi" w:hAnsiTheme="majorHAnsi" w:cstheme="majorHAnsi"/>
        </w:rPr>
        <w:t xml:space="preserve">g de sardine, </w:t>
      </w:r>
      <w:r w:rsidR="00B87317">
        <w:rPr>
          <w:rFonts w:asciiTheme="majorHAnsi" w:hAnsiTheme="majorHAnsi" w:cstheme="majorHAnsi"/>
        </w:rPr>
        <w:t>120-240 </w:t>
      </w:r>
      <w:r w:rsidR="001A4AA1">
        <w:rPr>
          <w:rFonts w:asciiTheme="majorHAnsi" w:hAnsiTheme="majorHAnsi" w:cstheme="majorHAnsi"/>
        </w:rPr>
        <w:t>g de thon, 3</w:t>
      </w:r>
      <w:r w:rsidR="00B87317">
        <w:rPr>
          <w:rFonts w:asciiTheme="majorHAnsi" w:hAnsiTheme="majorHAnsi" w:cstheme="majorHAnsi"/>
        </w:rPr>
        <w:t>-</w:t>
      </w:r>
      <w:r w:rsidR="00F04BA3">
        <w:rPr>
          <w:rFonts w:asciiTheme="majorHAnsi" w:hAnsiTheme="majorHAnsi" w:cstheme="majorHAnsi"/>
        </w:rPr>
        <w:t>6</w:t>
      </w:r>
      <w:r w:rsidR="001A4AA1">
        <w:rPr>
          <w:rFonts w:asciiTheme="majorHAnsi" w:hAnsiTheme="majorHAnsi" w:cstheme="majorHAnsi"/>
        </w:rPr>
        <w:t xml:space="preserve"> œufs enrichis en oméga-3 </w:t>
      </w:r>
      <w:r w:rsidR="001A4AA1">
        <w:rPr>
          <w:rFonts w:asciiTheme="majorHAnsi" w:hAnsiTheme="majorHAnsi" w:cstheme="majorHAnsi"/>
        </w:rPr>
        <w:fldChar w:fldCharType="begin"/>
      </w:r>
      <w:r w:rsidR="001A4AA1">
        <w:rPr>
          <w:rFonts w:asciiTheme="majorHAnsi" w:hAnsiTheme="majorHAnsi" w:cstheme="majorHAnsi"/>
        </w:rPr>
        <w:instrText xml:space="preserve"> ADDIN EN.CITE &lt;EndNote&gt;&lt;Cite&gt;&lt;Author&gt;Duffour&lt;/Author&gt;&lt;Year&gt;2011&lt;/Year&gt;&lt;RecNum&gt;13&lt;/RecNum&gt;&lt;DisplayText&gt;[2]&lt;/DisplayText&gt;&lt;record&gt;&lt;rec-number&gt;13&lt;/rec-number&gt;&lt;foreign-keys&gt;&lt;key app="EN" db-id="fp9sz22e30szv2exwvlp2wee5rxfert0x9f9"&gt;13&lt;/key&gt;&lt;/foreign-keys&gt;&lt;ref-type name="Book"&gt;6&lt;/ref-type&gt;&lt;contributors&gt;&lt;authors&gt;&lt;author&gt;Duffour, A.&lt;/author&gt;&lt;author&gt;Garnier C.&lt;/author&gt;&lt;/authors&gt;&lt;/contributors&gt;&lt;titles&gt;&lt;title&gt;Mes petites recettes magiques qux oméga-3. &lt;/title&gt;&lt;/titles&gt;&lt;section&gt;19-24&lt;/section&gt;&lt;dates&gt;&lt;year&gt;2011&lt;/year&gt;&lt;/dates&gt;&lt;pub-location&gt;Canada&lt;/pub-location&gt;&lt;publisher&gt;Caractere&lt;/publisher&gt;&lt;isbn&gt;978-2-89642-276-0&lt;/isbn&gt;&lt;urls&gt;&lt;/urls&gt;&lt;/record&gt;&lt;/Cite&gt;&lt;/EndNote&gt;</w:instrText>
      </w:r>
      <w:r w:rsidR="001A4AA1">
        <w:rPr>
          <w:rFonts w:asciiTheme="majorHAnsi" w:hAnsiTheme="majorHAnsi" w:cstheme="majorHAnsi"/>
        </w:rPr>
        <w:fldChar w:fldCharType="separate"/>
      </w:r>
      <w:r w:rsidR="001A4AA1">
        <w:rPr>
          <w:rFonts w:asciiTheme="majorHAnsi" w:hAnsiTheme="majorHAnsi" w:cstheme="majorHAnsi"/>
          <w:noProof/>
        </w:rPr>
        <w:t>[</w:t>
      </w:r>
      <w:hyperlink w:anchor="_ENREF_2" w:tooltip="Duffour, 2011 #13" w:history="1">
        <w:r w:rsidR="001A4AA1">
          <w:rPr>
            <w:rFonts w:asciiTheme="majorHAnsi" w:hAnsiTheme="majorHAnsi" w:cstheme="majorHAnsi"/>
            <w:noProof/>
          </w:rPr>
          <w:t>2</w:t>
        </w:r>
      </w:hyperlink>
      <w:r w:rsidR="001A4AA1">
        <w:rPr>
          <w:rFonts w:asciiTheme="majorHAnsi" w:hAnsiTheme="majorHAnsi" w:cstheme="majorHAnsi"/>
          <w:noProof/>
        </w:rPr>
        <w:t>]</w:t>
      </w:r>
      <w:r w:rsidR="001A4AA1">
        <w:rPr>
          <w:rFonts w:asciiTheme="majorHAnsi" w:hAnsiTheme="majorHAnsi" w:cstheme="majorHAnsi"/>
        </w:rPr>
        <w:fldChar w:fldCharType="end"/>
      </w:r>
      <w:r w:rsidR="001A4AA1">
        <w:rPr>
          <w:rFonts w:asciiTheme="majorHAnsi" w:hAnsiTheme="majorHAnsi" w:cstheme="majorHAnsi"/>
        </w:rPr>
        <w:t>.</w:t>
      </w:r>
    </w:p>
    <w:p w14:paraId="2BFCB847" w14:textId="77777777" w:rsidR="00E02190" w:rsidRDefault="00E02190" w:rsidP="009A4DD9">
      <w:pPr>
        <w:spacing w:line="360" w:lineRule="auto"/>
        <w:jc w:val="both"/>
        <w:rPr>
          <w:rFonts w:asciiTheme="majorHAnsi" w:hAnsiTheme="majorHAnsi" w:cstheme="majorHAnsi"/>
        </w:rPr>
      </w:pPr>
    </w:p>
    <w:p w14:paraId="3994E4FA" w14:textId="39952214" w:rsidR="009A4DD9" w:rsidRDefault="00E02190" w:rsidP="009A4DD9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Bon appétit!</w:t>
      </w:r>
      <w:bookmarkStart w:id="0" w:name="_GoBack"/>
      <w:bookmarkEnd w:id="0"/>
    </w:p>
    <w:p w14:paraId="20210DBC" w14:textId="77777777" w:rsidR="009A4DD9" w:rsidRDefault="009A4DD9"/>
    <w:p w14:paraId="2F18A0A4" w14:textId="77777777" w:rsidR="009A4DD9" w:rsidRDefault="009A4DD9"/>
    <w:p w14:paraId="22CFADAA" w14:textId="0D873957" w:rsidR="001A4AA1" w:rsidRPr="001A4AA1" w:rsidRDefault="009A4DD9" w:rsidP="001A4AA1">
      <w:pPr>
        <w:ind w:left="720" w:hanging="720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1A4AA1" w:rsidRPr="001A4AA1">
        <w:rPr>
          <w:rFonts w:ascii="Cambria" w:hAnsi="Cambria"/>
          <w:noProof/>
        </w:rPr>
        <w:t>1.</w:t>
      </w:r>
      <w:r w:rsidR="001A4AA1" w:rsidRPr="001A4AA1">
        <w:rPr>
          <w:rFonts w:ascii="Cambria" w:hAnsi="Cambria"/>
          <w:noProof/>
        </w:rPr>
        <w:tab/>
        <w:t xml:space="preserve">Fitzpatrick, K.C. </w:t>
      </w:r>
      <w:r w:rsidR="001A4AA1" w:rsidRPr="001A4AA1">
        <w:rPr>
          <w:rFonts w:ascii="Cambria" w:hAnsi="Cambria"/>
          <w:i/>
          <w:noProof/>
        </w:rPr>
        <w:t>Acides gras essentiels</w:t>
      </w:r>
      <w:r w:rsidR="001A4AA1" w:rsidRPr="001A4AA1">
        <w:rPr>
          <w:rFonts w:ascii="Cambria" w:hAnsi="Cambria"/>
          <w:noProof/>
        </w:rPr>
        <w:t xml:space="preserve">. 2005  2013-09-23]; Available from: </w:t>
      </w:r>
      <w:hyperlink r:id="rId5" w:history="1">
        <w:r w:rsidR="001A4AA1" w:rsidRPr="001A4AA1">
          <w:rPr>
            <w:rStyle w:val="Lienhypertexte"/>
            <w:noProof/>
          </w:rPr>
          <w:t>http://www.hc-sc.gc.ca/dhp-mps/pubs/natur/efa_age-fra.php</w:t>
        </w:r>
      </w:hyperlink>
      <w:r w:rsidR="001A4AA1" w:rsidRPr="001A4AA1">
        <w:rPr>
          <w:rFonts w:ascii="Cambria" w:hAnsi="Cambria"/>
          <w:noProof/>
        </w:rPr>
        <w:t>.</w:t>
      </w:r>
      <w:bookmarkEnd w:id="1"/>
    </w:p>
    <w:p w14:paraId="6288C27F" w14:textId="77777777" w:rsidR="001A4AA1" w:rsidRPr="001A4AA1" w:rsidRDefault="001A4AA1" w:rsidP="001A4AA1">
      <w:pPr>
        <w:ind w:left="720" w:hanging="720"/>
        <w:rPr>
          <w:rFonts w:ascii="Cambria" w:hAnsi="Cambria"/>
          <w:noProof/>
        </w:rPr>
      </w:pPr>
      <w:bookmarkStart w:id="2" w:name="_ENREF_2"/>
      <w:r w:rsidRPr="001A4AA1">
        <w:rPr>
          <w:rFonts w:ascii="Cambria" w:hAnsi="Cambria"/>
          <w:noProof/>
        </w:rPr>
        <w:t>2.</w:t>
      </w:r>
      <w:r w:rsidRPr="001A4AA1">
        <w:rPr>
          <w:rFonts w:ascii="Cambria" w:hAnsi="Cambria"/>
          <w:noProof/>
        </w:rPr>
        <w:tab/>
        <w:t xml:space="preserve">Duffour, A. and G. C., </w:t>
      </w:r>
      <w:r w:rsidRPr="001A4AA1">
        <w:rPr>
          <w:rFonts w:ascii="Cambria" w:hAnsi="Cambria"/>
          <w:i/>
          <w:noProof/>
        </w:rPr>
        <w:t xml:space="preserve">Mes petites recettes magiques qux oméga-3. </w:t>
      </w:r>
      <w:r w:rsidRPr="001A4AA1">
        <w:rPr>
          <w:rFonts w:ascii="Cambria" w:hAnsi="Cambria"/>
          <w:noProof/>
        </w:rPr>
        <w:t>2011, Canada: Caractere.</w:t>
      </w:r>
      <w:bookmarkEnd w:id="2"/>
    </w:p>
    <w:p w14:paraId="2DF06C34" w14:textId="14462867" w:rsidR="001A4AA1" w:rsidRDefault="001A4AA1" w:rsidP="001A4AA1">
      <w:pPr>
        <w:rPr>
          <w:rFonts w:ascii="Cambria" w:hAnsi="Cambria"/>
          <w:noProof/>
        </w:rPr>
      </w:pPr>
    </w:p>
    <w:p w14:paraId="2E0BB2A8" w14:textId="62428B8C" w:rsidR="00C9591F" w:rsidRDefault="009A4DD9">
      <w:r>
        <w:fldChar w:fldCharType="end"/>
      </w:r>
    </w:p>
    <w:p w14:paraId="0681CCC3" w14:textId="203EA3C9" w:rsidR="00EB3830" w:rsidRDefault="00EB3830"/>
    <w:sectPr w:rsidR="00EB3830" w:rsidSect="00042B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p9sz22e30szv2exwvlp2wee5rxfert0x9f9&quot;&gt;My EndNote Library&lt;record-ids&gt;&lt;item&gt;12&lt;/item&gt;&lt;item&gt;13&lt;/item&gt;&lt;/record-ids&gt;&lt;/item&gt;&lt;/Libraries&gt;"/>
  </w:docVars>
  <w:rsids>
    <w:rsidRoot w:val="009A4DD9"/>
    <w:rsid w:val="00042BEE"/>
    <w:rsid w:val="00123A43"/>
    <w:rsid w:val="00154894"/>
    <w:rsid w:val="001A4AA1"/>
    <w:rsid w:val="0035667E"/>
    <w:rsid w:val="004E4D27"/>
    <w:rsid w:val="005937FE"/>
    <w:rsid w:val="00921733"/>
    <w:rsid w:val="00931DD5"/>
    <w:rsid w:val="009611CF"/>
    <w:rsid w:val="009A4DD9"/>
    <w:rsid w:val="00B87317"/>
    <w:rsid w:val="00C9046B"/>
    <w:rsid w:val="00C9591F"/>
    <w:rsid w:val="00C9729E"/>
    <w:rsid w:val="00DE054A"/>
    <w:rsid w:val="00E02190"/>
    <w:rsid w:val="00E374C0"/>
    <w:rsid w:val="00EB3830"/>
    <w:rsid w:val="00F04BA3"/>
    <w:rsid w:val="00F9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D83D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4DD9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C9591F"/>
    <w:rPr>
      <w:color w:val="800080" w:themeColor="followedHyperlink"/>
      <w:u w:val="single"/>
    </w:rPr>
  </w:style>
  <w:style w:type="character" w:customStyle="1" w:styleId="cn-invisible">
    <w:name w:val="cn-invisible"/>
    <w:basedOn w:val="Policepardfaut"/>
    <w:rsid w:val="00C9591F"/>
  </w:style>
  <w:style w:type="paragraph" w:customStyle="1" w:styleId="cn-invisible1">
    <w:name w:val="cn-invisible1"/>
    <w:basedOn w:val="Normal"/>
    <w:rsid w:val="00C9591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9591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customStyle="1" w:styleId="float-left">
    <w:name w:val="float-left"/>
    <w:basedOn w:val="Normal"/>
    <w:rsid w:val="00C9591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4DD9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C9591F"/>
    <w:rPr>
      <w:color w:val="800080" w:themeColor="followedHyperlink"/>
      <w:u w:val="single"/>
    </w:rPr>
  </w:style>
  <w:style w:type="character" w:customStyle="1" w:styleId="cn-invisible">
    <w:name w:val="cn-invisible"/>
    <w:basedOn w:val="Policepardfaut"/>
    <w:rsid w:val="00C9591F"/>
  </w:style>
  <w:style w:type="paragraph" w:customStyle="1" w:styleId="cn-invisible1">
    <w:name w:val="cn-invisible1"/>
    <w:basedOn w:val="Normal"/>
    <w:rsid w:val="00C9591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9591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customStyle="1" w:styleId="float-left">
    <w:name w:val="float-left"/>
    <w:basedOn w:val="Normal"/>
    <w:rsid w:val="00C9591F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5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221">
          <w:marLeft w:val="0"/>
          <w:marRight w:val="150"/>
          <w:marTop w:val="0"/>
          <w:marBottom w:val="0"/>
          <w:divBdr>
            <w:top w:val="none" w:sz="0" w:space="0" w:color="auto"/>
            <w:left w:val="single" w:sz="2" w:space="0" w:color="CCCCCC"/>
            <w:bottom w:val="single" w:sz="6" w:space="0" w:color="CCCCCC"/>
            <w:right w:val="single" w:sz="2" w:space="0" w:color="CCCCCC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c-sc.gc.ca/dhp-mps/pubs/natur/efa_age-fra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408</Words>
  <Characters>2250</Characters>
  <Application>Microsoft Macintosh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Guerrero Palacios</dc:creator>
  <cp:keywords/>
  <dc:description/>
  <cp:lastModifiedBy>Marco Polo Guerrero Palacios</cp:lastModifiedBy>
  <cp:revision>14</cp:revision>
  <cp:lastPrinted>2013-09-24T00:21:00Z</cp:lastPrinted>
  <dcterms:created xsi:type="dcterms:W3CDTF">2013-09-22T12:57:00Z</dcterms:created>
  <dcterms:modified xsi:type="dcterms:W3CDTF">2013-09-24T00:24:00Z</dcterms:modified>
</cp:coreProperties>
</file>