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9A66B" w14:textId="77777777" w:rsidR="002D5E5C" w:rsidRDefault="002D5E5C" w:rsidP="002D5E5C">
      <w:pPr>
        <w:pStyle w:val="Titre1"/>
      </w:pPr>
      <w:r w:rsidRPr="000B015C">
        <w:t>À quoi ressemble</w:t>
      </w:r>
      <w:r w:rsidR="0062236E">
        <w:t xml:space="preserve">nt les </w:t>
      </w:r>
      <w:r w:rsidRPr="000B015C">
        <w:t>oméga</w:t>
      </w:r>
    </w:p>
    <w:p w14:paraId="3D923F9F" w14:textId="77777777" w:rsidR="002D5E5C" w:rsidRPr="00CC306B" w:rsidRDefault="002D5E5C" w:rsidP="002D5E5C"/>
    <w:p w14:paraId="2E9F8E0E" w14:textId="23CF4B9B" w:rsidR="002D5E5C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visualiser à quoi ressemblent chimiquement les omégas, imaginez un train. Chaque voiture du train pouvant être </w:t>
      </w:r>
      <w:r w:rsidR="00090B0A">
        <w:rPr>
          <w:rFonts w:asciiTheme="majorHAnsi" w:hAnsiTheme="majorHAnsi" w:cstheme="majorHAnsi"/>
        </w:rPr>
        <w:t>attaché</w:t>
      </w:r>
      <w:r>
        <w:rPr>
          <w:rFonts w:asciiTheme="majorHAnsi" w:hAnsiTheme="majorHAnsi" w:cstheme="majorHAnsi"/>
        </w:rPr>
        <w:t xml:space="preserve"> par une ou deux liaisons. </w:t>
      </w:r>
    </w:p>
    <w:p w14:paraId="3A197A04" w14:textId="6EB41112" w:rsidR="002D5E5C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le cas des omégas les voitures correspondent à un carbone et la locomotive à un groupe chimique appelé carboxyle. La longueur </w:t>
      </w:r>
      <w:r w:rsidR="00090B0A">
        <w:rPr>
          <w:rFonts w:asciiTheme="majorHAnsi" w:hAnsiTheme="majorHAnsi" w:cstheme="majorHAnsi"/>
        </w:rPr>
        <w:t>dépend</w:t>
      </w:r>
      <w:r>
        <w:rPr>
          <w:rFonts w:asciiTheme="majorHAnsi" w:hAnsiTheme="majorHAnsi" w:cstheme="majorHAnsi"/>
        </w:rPr>
        <w:t xml:space="preserve"> de combien d’éléments se retrouvent attachés ou en chaine. On retrouve normalement entre 12 et 22 carbones dans une chaine des lipides oméga</w:t>
      </w:r>
      <w:r w:rsidR="00B57688">
        <w:rPr>
          <w:rFonts w:asciiTheme="majorHAnsi" w:hAnsiTheme="majorHAnsi" w:cstheme="majorHAnsi"/>
        </w:rPr>
        <w:t xml:space="preserve"> </w:t>
      </w:r>
      <w:r w:rsidR="00B57688">
        <w:rPr>
          <w:rFonts w:asciiTheme="majorHAnsi" w:hAnsiTheme="majorHAnsi" w:cstheme="majorHAnsi"/>
        </w:rPr>
        <w:fldChar w:fldCharType="begin"/>
      </w:r>
      <w:r w:rsidR="00B57688">
        <w:rPr>
          <w:rFonts w:asciiTheme="majorHAnsi" w:hAnsiTheme="majorHAnsi" w:cstheme="majorHAnsi"/>
        </w:rPr>
        <w:instrText xml:space="preserve"> ADDIN EN.CITE &lt;EndNote&gt;&lt;Cite&gt;&lt;Author&gt;Nettleton&lt;/Author&gt;&lt;Year&gt;1995&lt;/Year&gt;&lt;RecNum&gt;3&lt;/RecNum&gt;&lt;DisplayText&gt;[1]&lt;/DisplayText&gt;&lt;record&gt;&lt;rec-number&gt;3&lt;/rec-number&gt;&lt;foreign-keys&gt;&lt;key app="EN" db-id="fp9sz22e30szv2exwvlp2wee5rxfert0x9f9"&gt;3&lt;/key&gt;&lt;/foreign-keys&gt;&lt;ref-type name="Edited Book"&gt;28&lt;/ref-type&gt;&lt;contributors&gt;&lt;authors&gt;&lt;author&gt;&lt;style face="normal" font="Helvetica" size="12"&gt;Nettleton, Joyce A.&lt;/style&gt;&lt;/author&gt;&lt;/authors&gt;&lt;/contributors&gt;&lt;titles&gt;&lt;title&gt;&lt;style face="normal" font="Helvetica" size="12"&gt;Omega-3 fatty acids and health&lt;/style&gt;&lt;/title&gt;&lt;/titles&gt;&lt;dates&gt;&lt;year&gt;&lt;style face="normal" font="Helvetica" size="12"&gt;1995&lt;/style&gt;&lt;/year&gt;&lt;/dates&gt;&lt;pub-location&gt;&lt;style face="normal" font="Helvetica" size="12"&gt;New York&lt;/style&gt;&lt;/pub-location&gt;&lt;publisher&gt;&lt;style face="normal" font="Helvetica" size="12"&gt;Chapman &amp;amp; Hall&lt;/style&gt;&lt;/publisher&gt;&lt;isbn&gt;&lt;style face="normal" font="Helvetica" size="12"&gt;0412988615 9780412988615&lt;/style&gt;&lt;/isbn&gt;&lt;urls&gt;&lt;/urls&gt;&lt;remote-database-name&gt;&lt;style face="normal" font="Helvetica" size="12"&gt;/z-wcorg/&lt;/style&gt;&lt;/remote-database-name&gt;&lt;remote-database-provider&gt;&lt;style face="normal" font="Helvetica" size="12"&gt;http://worldcat.org&lt;/style&gt;&lt;/remote-database-provider&gt;&lt;language&gt;&lt;style face="normal" font="Helvetica" size="12"&gt;English&lt;/style&gt;&lt;/language&gt;&lt;/record&gt;&lt;/Cite&gt;&lt;/EndNote&gt;</w:instrText>
      </w:r>
      <w:r w:rsidR="00B57688">
        <w:rPr>
          <w:rFonts w:asciiTheme="majorHAnsi" w:hAnsiTheme="majorHAnsi" w:cstheme="majorHAnsi"/>
        </w:rPr>
        <w:fldChar w:fldCharType="separate"/>
      </w:r>
      <w:r w:rsidR="00B57688">
        <w:rPr>
          <w:rFonts w:asciiTheme="majorHAnsi" w:hAnsiTheme="majorHAnsi" w:cstheme="majorHAnsi"/>
          <w:noProof/>
        </w:rPr>
        <w:t>[</w:t>
      </w:r>
      <w:hyperlink w:anchor="_ENREF_1" w:tooltip="Nettleton, 1995 #3" w:history="1">
        <w:r w:rsidR="002C4EB4">
          <w:rPr>
            <w:rFonts w:asciiTheme="majorHAnsi" w:hAnsiTheme="majorHAnsi" w:cstheme="majorHAnsi"/>
            <w:noProof/>
          </w:rPr>
          <w:t>1</w:t>
        </w:r>
      </w:hyperlink>
      <w:r w:rsidR="00B57688">
        <w:rPr>
          <w:rFonts w:asciiTheme="majorHAnsi" w:hAnsiTheme="majorHAnsi" w:cstheme="majorHAnsi"/>
          <w:noProof/>
        </w:rPr>
        <w:t>]</w:t>
      </w:r>
      <w:r w:rsidR="00B57688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. Les lipides oméga se caractérisent pour avoir trois liaisons doubles intercalées par une liaison simple</w:t>
      </w:r>
      <w:r w:rsidR="00B57688">
        <w:rPr>
          <w:rFonts w:asciiTheme="majorHAnsi" w:hAnsiTheme="majorHAnsi" w:cstheme="majorHAnsi"/>
        </w:rPr>
        <w:t xml:space="preserve"> </w:t>
      </w:r>
      <w:r w:rsidR="00E172FB">
        <w:rPr>
          <w:rFonts w:asciiTheme="majorHAnsi" w:hAnsiTheme="majorHAnsi" w:cstheme="majorHAnsi"/>
        </w:rPr>
        <w:fldChar w:fldCharType="begin"/>
      </w:r>
      <w:r w:rsidR="00B57688">
        <w:rPr>
          <w:rFonts w:asciiTheme="majorHAnsi" w:hAnsiTheme="majorHAnsi" w:cstheme="majorHAnsi"/>
        </w:rPr>
        <w:instrText xml:space="preserve"> ADDIN EN.CITE &lt;EndNote&gt;&lt;Cite&gt;&lt;Author&gt;Vaclavik&lt;/Author&gt;&lt;Year&gt;2008&lt;/Year&gt;&lt;RecNum&gt;2&lt;/RecNum&gt;&lt;DisplayText&gt;[2]&lt;/DisplayText&gt;&lt;record&gt;&lt;rec-number&gt;2&lt;/rec-number&gt;&lt;foreign-keys&gt;&lt;key app="EN" db-id="fp9sz22e30szv2exwvlp2wee5rxfert0x9f9"&gt;2&lt;/key&gt;&lt;/foreign-keys&gt;&lt;ref-type name="Electronic Book"&gt;44&lt;/ref-type&gt;&lt;contributors&gt;&lt;authors&gt;&lt;author&gt;&lt;style face="normal" font="Helvetica" size="12"&gt;Vaclavik, Vickie Christian Elizabeth W.&lt;/style&gt;&lt;/author&gt;&lt;/authors&gt;&lt;/contributors&gt;&lt;titles&gt;&lt;title&gt;&lt;style face="normal" font="Helvetica" size="12"&gt;Essentials of food science&lt;/style&gt;&lt;/title&gt;&lt;/titles&gt;&lt;dates&gt;&lt;year&gt;&lt;style face="normal" font="Helvetica" size="12"&gt;2008&lt;/style&gt;&lt;/year&gt;&lt;/dates&gt;&lt;pub-location&gt;&lt;style face="normal" font="Helvetica" size="12"&gt;New York, NY&lt;/style&gt;&lt;/pub-location&gt;&lt;publisher&gt;&lt;style face="normal" font="Helvetica" size="12"&gt;Springer&lt;/style&gt;&lt;/publisher&gt;&lt;isbn&gt;&lt;style face="normal" font="Helvetica" size="12"&gt;9780387699394 0387699392&lt;/style&gt;&lt;/isbn&gt;&lt;urls&gt;&lt;/urls&gt;&lt;remote-database-name&gt;&lt;style face="normal" font="Helvetica" size="12"&gt;/z-wcorg/&lt;/style&gt;&lt;/remote-database-name&gt;&lt;remote-database-provider&gt;&lt;style face="normal" font="Helvetica" size="12"&gt;http://worldcat.org&lt;/style&gt;&lt;/remote-database-provider&gt;&lt;language&gt;&lt;style face="normal" font="Helvetica" size="12"&gt;English&lt;/style&gt;&lt;/language&gt;&lt;/record&gt;&lt;/Cite&gt;&lt;/EndNote&gt;</w:instrText>
      </w:r>
      <w:r w:rsidR="00E172FB">
        <w:rPr>
          <w:rFonts w:asciiTheme="majorHAnsi" w:hAnsiTheme="majorHAnsi" w:cstheme="majorHAnsi"/>
        </w:rPr>
        <w:fldChar w:fldCharType="separate"/>
      </w:r>
      <w:r w:rsidR="00B57688">
        <w:rPr>
          <w:rFonts w:asciiTheme="majorHAnsi" w:hAnsiTheme="majorHAnsi" w:cstheme="majorHAnsi"/>
          <w:noProof/>
        </w:rPr>
        <w:t>[</w:t>
      </w:r>
      <w:hyperlink w:anchor="_ENREF_2" w:tooltip="Vaclavik, 2008 #2" w:history="1">
        <w:r w:rsidR="002C4EB4">
          <w:rPr>
            <w:rFonts w:asciiTheme="majorHAnsi" w:hAnsiTheme="majorHAnsi" w:cstheme="majorHAnsi"/>
            <w:noProof/>
          </w:rPr>
          <w:t>2</w:t>
        </w:r>
      </w:hyperlink>
      <w:r w:rsidR="00B57688">
        <w:rPr>
          <w:rFonts w:asciiTheme="majorHAnsi" w:hAnsiTheme="majorHAnsi" w:cstheme="majorHAnsi"/>
          <w:noProof/>
        </w:rPr>
        <w:t>]</w:t>
      </w:r>
      <w:r w:rsidR="00E172FB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.</w:t>
      </w:r>
    </w:p>
    <w:p w14:paraId="7E6AB780" w14:textId="77777777" w:rsidR="002D5E5C" w:rsidRDefault="002D5E5C" w:rsidP="002D5E5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résulte pratique de compter les chaines de carbone si on veut repérer les endroits où il y a deux liaisons. </w:t>
      </w:r>
    </w:p>
    <w:p w14:paraId="5F0EB7B6" w14:textId="3E03825F" w:rsidR="002D5E5C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le cas d’un </w:t>
      </w:r>
      <w:r w:rsidR="00090B0A">
        <w:rPr>
          <w:rFonts w:asciiTheme="majorHAnsi" w:hAnsiTheme="majorHAnsi" w:cstheme="majorHAnsi"/>
        </w:rPr>
        <w:t>train,</w:t>
      </w:r>
      <w:r>
        <w:rPr>
          <w:rFonts w:asciiTheme="majorHAnsi" w:hAnsiTheme="majorHAnsi" w:cstheme="majorHAnsi"/>
        </w:rPr>
        <w:t xml:space="preserve"> le premier compartiment est celui qui est attaché directement à la locomotive. Dans le cas des lipides (compris les oméga), le premier carbone est </w:t>
      </w:r>
      <w:r>
        <w:rPr>
          <w:rFonts w:ascii="Cambria" w:hAnsi="Cambria" w:cstheme="majorHAnsi"/>
        </w:rPr>
        <w:t xml:space="preserve">celui qui est attaché directement au groupe </w:t>
      </w:r>
      <w:r w:rsidR="00090B0A">
        <w:rPr>
          <w:rFonts w:ascii="Cambria" w:hAnsi="Cambria" w:cstheme="majorHAnsi"/>
        </w:rPr>
        <w:t>carboxyle</w:t>
      </w:r>
      <w:r>
        <w:rPr>
          <w:rFonts w:ascii="Cambria" w:hAnsi="Cambria" w:cstheme="majorHAnsi"/>
        </w:rPr>
        <w:t xml:space="preserve">. En chimie on nomme ce premier carbone alpha (symbole α), comme la première lettre de l’alphabet grecque et le </w:t>
      </w:r>
      <w:r w:rsidR="00090B0A">
        <w:rPr>
          <w:rFonts w:ascii="Cambria" w:hAnsi="Cambria" w:cstheme="majorHAnsi"/>
        </w:rPr>
        <w:t>dernier</w:t>
      </w:r>
      <w:r>
        <w:rPr>
          <w:rFonts w:ascii="Cambria" w:hAnsi="Cambria" w:cstheme="majorHAnsi"/>
        </w:rPr>
        <w:t xml:space="preserve"> carbone </w:t>
      </w:r>
      <w:r w:rsidR="00090B0A">
        <w:rPr>
          <w:rFonts w:ascii="Cambria" w:hAnsi="Cambria" w:cstheme="majorHAnsi"/>
        </w:rPr>
        <w:t>est</w:t>
      </w:r>
      <w:r>
        <w:rPr>
          <w:rFonts w:ascii="Cambria" w:hAnsi="Cambria" w:cstheme="majorHAnsi"/>
        </w:rPr>
        <w:t xml:space="preserve"> nommé oméga </w:t>
      </w:r>
      <w:r w:rsidRPr="00741157">
        <w:rPr>
          <w:rFonts w:asciiTheme="majorHAnsi" w:hAnsiTheme="majorHAnsi" w:cstheme="majorHAnsi"/>
        </w:rPr>
        <w:t>(</w:t>
      </w:r>
      <w:r w:rsidRPr="00741157">
        <w:rPr>
          <w:rFonts w:asciiTheme="majorHAnsi" w:hAnsiTheme="majorHAnsi" w:cs="Lucida Grande"/>
          <w:color w:val="000000"/>
        </w:rPr>
        <w:t>ω)</w:t>
      </w:r>
      <w:r w:rsidRPr="00741157">
        <w:rPr>
          <w:rFonts w:ascii="Lucida Grande" w:hAnsi="Lucida Grande" w:cs="Lucida Grande"/>
          <w:color w:val="000000"/>
        </w:rPr>
        <w:t>,</w:t>
      </w:r>
      <w:r>
        <w:rPr>
          <w:rFonts w:asciiTheme="majorHAnsi" w:hAnsiTheme="majorHAnsi" w:cstheme="majorHAnsi"/>
        </w:rPr>
        <w:t xml:space="preserve"> comme la dernière lettre de l’alphabet grecque </w:t>
      </w:r>
      <w:r>
        <w:rPr>
          <w:rFonts w:asciiTheme="majorHAnsi" w:hAnsiTheme="majorHAnsi" w:cstheme="majorHAnsi"/>
        </w:rPr>
        <w:fldChar w:fldCharType="begin"/>
      </w:r>
      <w:r w:rsidR="002C4EB4">
        <w:rPr>
          <w:rFonts w:asciiTheme="majorHAnsi" w:hAnsiTheme="majorHAnsi" w:cstheme="majorHAnsi"/>
        </w:rPr>
        <w:instrText xml:space="preserve"> ADDIN EN.CITE &lt;EndNote&gt;&lt;Cite&gt;&lt;Author&gt;Kelly&lt;/Author&gt;&lt;Year&gt;2007&lt;/Year&gt;&lt;RecNum&gt;1&lt;/RecNum&gt;&lt;DisplayText&gt;[3]&lt;/DisplayText&gt;&lt;record&gt;&lt;rec-number&gt;1&lt;/rec-number&gt;&lt;foreign-keys&gt;&lt;key app="EN" db-id="fp9sz22e30szv2exwvlp2wee5rxfert0x9f9"&gt;1&lt;/key&gt;&lt;/foreign-keys&gt;&lt;ref-type name="Book Section"&gt;5&lt;/ref-type&gt;&lt;contributors&gt;&lt;authors&gt;&lt;author&gt;Kelly, Lobb&lt;/author&gt;&lt;author&gt;Ching Kuang, Chow&lt;/author&gt;&lt;/authors&gt;&lt;/contributors&gt;&lt;titles&gt;&lt;title&gt;Fatty Acid Classification and Nomenclature&lt;/title&gt;&lt;secondary-title&gt;Fatty Acids in Foods and their Health Implications,Third Edition&lt;/secondary-title&gt;&lt;tertiary-title&gt;Food Science and Technology&lt;/tertiary-title&gt;&lt;/titles&gt;&lt;pages&gt;1-15&lt;/pages&gt;&lt;num-vols&gt;0&lt;/num-vols&gt;&lt;dates&gt;&lt;year&gt;2007&lt;/year&gt;&lt;/dates&gt;&lt;publisher&gt;CRC Press&lt;/publisher&gt;&lt;isbn&gt;978-0-8493-7261-2&lt;/isbn&gt;&lt;urls&gt;&lt;related-urls&gt;&lt;url&gt;http://dx.doi.org/10.1201/9781420006902.ch1&lt;/url&gt;&lt;/related-urls&gt;&lt;/urls&gt;&lt;electronic-resource-num&gt;doi:10.1201/9781420006902.ch1&amp;#xD;10.1201/9781420006902.ch1&lt;/electronic-resource-num&gt;&lt;access-date&gt;2013/09/21&lt;/access-date&gt;&lt;/record&gt;&lt;/Cite&gt;&lt;/EndNote&gt;</w:instrText>
      </w:r>
      <w:r>
        <w:rPr>
          <w:rFonts w:asciiTheme="majorHAnsi" w:hAnsiTheme="majorHAnsi" w:cstheme="majorHAnsi"/>
        </w:rPr>
        <w:fldChar w:fldCharType="separate"/>
      </w:r>
      <w:r w:rsidR="002C4EB4">
        <w:rPr>
          <w:rFonts w:asciiTheme="majorHAnsi" w:hAnsiTheme="majorHAnsi" w:cstheme="majorHAnsi"/>
          <w:noProof/>
        </w:rPr>
        <w:t>[</w:t>
      </w:r>
      <w:hyperlink w:anchor="_ENREF_3" w:tooltip="Kelly, 2007 #1" w:history="1">
        <w:r w:rsidR="002C4EB4">
          <w:rPr>
            <w:rFonts w:asciiTheme="majorHAnsi" w:hAnsiTheme="majorHAnsi" w:cstheme="majorHAnsi"/>
            <w:noProof/>
          </w:rPr>
          <w:t>3</w:t>
        </w:r>
      </w:hyperlink>
      <w:r w:rsidR="002C4EB4">
        <w:rPr>
          <w:rFonts w:asciiTheme="majorHAnsi" w:hAnsiTheme="majorHAnsi" w:cstheme="majorHAnsi"/>
          <w:noProof/>
        </w:rPr>
        <w:t>]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. </w:t>
      </w:r>
    </w:p>
    <w:p w14:paraId="52AAB807" w14:textId="77777777" w:rsidR="002D5E5C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fr-FR" w:eastAsia="fr-FR" w:bidi="ar-SA"/>
        </w:rPr>
        <w:drawing>
          <wp:inline distT="0" distB="0" distL="0" distR="0" wp14:anchorId="0F0DFBA2" wp14:editId="267B3CA9">
            <wp:extent cx="5486400" cy="897255"/>
            <wp:effectExtent l="0" t="0" r="0" b="0"/>
            <wp:docPr id="1" name="Image 1" descr="Machintosh HD:Users:gmarcopolo:Desktop: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gmarcopolo:Desktop:AL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C87E" w14:textId="77777777" w:rsidR="002D5E5C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Oméga est un système pour nommer les lipides tenant compte du dernier charbon. Le numéro trois, dans oméga-3, compte simplement les charbons jusqu’à ce qu’on y retrouve la première double liaison. </w:t>
      </w:r>
      <w:r w:rsidRPr="00F6175A">
        <w:rPr>
          <w:rFonts w:asciiTheme="majorHAnsi" w:hAnsiTheme="majorHAnsi" w:cstheme="majorHAnsi"/>
        </w:rPr>
        <w:t xml:space="preserve">Peut-être vous l’aviez deviné, ils existent d’autres types </w:t>
      </w:r>
      <w:r>
        <w:rPr>
          <w:rFonts w:asciiTheme="majorHAnsi" w:hAnsiTheme="majorHAnsi" w:cstheme="majorHAnsi"/>
        </w:rPr>
        <w:t>tels que l’o</w:t>
      </w:r>
      <w:r w:rsidRPr="00F6175A">
        <w:rPr>
          <w:rFonts w:asciiTheme="majorHAnsi" w:hAnsiTheme="majorHAnsi" w:cstheme="majorHAnsi"/>
        </w:rPr>
        <w:t xml:space="preserve">mega-6, </w:t>
      </w:r>
      <w:r>
        <w:rPr>
          <w:rFonts w:asciiTheme="majorHAnsi" w:hAnsiTheme="majorHAnsi" w:cstheme="majorHAnsi"/>
        </w:rPr>
        <w:t>oméga</w:t>
      </w:r>
      <w:r w:rsidRPr="00F6175A">
        <w:rPr>
          <w:rFonts w:asciiTheme="majorHAnsi" w:hAnsiTheme="majorHAnsi" w:cstheme="majorHAnsi"/>
        </w:rPr>
        <w:t xml:space="preserve">-9, </w:t>
      </w:r>
      <w:r>
        <w:rPr>
          <w:rFonts w:asciiTheme="majorHAnsi" w:hAnsiTheme="majorHAnsi" w:cstheme="majorHAnsi"/>
        </w:rPr>
        <w:t>oméga-12.</w:t>
      </w:r>
    </w:p>
    <w:p w14:paraId="3AB295D1" w14:textId="40DEC820" w:rsidR="002D5E5C" w:rsidRDefault="002D5E5C" w:rsidP="002D5E5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L</w:t>
      </w:r>
      <w:r w:rsidRPr="00F6175A">
        <w:rPr>
          <w:rFonts w:asciiTheme="majorHAnsi" w:hAnsiTheme="majorHAnsi" w:cstheme="majorHAnsi"/>
          <w:sz w:val="24"/>
          <w:szCs w:val="24"/>
        </w:rPr>
        <w:t>a forme</w:t>
      </w:r>
      <w:r>
        <w:rPr>
          <w:rFonts w:asciiTheme="majorHAnsi" w:hAnsiTheme="majorHAnsi" w:cstheme="majorHAnsi"/>
          <w:sz w:val="24"/>
          <w:szCs w:val="24"/>
        </w:rPr>
        <w:t xml:space="preserve"> tridimensionnelle</w:t>
      </w:r>
      <w:r w:rsidRPr="00F6175A">
        <w:rPr>
          <w:rFonts w:asciiTheme="majorHAnsi" w:hAnsiTheme="majorHAnsi" w:cstheme="majorHAnsi"/>
          <w:sz w:val="24"/>
          <w:szCs w:val="24"/>
        </w:rPr>
        <w:t xml:space="preserve"> de la chaine </w:t>
      </w:r>
      <w:bookmarkStart w:id="0" w:name="_GoBack"/>
      <w:r w:rsidR="00090B0A">
        <w:rPr>
          <w:rFonts w:asciiTheme="majorHAnsi" w:hAnsiTheme="majorHAnsi" w:cstheme="majorHAnsi"/>
          <w:sz w:val="24"/>
          <w:szCs w:val="24"/>
        </w:rPr>
        <w:t>dépend</w:t>
      </w:r>
      <w:bookmarkEnd w:id="0"/>
      <w:r w:rsidRPr="00F6175A">
        <w:rPr>
          <w:rFonts w:asciiTheme="majorHAnsi" w:hAnsiTheme="majorHAnsi" w:cstheme="majorHAnsi"/>
          <w:sz w:val="24"/>
          <w:szCs w:val="24"/>
        </w:rPr>
        <w:t xml:space="preserve"> du nombre des liaisons entre les carbones, ce qui </w:t>
      </w:r>
      <w:r>
        <w:rPr>
          <w:rFonts w:asciiTheme="majorHAnsi" w:hAnsiTheme="majorHAnsi" w:cstheme="majorHAnsi"/>
          <w:sz w:val="24"/>
          <w:szCs w:val="24"/>
        </w:rPr>
        <w:t>peut produire</w:t>
      </w:r>
      <w:r w:rsidRPr="00F6175A">
        <w:rPr>
          <w:rFonts w:asciiTheme="majorHAnsi" w:hAnsiTheme="majorHAnsi" w:cstheme="majorHAnsi"/>
          <w:sz w:val="24"/>
          <w:szCs w:val="24"/>
        </w:rPr>
        <w:t xml:space="preserve"> des boucles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766D5E">
        <w:rPr>
          <w:rFonts w:asciiTheme="majorHAnsi" w:hAnsiTheme="majorHAnsi" w:cstheme="majorHAnsi"/>
          <w:sz w:val="24"/>
          <w:szCs w:val="24"/>
        </w:rPr>
        <w:t xml:space="preserve">Une chose curieuse </w:t>
      </w:r>
      <w:r w:rsidR="00D75A5B">
        <w:rPr>
          <w:rFonts w:asciiTheme="majorHAnsi" w:hAnsiTheme="majorHAnsi" w:cstheme="majorHAnsi"/>
          <w:sz w:val="24"/>
          <w:szCs w:val="24"/>
        </w:rPr>
        <w:t xml:space="preserve">à ajouter, </w:t>
      </w:r>
      <w:r w:rsidR="00766D5E">
        <w:rPr>
          <w:rFonts w:asciiTheme="majorHAnsi" w:hAnsiTheme="majorHAnsi" w:cstheme="majorHAnsi"/>
          <w:sz w:val="24"/>
          <w:szCs w:val="24"/>
        </w:rPr>
        <w:t>est que</w:t>
      </w:r>
      <w:r>
        <w:rPr>
          <w:rFonts w:asciiTheme="majorHAnsi" w:hAnsiTheme="majorHAnsi" w:cstheme="majorHAnsi"/>
          <w:sz w:val="24"/>
          <w:szCs w:val="24"/>
        </w:rPr>
        <w:t xml:space="preserve"> les lipides oméga peuvent donner des formes</w:t>
      </w:r>
      <w:r w:rsidRPr="00F6175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semblables</w:t>
      </w:r>
      <w:r w:rsidRPr="00F6175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à la lettre majuscule d’oméga</w:t>
      </w:r>
      <w:r w:rsidRPr="00F6175A">
        <w:rPr>
          <w:rFonts w:asciiTheme="majorHAnsi" w:hAnsiTheme="majorHAnsi" w:cstheme="majorHAnsi"/>
          <w:sz w:val="24"/>
          <w:szCs w:val="24"/>
        </w:rPr>
        <w:t xml:space="preserve"> (Ω</w:t>
      </w:r>
      <w:r>
        <w:rPr>
          <w:rFonts w:asciiTheme="majorHAnsi" w:hAnsiTheme="majorHAnsi" w:cstheme="majorHAnsi"/>
          <w:sz w:val="24"/>
          <w:szCs w:val="24"/>
        </w:rPr>
        <w:t xml:space="preserve">). </w:t>
      </w:r>
    </w:p>
    <w:p w14:paraId="702A3922" w14:textId="77777777" w:rsidR="002D5E5C" w:rsidRPr="00F6175A" w:rsidRDefault="002D5E5C" w:rsidP="002D5E5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Bon c’est le temps de partir, je dois rattraper un train.</w:t>
      </w:r>
    </w:p>
    <w:p w14:paraId="1EDEAEC3" w14:textId="77777777" w:rsidR="002D5E5C" w:rsidRDefault="002D5E5C" w:rsidP="002D5E5C">
      <w:pPr>
        <w:jc w:val="both"/>
      </w:pPr>
      <w:r>
        <w:t xml:space="preserve">Marco Polo Guerrero </w:t>
      </w:r>
      <w:proofErr w:type="spellStart"/>
      <w:r>
        <w:t>Palacios</w:t>
      </w:r>
      <w:proofErr w:type="spellEnd"/>
      <w:r>
        <w:t xml:space="preserve"> </w:t>
      </w:r>
    </w:p>
    <w:p w14:paraId="5FE32769" w14:textId="77777777" w:rsidR="002D5E5C" w:rsidRDefault="002D5E5C" w:rsidP="002D5E5C">
      <w:pPr>
        <w:jc w:val="both"/>
      </w:pPr>
    </w:p>
    <w:p w14:paraId="5FD2EF03" w14:textId="77777777" w:rsidR="002C4EB4" w:rsidRPr="002C4EB4" w:rsidRDefault="002D5E5C" w:rsidP="002C4EB4">
      <w:pPr>
        <w:spacing w:after="0" w:line="240" w:lineRule="auto"/>
        <w:ind w:left="720" w:hanging="720"/>
        <w:jc w:val="both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2C4EB4" w:rsidRPr="002C4EB4">
        <w:rPr>
          <w:rFonts w:ascii="Cambria" w:hAnsi="Cambria"/>
          <w:noProof/>
        </w:rPr>
        <w:t>1.</w:t>
      </w:r>
      <w:r w:rsidR="002C4EB4" w:rsidRPr="002C4EB4">
        <w:rPr>
          <w:rFonts w:ascii="Cambria" w:hAnsi="Cambria"/>
          <w:noProof/>
        </w:rPr>
        <w:tab/>
      </w:r>
      <w:r w:rsidR="002C4EB4" w:rsidRPr="002C4EB4">
        <w:rPr>
          <w:rFonts w:ascii="Helvetica" w:hAnsi="Helvetica"/>
          <w:noProof/>
          <w:sz w:val="24"/>
        </w:rPr>
        <w:t>Nettleton, J.A.</w:t>
      </w:r>
      <w:r w:rsidR="002C4EB4" w:rsidRPr="002C4EB4">
        <w:rPr>
          <w:rFonts w:ascii="Cambria" w:hAnsi="Cambria"/>
          <w:noProof/>
        </w:rPr>
        <w:t xml:space="preserve">, ed. </w:t>
      </w:r>
      <w:r w:rsidR="002C4EB4" w:rsidRPr="002C4EB4">
        <w:rPr>
          <w:rFonts w:ascii="Helvetica" w:hAnsi="Helvetica"/>
          <w:i/>
          <w:noProof/>
          <w:sz w:val="24"/>
        </w:rPr>
        <w:t>Omega-3 fatty acids and health</w:t>
      </w:r>
      <w:r w:rsidR="002C4EB4" w:rsidRPr="002C4EB4">
        <w:rPr>
          <w:rFonts w:ascii="Cambria" w:hAnsi="Cambria"/>
          <w:noProof/>
        </w:rPr>
        <w:t xml:space="preserve">. </w:t>
      </w:r>
      <w:r w:rsidR="002C4EB4" w:rsidRPr="002C4EB4">
        <w:rPr>
          <w:rFonts w:ascii="Helvetica" w:hAnsi="Helvetica"/>
          <w:noProof/>
          <w:sz w:val="24"/>
        </w:rPr>
        <w:t>1995</w:t>
      </w:r>
      <w:r w:rsidR="002C4EB4" w:rsidRPr="002C4EB4">
        <w:rPr>
          <w:rFonts w:ascii="Cambria" w:hAnsi="Cambria"/>
          <w:noProof/>
        </w:rPr>
        <w:t xml:space="preserve">, </w:t>
      </w:r>
      <w:r w:rsidR="002C4EB4" w:rsidRPr="002C4EB4">
        <w:rPr>
          <w:rFonts w:ascii="Helvetica" w:hAnsi="Helvetica"/>
          <w:noProof/>
          <w:sz w:val="24"/>
        </w:rPr>
        <w:t>Chapman &amp; Hall</w:t>
      </w:r>
      <w:r w:rsidR="002C4EB4" w:rsidRPr="002C4EB4">
        <w:rPr>
          <w:rFonts w:ascii="Cambria" w:hAnsi="Cambria"/>
          <w:noProof/>
        </w:rPr>
        <w:t xml:space="preserve">: </w:t>
      </w:r>
      <w:r w:rsidR="002C4EB4" w:rsidRPr="002C4EB4">
        <w:rPr>
          <w:rFonts w:ascii="Helvetica" w:hAnsi="Helvetica"/>
          <w:noProof/>
          <w:sz w:val="24"/>
        </w:rPr>
        <w:t>New York</w:t>
      </w:r>
      <w:r w:rsidR="002C4EB4" w:rsidRPr="002C4EB4">
        <w:rPr>
          <w:rFonts w:ascii="Cambria" w:hAnsi="Cambria"/>
          <w:noProof/>
        </w:rPr>
        <w:t>.</w:t>
      </w:r>
      <w:bookmarkEnd w:id="1"/>
    </w:p>
    <w:p w14:paraId="33D8D70B" w14:textId="77777777" w:rsidR="002C4EB4" w:rsidRPr="002C4EB4" w:rsidRDefault="002C4EB4" w:rsidP="002C4EB4">
      <w:pPr>
        <w:spacing w:after="0" w:line="240" w:lineRule="auto"/>
        <w:ind w:left="720" w:hanging="720"/>
        <w:jc w:val="both"/>
        <w:rPr>
          <w:rFonts w:ascii="Cambria" w:hAnsi="Cambria"/>
          <w:noProof/>
        </w:rPr>
      </w:pPr>
      <w:bookmarkStart w:id="2" w:name="_ENREF_2"/>
      <w:r w:rsidRPr="002C4EB4">
        <w:rPr>
          <w:rFonts w:ascii="Cambria" w:hAnsi="Cambria"/>
          <w:noProof/>
        </w:rPr>
        <w:t>2.</w:t>
      </w:r>
      <w:r w:rsidRPr="002C4EB4">
        <w:rPr>
          <w:rFonts w:ascii="Cambria" w:hAnsi="Cambria"/>
          <w:noProof/>
        </w:rPr>
        <w:tab/>
      </w:r>
      <w:r w:rsidRPr="002C4EB4">
        <w:rPr>
          <w:rFonts w:ascii="Helvetica" w:hAnsi="Helvetica"/>
          <w:noProof/>
          <w:sz w:val="24"/>
        </w:rPr>
        <w:t>Vaclavik, V.C.E.W.</w:t>
      </w:r>
      <w:r w:rsidRPr="002C4EB4">
        <w:rPr>
          <w:rFonts w:ascii="Cambria" w:hAnsi="Cambria"/>
          <w:noProof/>
        </w:rPr>
        <w:t xml:space="preserve">, </w:t>
      </w:r>
      <w:r w:rsidRPr="002C4EB4">
        <w:rPr>
          <w:rFonts w:ascii="Helvetica" w:hAnsi="Helvetica"/>
          <w:i/>
          <w:noProof/>
          <w:sz w:val="24"/>
        </w:rPr>
        <w:t>Essentials of food science</w:t>
      </w:r>
      <w:r w:rsidRPr="002C4EB4">
        <w:rPr>
          <w:rFonts w:ascii="Cambria" w:hAnsi="Cambria"/>
          <w:noProof/>
        </w:rPr>
        <w:t xml:space="preserve">, </w:t>
      </w:r>
      <w:r w:rsidRPr="002C4EB4">
        <w:rPr>
          <w:rFonts w:ascii="Helvetica" w:hAnsi="Helvetica"/>
          <w:noProof/>
          <w:sz w:val="24"/>
        </w:rPr>
        <w:t>2008</w:t>
      </w:r>
      <w:r w:rsidRPr="002C4EB4">
        <w:rPr>
          <w:rFonts w:ascii="Cambria" w:hAnsi="Cambria"/>
          <w:noProof/>
        </w:rPr>
        <w:t xml:space="preserve">, </w:t>
      </w:r>
      <w:r w:rsidRPr="002C4EB4">
        <w:rPr>
          <w:rFonts w:ascii="Helvetica" w:hAnsi="Helvetica"/>
          <w:noProof/>
          <w:sz w:val="24"/>
        </w:rPr>
        <w:t>Springer</w:t>
      </w:r>
      <w:r w:rsidRPr="002C4EB4">
        <w:rPr>
          <w:rFonts w:ascii="Cambria" w:hAnsi="Cambria"/>
          <w:noProof/>
        </w:rPr>
        <w:t xml:space="preserve">: </w:t>
      </w:r>
      <w:r w:rsidRPr="002C4EB4">
        <w:rPr>
          <w:rFonts w:ascii="Helvetica" w:hAnsi="Helvetica"/>
          <w:noProof/>
          <w:sz w:val="24"/>
        </w:rPr>
        <w:t>New York, NY</w:t>
      </w:r>
      <w:r w:rsidRPr="002C4EB4">
        <w:rPr>
          <w:rFonts w:ascii="Cambria" w:hAnsi="Cambria"/>
          <w:noProof/>
        </w:rPr>
        <w:t>.</w:t>
      </w:r>
      <w:bookmarkEnd w:id="2"/>
    </w:p>
    <w:p w14:paraId="0B73EE65" w14:textId="77777777" w:rsidR="002C4EB4" w:rsidRPr="002C4EB4" w:rsidRDefault="002C4EB4" w:rsidP="002C4EB4">
      <w:pPr>
        <w:spacing w:line="240" w:lineRule="auto"/>
        <w:ind w:left="720" w:hanging="720"/>
        <w:jc w:val="both"/>
        <w:rPr>
          <w:rFonts w:ascii="Cambria" w:hAnsi="Cambria"/>
          <w:noProof/>
        </w:rPr>
      </w:pPr>
      <w:bookmarkStart w:id="3" w:name="_ENREF_3"/>
      <w:r w:rsidRPr="002C4EB4">
        <w:rPr>
          <w:rFonts w:ascii="Cambria" w:hAnsi="Cambria"/>
          <w:noProof/>
        </w:rPr>
        <w:t>3.</w:t>
      </w:r>
      <w:r w:rsidRPr="002C4EB4">
        <w:rPr>
          <w:rFonts w:ascii="Cambria" w:hAnsi="Cambria"/>
          <w:noProof/>
        </w:rPr>
        <w:tab/>
        <w:t xml:space="preserve">Kelly, L. and C. Ching Kuang, </w:t>
      </w:r>
      <w:r w:rsidRPr="002C4EB4">
        <w:rPr>
          <w:rFonts w:ascii="Cambria" w:hAnsi="Cambria"/>
          <w:i/>
          <w:noProof/>
        </w:rPr>
        <w:t>Fatty Acid Classification and Nomenclature</w:t>
      </w:r>
      <w:r w:rsidRPr="002C4EB4">
        <w:rPr>
          <w:rFonts w:ascii="Cambria" w:hAnsi="Cambria"/>
          <w:noProof/>
        </w:rPr>
        <w:t xml:space="preserve">, in </w:t>
      </w:r>
      <w:r w:rsidRPr="002C4EB4">
        <w:rPr>
          <w:rFonts w:ascii="Cambria" w:hAnsi="Cambria"/>
          <w:i/>
          <w:noProof/>
        </w:rPr>
        <w:t>Fatty Acids in Foods and their Health Implications,Third Edition</w:t>
      </w:r>
      <w:r w:rsidRPr="002C4EB4">
        <w:rPr>
          <w:rFonts w:ascii="Cambria" w:hAnsi="Cambria"/>
          <w:noProof/>
        </w:rPr>
        <w:t>2007, CRC Press. p. 1-15.</w:t>
      </w:r>
      <w:bookmarkEnd w:id="3"/>
    </w:p>
    <w:p w14:paraId="35169A4F" w14:textId="497AEA1B" w:rsidR="002C4EB4" w:rsidRDefault="002C4EB4" w:rsidP="002C4EB4">
      <w:pPr>
        <w:spacing w:line="240" w:lineRule="auto"/>
        <w:jc w:val="both"/>
        <w:rPr>
          <w:rFonts w:ascii="Cambria" w:hAnsi="Cambria"/>
          <w:noProof/>
        </w:rPr>
      </w:pPr>
    </w:p>
    <w:p w14:paraId="18EB1EEC" w14:textId="59F20780" w:rsidR="00C76321" w:rsidRDefault="002D5E5C" w:rsidP="002D5E5C">
      <w:r>
        <w:fldChar w:fldCharType="end"/>
      </w:r>
    </w:p>
    <w:sectPr w:rsidR="00C76321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D5E5C"/>
    <w:rsid w:val="00042BEE"/>
    <w:rsid w:val="00090B0A"/>
    <w:rsid w:val="00292DDA"/>
    <w:rsid w:val="002C4EB4"/>
    <w:rsid w:val="002D5E5C"/>
    <w:rsid w:val="0034275E"/>
    <w:rsid w:val="0062236E"/>
    <w:rsid w:val="00766D5E"/>
    <w:rsid w:val="00B57688"/>
    <w:rsid w:val="00C60372"/>
    <w:rsid w:val="00C76321"/>
    <w:rsid w:val="00D75A5B"/>
    <w:rsid w:val="00E1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ADB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5C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D5E5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E5C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paragraph" w:styleId="Commentaire">
    <w:name w:val="annotation text"/>
    <w:basedOn w:val="Normal"/>
    <w:link w:val="CommentaireCar"/>
    <w:uiPriority w:val="99"/>
    <w:unhideWhenUsed/>
    <w:rsid w:val="002D5E5C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2D5E5C"/>
    <w:rPr>
      <w:lang w:eastAsia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E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E5C"/>
    <w:rPr>
      <w:rFonts w:ascii="Lucida Grande" w:hAnsi="Lucida Grande" w:cs="Lucida Grande"/>
      <w:sz w:val="18"/>
      <w:szCs w:val="18"/>
      <w:lang w:eastAsia="en-US" w:bidi="en-US"/>
    </w:rPr>
  </w:style>
  <w:style w:type="character" w:styleId="Lienhypertexte">
    <w:name w:val="Hyperlink"/>
    <w:basedOn w:val="Policepardfaut"/>
    <w:uiPriority w:val="99"/>
    <w:unhideWhenUsed/>
    <w:rsid w:val="00E172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5C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D5E5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E5C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paragraph" w:styleId="Commentaire">
    <w:name w:val="annotation text"/>
    <w:basedOn w:val="Normal"/>
    <w:link w:val="CommentaireCar"/>
    <w:uiPriority w:val="99"/>
    <w:unhideWhenUsed/>
    <w:rsid w:val="002D5E5C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2D5E5C"/>
    <w:rPr>
      <w:lang w:eastAsia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E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E5C"/>
    <w:rPr>
      <w:rFonts w:ascii="Lucida Grande" w:hAnsi="Lucida Grande" w:cs="Lucida Grande"/>
      <w:sz w:val="18"/>
      <w:szCs w:val="18"/>
      <w:lang w:eastAsia="en-US" w:bidi="en-US"/>
    </w:rPr>
  </w:style>
  <w:style w:type="character" w:styleId="Lienhypertexte">
    <w:name w:val="Hyperlink"/>
    <w:basedOn w:val="Policepardfaut"/>
    <w:uiPriority w:val="99"/>
    <w:unhideWhenUsed/>
    <w:rsid w:val="00E172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905</Words>
  <Characters>4980</Characters>
  <Application>Microsoft Macintosh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Marco Polo Guerrero Palacios</cp:lastModifiedBy>
  <cp:revision>11</cp:revision>
  <cp:lastPrinted>2013-09-21T23:09:00Z</cp:lastPrinted>
  <dcterms:created xsi:type="dcterms:W3CDTF">2013-09-21T19:41:00Z</dcterms:created>
  <dcterms:modified xsi:type="dcterms:W3CDTF">2013-09-21T23:09:00Z</dcterms:modified>
</cp:coreProperties>
</file>