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USAMIS implementation and verification supplement</w:t>
      </w:r>
    </w:p>
    <w:p>
      <w:r>
        <w:t>Yaseen Hussain | Student ID 2422486012 | 30 October 2026</w:t>
      </w:r>
    </w:p>
    <w:p>
      <w:r>
        <w:t>This supplement records the implemented upgrade to the University Student Academic Management Information System. It accompanies the original investigation report and supersedes its earlier three-layer architecture, simplified database description and unverified test claims for this local version. The original report remains unchanged.</w:t>
      </w:r>
    </w:p>
    <w:p>
      <w:pPr>
        <w:pStyle w:val="Heading1"/>
      </w:pPr>
      <w:r>
        <w:t>Implemented outcome</w:t>
      </w:r>
    </w:p>
    <w:p>
      <w:r>
        <w:t>USAMIS now demonstrates four logical layers, OpenCV QR attendance image decoding, a trained neural-network research experiment, complete illustrated profiles for eight fictional students and two teachers, and a restorable PostgreSQL demonstration dataset. All 194 automated tests passed, and 25 browser checks succeeded. These results demonstrate the tested workflows; they do not establish production readiness or real-student predictive accuracy.</w:t>
      </w:r>
    </w:p>
    <w:p>
      <w:pPr>
        <w:pStyle w:val="Heading1"/>
      </w:pPr>
      <w:r>
        <w:t>Original foundation and new work</w:t>
      </w:r>
    </w:p>
    <w:tbl>
      <w:tblPr>
        <w:tblStyle w:val="LightShading-Accent1"/>
        <w:tblW w:type="auto" w:w="0"/>
        <w:tblLook w:firstColumn="1" w:firstRow="1" w:lastColumn="0" w:lastRow="0" w:noHBand="0" w:noVBand="1" w:val="04A0"/>
      </w:tblPr>
      <w:tblGrid>
        <w:gridCol w:w="5040"/>
        <w:gridCol w:w="5040"/>
      </w:tblGrid>
      <w:tr>
        <w:tc>
          <w:tcPr>
            <w:tcW w:type="dxa" w:w="5040"/>
          </w:tcPr>
          <w:p>
            <w:r>
              <w:t>Existing foundation</w:t>
            </w:r>
          </w:p>
        </w:tc>
        <w:tc>
          <w:tcPr>
            <w:tcW w:type="dxa" w:w="5040"/>
          </w:tcPr>
          <w:p>
            <w:r>
              <w:t>Added or corrected</w:t>
            </w:r>
          </w:p>
        </w:tc>
      </w:tr>
      <w:tr>
        <w:tc>
          <w:tcPr>
            <w:tcW w:type="dxa" w:w="5040"/>
          </w:tcPr>
          <w:p>
            <w:r>
              <w:t>Accounts, six roles, academic records and audit trails</w:t>
            </w:r>
          </w:p>
        </w:tc>
        <w:tc>
          <w:tcPr>
            <w:tcW w:type="dxa" w:w="5040"/>
          </w:tcPr>
          <w:p>
            <w:r>
              <w:t>Four-layer code map and independent verification</w:t>
            </w:r>
          </w:p>
        </w:tc>
      </w:tr>
      <w:tr>
        <w:tc>
          <w:tcPr>
            <w:tcW w:type="dxa" w:w="5040"/>
          </w:tcPr>
          <w:p>
            <w:r>
              <w:t>Enrollment, grades, GPA, attendance and fees</w:t>
            </w:r>
          </w:p>
        </w:tc>
        <w:tc>
          <w:tcPr>
            <w:tcW w:type="dxa" w:w="5040"/>
          </w:tcPr>
          <w:p>
            <w:r>
              <w:t>Fractional credits preserved in SQL and GPA</w:t>
            </w:r>
          </w:p>
        </w:tc>
      </w:tr>
      <w:tr>
        <w:tc>
          <w:tcPr>
            <w:tcW w:type="dxa" w:w="5040"/>
          </w:tcPr>
          <w:p>
            <w:r>
              <w:t>Signed QR links and basic risk analytics</w:t>
            </w:r>
          </w:p>
        </w:tc>
        <w:tc>
          <w:tcPr>
            <w:tcW w:type="dxa" w:w="5040"/>
          </w:tcPr>
          <w:p>
            <w:r>
              <w:t>OpenCV image upload and trained 4–32–16–1 network</w:t>
            </w:r>
          </w:p>
        </w:tc>
      </w:tr>
      <w:tr>
        <w:tc>
          <w:tcPr>
            <w:tcW w:type="dxa" w:w="5040"/>
          </w:tcPr>
          <w:p>
            <w:r>
              <w:t>Parent portal and provider adapters</w:t>
            </w:r>
          </w:p>
        </w:tc>
        <w:tc>
          <w:tcPr>
            <w:tcW w:type="dxa" w:w="5040"/>
          </w:tcPr>
          <w:p>
            <w:r>
              <w:t>Ten fictional portraits and a people directory</w:t>
            </w:r>
          </w:p>
        </w:tc>
      </w:tr>
      <w:tr>
        <w:tc>
          <w:tcPr>
            <w:tcW w:type="dxa" w:w="5040"/>
          </w:tcPr>
          <w:p>
            <w:r>
              <w:t>SQLAlchemy models and migrations</w:t>
            </w:r>
          </w:p>
        </w:tc>
        <w:tc>
          <w:tcPr>
            <w:tcW w:type="dxa" w:w="5040"/>
          </w:tcPr>
          <w:p>
            <w:r>
              <w:t>Explicit schema migrations and full SQL restore verification</w:t>
            </w:r>
          </w:p>
        </w:tc>
      </w:tr>
    </w:tbl>
    <w:p>
      <w:pPr>
        <w:pStyle w:val="Heading1"/>
      </w:pPr>
      <w:r>
        <w:t>Recommended scope</w:t>
      </w:r>
    </w:p>
    <w:p>
      <w:r>
        <w:t>Present QR attendance and early academic support as connected workflows. QR decoding is classical computer vision. The neural model is the deep-learning component. Keep deterministic grade, enrollment and fee algorithms for official records. A prerequisite graph planner is a useful later extension; face recognition and sequence models require additional data and validation.</w:t>
      </w:r>
    </w:p>
    <w:p>
      <w:r>
        <w:br w:type="page"/>
      </w:r>
    </w:p>
    <w:p>
      <w:pPr>
        <w:pStyle w:val="Heading1"/>
      </w:pPr>
      <w:r>
        <w:t>The four logical layers</w:t>
      </w:r>
    </w:p>
    <w:p>
      <w:r>
        <w:t>The layers run in one Flask application. Independent execution means testing each responsibility in isolation and then exercising complete requests; it does not mean deploying four separate servers. Layer 3 is named Academic Processing and Algorithms.</w:t>
      </w:r>
    </w:p>
    <w:tbl>
      <w:tblPr>
        <w:tblStyle w:val="LightShading-Accent1"/>
        <w:tblW w:type="auto" w:w="0"/>
        <w:tblLook w:firstColumn="1" w:firstRow="1" w:lastColumn="0" w:lastRow="0" w:noHBand="0" w:noVBand="1" w:val="04A0"/>
      </w:tblPr>
      <w:tblGrid>
        <w:gridCol w:w="5040"/>
        <w:gridCol w:w="5040"/>
      </w:tblGrid>
      <w:tr>
        <w:tc>
          <w:tcPr>
            <w:tcW w:type="dxa" w:w="5040"/>
          </w:tcPr>
          <w:p>
            <w:r>
              <w:t>Layer</w:t>
            </w:r>
          </w:p>
        </w:tc>
        <w:tc>
          <w:tcPr>
            <w:tcW w:type="dxa" w:w="5040"/>
          </w:tcPr>
          <w:p>
            <w:r>
              <w:t>Responsibility and implementation</w:t>
            </w:r>
          </w:p>
        </w:tc>
      </w:tr>
      <w:tr>
        <w:tc>
          <w:tcPr>
            <w:tcW w:type="dxa" w:w="5040"/>
          </w:tcPr>
          <w:p>
            <w:r>
              <w:t>1 Presentation</w:t>
            </w:r>
          </w:p>
        </w:tc>
        <w:tc>
          <w:tcPr>
            <w:tcW w:type="dxa" w:w="5040"/>
          </w:tcPr>
          <w:p>
            <w:r>
              <w:t>Templates and static assets display forms, profiles, records and model results. Jinja syntax is checked independently.</w:t>
            </w:r>
          </w:p>
        </w:tc>
      </w:tr>
      <w:tr>
        <w:tc>
          <w:tcPr>
            <w:tcW w:type="dxa" w:w="5040"/>
          </w:tcPr>
          <w:p>
            <w:r>
              <w:t>2 Application</w:t>
            </w:r>
          </w:p>
        </w:tc>
        <w:tc>
          <w:tcPr>
            <w:tcW w:type="dxa" w:w="5040"/>
          </w:tcPr>
          <w:p>
            <w:r>
              <w:t>Flask routes authenticate users, enforce permissions and CSRF, adapt request data and return responses.</w:t>
            </w:r>
          </w:p>
        </w:tc>
      </w:tr>
      <w:tr>
        <w:tc>
          <w:tcPr>
            <w:tcW w:type="dxa" w:w="5040"/>
          </w:tcPr>
          <w:p>
            <w:r>
              <w:t>3 Academic Processing and Algorithms</w:t>
            </w:r>
          </w:p>
        </w:tc>
        <w:tc>
          <w:tcPr>
            <w:tcW w:type="dxa" w:w="5040"/>
          </w:tcPr>
          <w:p>
            <w:r>
              <w:t>Services coordinate academic workflows. Pure algorithms calculate GPA and balances, check enrollment, decode QR pixels and train or run the neural network.</w:t>
            </w:r>
          </w:p>
        </w:tc>
      </w:tr>
      <w:tr>
        <w:tc>
          <w:tcPr>
            <w:tcW w:type="dxa" w:w="5040"/>
          </w:tcPr>
          <w:p>
            <w:r>
              <w:t>4 Data</w:t>
            </w:r>
          </w:p>
        </w:tc>
        <w:tc>
          <w:tcPr>
            <w:tcW w:type="dxa" w:w="5040"/>
          </w:tcPr>
          <w:p>
            <w:r>
              <w:t>SQLAlchemy models, repositories, migrations and PostgreSQL persist academic data. Research snapshots and model bundles are also stored in SQL. CSV and JSON support portable training.</w:t>
            </w:r>
          </w:p>
        </w:tc>
      </w:tr>
    </w:tbl>
    <w:p>
      <w:pPr>
        <w:pStyle w:val="Heading1"/>
      </w:pPr>
      <w:r>
        <w:t>Attendance request across the layers</w:t>
      </w:r>
    </w:p>
    <w:p>
      <w:r>
        <w:t>The student uploads an image in Layer 1. Layer 2 checks access and CSRF. Layer 3 decodes the QR and validates its signature, session expiry and enrollment. Layer 4 persists the attendance record and audit entry. Layer 1 displays the result. Repeated scans do not create duplicate daily attendance rows. The image is processed in memory and its URL is never followed by the decoder.</w:t>
      </w:r>
    </w:p>
    <w:p>
      <w:pPr>
        <w:pStyle w:val="Heading1"/>
      </w:pPr>
      <w:r>
        <w:t>Risk request across the layers</w:t>
      </w:r>
    </w:p>
    <w:p>
      <w:r>
        <w:t>An administrator or registrar enters four academic measurements. The application validates access and input. The processing service runs the trained network and retrieves the artifact through the data repository, with a PostgreSQL fallback. The presentation shows an experimental score. No model changes official grades, enrollment or standing.</w:t>
      </w:r>
    </w:p>
    <w:p>
      <w:r>
        <w:t>Some original routes still query the ORM directly. This is a logical four-layer architecture with progressively separated workflows, not a claim of strict adjacent-layer dependencies throughout all legacy code.</w:t>
      </w:r>
    </w:p>
    <w:p>
      <w:r>
        <w:br w:type="page"/>
      </w:r>
    </w:p>
    <w:p>
      <w:pPr>
        <w:pStyle w:val="Heading1"/>
      </w:pPr>
      <w:r>
        <w:t>Algorithms and measured training results</w:t>
      </w:r>
    </w:p>
    <w:tbl>
      <w:tblPr>
        <w:tblStyle w:val="LightShading-Accent1"/>
        <w:tblW w:type="auto" w:w="0"/>
        <w:tblLook w:firstColumn="1" w:firstRow="1" w:lastColumn="0" w:lastRow="0" w:noHBand="0" w:noVBand="1" w:val="04A0"/>
      </w:tblPr>
      <w:tblGrid>
        <w:gridCol w:w="5040"/>
        <w:gridCol w:w="5040"/>
      </w:tblGrid>
      <w:tr>
        <w:tc>
          <w:tcPr>
            <w:tcW w:type="dxa" w:w="5040"/>
          </w:tcPr>
          <w:p>
            <w:r>
              <w:t>Algorithm</w:t>
            </w:r>
          </w:p>
        </w:tc>
        <w:tc>
          <w:tcPr>
            <w:tcW w:type="dxa" w:w="5040"/>
          </w:tcPr>
          <w:p>
            <w:r>
              <w:t>Role</w:t>
            </w:r>
          </w:p>
        </w:tc>
      </w:tr>
      <w:tr>
        <w:tc>
          <w:tcPr>
            <w:tcW w:type="dxa" w:w="5040"/>
          </w:tcPr>
          <w:p>
            <w:r>
              <w:t>Enrollment eligibility</w:t>
            </w:r>
          </w:p>
        </w:tc>
        <w:tc>
          <w:tcPr>
            <w:tcW w:type="dxa" w:w="5040"/>
          </w:tcPr>
          <w:p>
            <w:r>
              <w:t>Status, prerequisites, duplicates and capacity</w:t>
            </w:r>
          </w:p>
        </w:tc>
      </w:tr>
      <w:tr>
        <w:tc>
          <w:tcPr>
            <w:tcW w:type="dxa" w:w="5040"/>
          </w:tcPr>
          <w:p>
            <w:r>
              <w:t>Weighted grade and GPA</w:t>
            </w:r>
          </w:p>
        </w:tc>
        <w:tc>
          <w:tcPr>
            <w:tcW w:type="dxa" w:w="5040"/>
          </w:tcPr>
          <w:p>
            <w:r>
              <w:t>Decimal credit weighting of published grades</w:t>
            </w:r>
          </w:p>
        </w:tc>
      </w:tr>
      <w:tr>
        <w:tc>
          <w:tcPr>
            <w:tcW w:type="dxa" w:w="5040"/>
          </w:tcPr>
          <w:p>
            <w:r>
              <w:t>Fee balance</w:t>
            </w:r>
          </w:p>
        </w:tc>
        <w:tc>
          <w:tcPr>
            <w:tcW w:type="dxa" w:w="5040"/>
          </w:tcPr>
          <w:p>
            <w:r>
              <w:t>Decimal assessments, adjustments and payments</w:t>
            </w:r>
          </w:p>
        </w:tc>
      </w:tr>
      <w:tr>
        <w:tc>
          <w:tcPr>
            <w:tcW w:type="dxa" w:w="5040"/>
          </w:tcPr>
          <w:p>
            <w:r>
              <w:t>Signed QR and OpenCV</w:t>
            </w:r>
          </w:p>
        </w:tc>
        <w:tc>
          <w:tcPr>
            <w:tcW w:type="dxa" w:w="5040"/>
          </w:tcPr>
          <w:p>
            <w:r>
              <w:t>Session validation and image decoding</w:t>
            </w:r>
          </w:p>
        </w:tc>
      </w:tr>
      <w:tr>
        <w:tc>
          <w:tcPr>
            <w:tcW w:type="dxa" w:w="5040"/>
          </w:tcPr>
          <w:p>
            <w:r>
              <w:t>Logistic regression</w:t>
            </w:r>
          </w:p>
        </w:tc>
        <w:tc>
          <w:tcPr>
            <w:tcW w:type="dxa" w:w="5040"/>
          </w:tcPr>
          <w:p>
            <w:r>
              <w:t>Simpler learned comparison model</w:t>
            </w:r>
          </w:p>
        </w:tc>
      </w:tr>
      <w:tr>
        <w:tc>
          <w:tcPr>
            <w:tcW w:type="dxa" w:w="5040"/>
          </w:tcPr>
          <w:p>
            <w:r>
              <w:t>Neural network</w:t>
            </w:r>
          </w:p>
        </w:tc>
        <w:tc>
          <w:tcPr>
            <w:tcW w:type="dxa" w:w="5040"/>
          </w:tcPr>
          <w:p>
            <w:r>
              <w:t>Four inputs, hidden layers of 32 and 16 ReLU units, one sigmoid output</w:t>
            </w:r>
          </w:p>
        </w:tc>
      </w:tr>
    </w:tbl>
    <w:p>
      <w:r>
        <w:t>The model was trained on 600 generated student snapshots with a fixed seed of 42. Each row contains previous average, attendance proportion, early assessment average and credit load, plus a later outcome date and label. Student-disjoint stratified splits contain 359 training, 120 validation and 121 test examples. Scaling is fitted on training data only; validation loss controls early stopping. The training script saves weights, history, metrics and dataset fingerprint.</w:t>
      </w:r>
    </w:p>
    <w:tbl>
      <w:tblPr>
        <w:tblStyle w:val="LightShading-Accent1"/>
        <w:tblW w:type="auto" w:w="0"/>
        <w:tblLayout w:type="fixed"/>
        <w:tblLook w:firstColumn="1" w:firstRow="1" w:lastColumn="0" w:lastRow="0" w:noHBand="0" w:noVBand="1" w:val="04A0"/>
      </w:tblPr>
      <w:tblGrid>
        <w:gridCol w:w="2592"/>
        <w:gridCol w:w="1728"/>
        <w:gridCol w:w="1728"/>
        <w:gridCol w:w="1728"/>
        <w:gridCol w:w="1728"/>
      </w:tblGrid>
      <w:tr>
        <w:tc>
          <w:tcPr>
            <w:tcW w:type="dxa" w:w="2592"/>
          </w:tcPr>
          <w:p>
            <w:r>
              <w:rPr>
                <w:sz w:val="20"/>
              </w:rPr>
              <w:t>Model</w:t>
            </w:r>
          </w:p>
        </w:tc>
        <w:tc>
          <w:tcPr>
            <w:tcW w:type="dxa" w:w="1728"/>
          </w:tcPr>
          <w:p>
            <w:r>
              <w:rPr>
                <w:sz w:val="20"/>
              </w:rPr>
              <w:t>Validation F1</w:t>
            </w:r>
          </w:p>
        </w:tc>
        <w:tc>
          <w:tcPr>
            <w:tcW w:type="dxa" w:w="1728"/>
          </w:tcPr>
          <w:p>
            <w:r>
              <w:rPr>
                <w:sz w:val="20"/>
              </w:rPr>
              <w:t>Test precision</w:t>
            </w:r>
          </w:p>
        </w:tc>
        <w:tc>
          <w:tcPr>
            <w:tcW w:type="dxa" w:w="1728"/>
          </w:tcPr>
          <w:p>
            <w:r>
              <w:rPr>
                <w:sz w:val="20"/>
              </w:rPr>
              <w:t>Test recall</w:t>
            </w:r>
          </w:p>
        </w:tc>
        <w:tc>
          <w:tcPr>
            <w:tcW w:type="dxa" w:w="1728"/>
          </w:tcPr>
          <w:p>
            <w:r>
              <w:rPr>
                <w:sz w:val="20"/>
              </w:rPr>
              <w:t>Test F1</w:t>
            </w:r>
          </w:p>
        </w:tc>
      </w:tr>
      <w:tr>
        <w:tc>
          <w:tcPr>
            <w:tcW w:type="dxa" w:w="2592"/>
          </w:tcPr>
          <w:p>
            <w:r>
              <w:rPr>
                <w:sz w:val="20"/>
              </w:rPr>
              <w:t>Logistic regression</w:t>
            </w:r>
          </w:p>
        </w:tc>
        <w:tc>
          <w:tcPr>
            <w:tcW w:type="dxa" w:w="1728"/>
          </w:tcPr>
          <w:p>
            <w:r>
              <w:rPr>
                <w:sz w:val="20"/>
              </w:rPr>
              <w:t>0.772</w:t>
            </w:r>
          </w:p>
        </w:tc>
        <w:tc>
          <w:tcPr>
            <w:tcW w:type="dxa" w:w="1728"/>
          </w:tcPr>
          <w:p>
            <w:r>
              <w:rPr>
                <w:sz w:val="20"/>
              </w:rPr>
              <w:t>0.725</w:t>
            </w:r>
          </w:p>
        </w:tc>
        <w:tc>
          <w:tcPr>
            <w:tcW w:type="dxa" w:w="1728"/>
          </w:tcPr>
          <w:p>
            <w:r>
              <w:rPr>
                <w:sz w:val="20"/>
              </w:rPr>
              <w:t>0.806</w:t>
            </w:r>
          </w:p>
        </w:tc>
        <w:tc>
          <w:tcPr>
            <w:tcW w:type="dxa" w:w="1728"/>
          </w:tcPr>
          <w:p>
            <w:r>
              <w:rPr>
                <w:sz w:val="20"/>
              </w:rPr>
              <w:t>0.763</w:t>
            </w:r>
          </w:p>
        </w:tc>
      </w:tr>
      <w:tr>
        <w:tc>
          <w:tcPr>
            <w:tcW w:type="dxa" w:w="2592"/>
          </w:tcPr>
          <w:p>
            <w:r>
              <w:rPr>
                <w:sz w:val="20"/>
              </w:rPr>
              <w:t>Neural network</w:t>
            </w:r>
          </w:p>
        </w:tc>
        <w:tc>
          <w:tcPr>
            <w:tcW w:type="dxa" w:w="1728"/>
          </w:tcPr>
          <w:p>
            <w:r>
              <w:rPr>
                <w:sz w:val="20"/>
              </w:rPr>
              <w:t>0.750</w:t>
            </w:r>
          </w:p>
        </w:tc>
        <w:tc>
          <w:tcPr>
            <w:tcW w:type="dxa" w:w="1728"/>
          </w:tcPr>
          <w:p>
            <w:r>
              <w:rPr>
                <w:sz w:val="20"/>
              </w:rPr>
              <w:t>0.754</w:t>
            </w:r>
          </w:p>
        </w:tc>
        <w:tc>
          <w:tcPr>
            <w:tcW w:type="dxa" w:w="1728"/>
          </w:tcPr>
          <w:p>
            <w:r>
              <w:rPr>
                <w:sz w:val="20"/>
              </w:rPr>
              <w:t>0.839</w:t>
            </w:r>
          </w:p>
        </w:tc>
        <w:tc>
          <w:tcPr>
            <w:tcW w:type="dxa" w:w="1728"/>
          </w:tcPr>
          <w:p>
            <w:r>
              <w:rPr>
                <w:sz w:val="20"/>
              </w:rPr>
              <w:t>0.794</w:t>
            </w:r>
          </w:p>
        </w:tc>
      </w:tr>
    </w:tbl>
    <w:p>
      <w:r>
        <w:t>Validation F1 selects logistic regression. The application also exposes the neural model for comparison and identifies it explicitly. The test set must not be used to reverse the selection decision. These synthetic results show that the pipeline learns and runs; they are not evidence of real university accuracy. Illustrated avatars are display assets and are not training data.</w:t>
      </w:r>
    </w:p>
    <w:p>
      <w:pPr>
        <w:pStyle w:val="Heading1"/>
      </w:pPr>
      <w:r>
        <w:t>Future validation</w:t>
      </w:r>
    </w:p>
    <w:p>
      <w:r>
        <w:t>Collect historical snapshots whose features were available before later observed outcomes. Evaluate a later cohort, calibration and relevant subgroup performance, with appropriate data governance. QR attendance also needs a physical-phone trial on the classroom network; a shared valid code does not prove physical presence.</w:t>
      </w:r>
    </w:p>
    <w:p>
      <w:r>
        <w:br w:type="page"/>
      </w:r>
    </w:p>
    <w:p>
      <w:pPr>
        <w:pStyle w:val="Heading1"/>
      </w:pPr>
      <w:r>
        <w:t>Database corrections and verification</w:t>
      </w:r>
    </w:p>
    <w:p>
      <w:r>
        <w:t>The final schema has 22 application tables plus Alembic tracking. Roles are represented by the users.role field, rather than the separate ROLE and USER_ROLE tables in the old diagram. The new risk_snapshots and risk_experiments tables persist the research dataset and trained bundle. Avatar paths belong to an explicit migration. Startup no longer silently changes the schema.</w:t>
      </w:r>
    </w:p>
    <w:p>
      <w:r>
        <w:t>Course credits now use NUMERIC(5,2), and the form and GPA calculation preserve fractional values. A migration resolves the earlier 12-credit versus 20-credit CHECK mismatch. QR-token uniqueness matches the model and migrations. The full SQL dump was restored into a new isolated PostgreSQL database with all source table counts matching.</w:t>
      </w:r>
    </w:p>
    <w:tbl>
      <w:tblPr>
        <w:tblStyle w:val="LightShading-Accent1"/>
        <w:tblW w:type="auto" w:w="0"/>
        <w:tblLook w:firstColumn="1" w:firstRow="1" w:lastColumn="0" w:lastRow="0" w:noHBand="0" w:noVBand="1" w:val="04A0"/>
      </w:tblPr>
      <w:tblGrid>
        <w:gridCol w:w="5040"/>
        <w:gridCol w:w="5040"/>
      </w:tblGrid>
      <w:tr>
        <w:tc>
          <w:tcPr>
            <w:tcW w:type="dxa" w:w="5040"/>
          </w:tcPr>
          <w:p>
            <w:r>
              <w:t>Records</w:t>
            </w:r>
          </w:p>
        </w:tc>
        <w:tc>
          <w:tcPr>
            <w:tcW w:type="dxa" w:w="5040"/>
          </w:tcPr>
          <w:p>
            <w:r>
              <w:t>Count</w:t>
            </w:r>
          </w:p>
        </w:tc>
      </w:tr>
      <w:tr>
        <w:tc>
          <w:tcPr>
            <w:tcW w:type="dxa" w:w="5040"/>
          </w:tcPr>
          <w:p>
            <w:r>
              <w:t>Students / teachers / users</w:t>
            </w:r>
          </w:p>
        </w:tc>
        <w:tc>
          <w:tcPr>
            <w:tcW w:type="dxa" w:w="5040"/>
          </w:tcPr>
          <w:p>
            <w:r>
              <w:t>8 / 2 / 14</w:t>
            </w:r>
          </w:p>
        </w:tc>
      </w:tr>
      <w:tr>
        <w:tc>
          <w:tcPr>
            <w:tcW w:type="dxa" w:w="5040"/>
          </w:tcPr>
          <w:p>
            <w:r>
              <w:t>Courses / offerings / semesters</w:t>
            </w:r>
          </w:p>
        </w:tc>
        <w:tc>
          <w:tcPr>
            <w:tcW w:type="dxa" w:w="5040"/>
          </w:tcPr>
          <w:p>
            <w:r>
              <w:t>44 / 44 / 8</w:t>
            </w:r>
          </w:p>
        </w:tc>
      </w:tr>
      <w:tr>
        <w:tc>
          <w:tcPr>
            <w:tcW w:type="dxa" w:w="5040"/>
          </w:tcPr>
          <w:p>
            <w:r>
              <w:t>Enrollments / published or draft grade rows</w:t>
            </w:r>
          </w:p>
        </w:tc>
        <w:tc>
          <w:tcPr>
            <w:tcW w:type="dxa" w:w="5040"/>
          </w:tcPr>
          <w:p>
            <w:r>
              <w:t>231 / 217</w:t>
            </w:r>
          </w:p>
        </w:tc>
      </w:tr>
      <w:tr>
        <w:tc>
          <w:tcPr>
            <w:tcW w:type="dxa" w:w="5040"/>
          </w:tcPr>
          <w:p>
            <w:r>
              <w:t>Attendance rows / fee assessments / payments</w:t>
            </w:r>
          </w:p>
        </w:tc>
        <w:tc>
          <w:tcPr>
            <w:tcW w:type="dxa" w:w="5040"/>
          </w:tcPr>
          <w:p>
            <w:r>
              <w:t>868 / 24 / 6</w:t>
            </w:r>
          </w:p>
        </w:tc>
      </w:tr>
      <w:tr>
        <w:tc>
          <w:tcPr>
            <w:tcW w:type="dxa" w:w="5040"/>
          </w:tcPr>
          <w:p>
            <w:r>
              <w:t>Synthetic snapshots / trained experiments</w:t>
            </w:r>
          </w:p>
        </w:tc>
        <w:tc>
          <w:tcPr>
            <w:tcW w:type="dxa" w:w="5040"/>
          </w:tcPr>
          <w:p>
            <w:r>
              <w:t>600 / 1</w:t>
            </w:r>
          </w:p>
        </w:tc>
      </w:tr>
      <w:tr>
        <w:tc>
          <w:tcPr>
            <w:tcW w:type="dxa" w:w="5040"/>
          </w:tcPr>
          <w:p>
            <w:r>
              <w:t>Illustrated profile files</w:t>
            </w:r>
          </w:p>
        </w:tc>
        <w:tc>
          <w:tcPr>
            <w:tcW w:type="dxa" w:w="5040"/>
          </w:tcPr>
          <w:p>
            <w:r>
              <w:t>10</w:t>
            </w:r>
          </w:p>
        </w:tc>
      </w:tr>
    </w:tbl>
    <w:tbl>
      <w:tblPr>
        <w:tblStyle w:val="LightShading-Accent1"/>
        <w:tblW w:type="auto" w:w="0"/>
        <w:tblLook w:firstColumn="1" w:firstRow="1" w:lastColumn="0" w:lastRow="0" w:noHBand="0" w:noVBand="1" w:val="04A0"/>
      </w:tblPr>
      <w:tblGrid>
        <w:gridCol w:w="5040"/>
        <w:gridCol w:w="5040"/>
      </w:tblGrid>
      <w:tr>
        <w:tc>
          <w:tcPr>
            <w:tcW w:type="dxa" w:w="5040"/>
          </w:tcPr>
          <w:p>
            <w:r>
              <w:t>Verification</w:t>
            </w:r>
          </w:p>
        </w:tc>
        <w:tc>
          <w:tcPr>
            <w:tcW w:type="dxa" w:w="5040"/>
          </w:tcPr>
          <w:p>
            <w:r>
              <w:t>Result</w:t>
            </w:r>
          </w:p>
        </w:tc>
      </w:tr>
      <w:tr>
        <w:tc>
          <w:tcPr>
            <w:tcW w:type="dxa" w:w="5040"/>
          </w:tcPr>
          <w:p>
            <w:r>
              <w:t>Full automated suite</w:t>
            </w:r>
          </w:p>
        </w:tc>
        <w:tc>
          <w:tcPr>
            <w:tcW w:type="dxa" w:w="5040"/>
          </w:tcPr>
          <w:p>
            <w:r>
              <w:t>194 passed, zero failures or skips</w:t>
            </w:r>
          </w:p>
        </w:tc>
      </w:tr>
      <w:tr>
        <w:tc>
          <w:tcPr>
            <w:tcW w:type="dxa" w:w="5040"/>
          </w:tcPr>
          <w:p>
            <w:r>
              <w:t>Independent layer checks</w:t>
            </w:r>
          </w:p>
        </w:tc>
        <w:tc>
          <w:tcPr>
            <w:tcW w:type="dxa" w:w="5040"/>
          </w:tcPr>
          <w:p>
            <w:r>
              <w:t>All four scopes passed</w:t>
            </w:r>
          </w:p>
        </w:tc>
      </w:tr>
      <w:tr>
        <w:tc>
          <w:tcPr>
            <w:tcW w:type="dxa" w:w="5040"/>
          </w:tcPr>
          <w:p>
            <w:r>
              <w:t>Browser pages and form submission</w:t>
            </w:r>
          </w:p>
        </w:tc>
        <w:tc>
          <w:tcPr>
            <w:tcW w:type="dxa" w:w="5040"/>
          </w:tcPr>
          <w:p>
            <w:r>
              <w:t>25 succeeded, no captured JavaScript page errors</w:t>
            </w:r>
          </w:p>
        </w:tc>
      </w:tr>
      <w:tr>
        <w:tc>
          <w:tcPr>
            <w:tcW w:type="dxa" w:w="5040"/>
          </w:tcPr>
          <w:p>
            <w:r>
              <w:t>Migration metadata comparison</w:t>
            </w:r>
          </w:p>
        </w:tc>
        <w:tc>
          <w:tcPr>
            <w:tcW w:type="dxa" w:w="5040"/>
          </w:tcPr>
          <w:p>
            <w:r>
              <w:t>No detected differences</w:t>
            </w:r>
          </w:p>
        </w:tc>
      </w:tr>
      <w:tr>
        <w:tc>
          <w:tcPr>
            <w:tcW w:type="dxa" w:w="5040"/>
          </w:tcPr>
          <w:p>
            <w:r>
              <w:t>Complete SQL dump restore</w:t>
            </w:r>
          </w:p>
        </w:tc>
        <w:tc>
          <w:tcPr>
            <w:tcW w:type="dxa" w:w="5040"/>
          </w:tcPr>
          <w:p>
            <w:r>
              <w:t>Successful; every table count matched</w:t>
            </w:r>
          </w:p>
        </w:tc>
      </w:tr>
    </w:tbl>
    <w:p>
      <w:r>
        <w:t>Alembic metadata comparison does not comprehensively compare CHECK constraints. Separate persistence tests cover the discovered credit mismatch. SMS and payment data use demo or stub states; no external provider delivery was exercised. Production rate-limit storage and deployment configuration remain outside this local demonstration.</w:t>
      </w:r>
    </w:p>
    <w:p>
      <w:r>
        <w:br w:type="page"/>
      </w:r>
    </w:p>
    <w:p>
      <w:pPr>
        <w:pStyle w:val="Heading1"/>
      </w:pPr>
      <w:r>
        <w:t>Running demonstration screens</w:t>
      </w:r>
    </w:p>
    <w:p>
      <w:r>
        <w:t>Actual local preview of the neural experiment, including the measured model comparison and a completed form submission.</w:t>
      </w:r>
    </w:p>
    <w:p>
      <w:r>
        <w:drawing>
          <wp:inline xmlns:a="http://schemas.openxmlformats.org/drawingml/2006/main" xmlns:pic="http://schemas.openxmlformats.org/drawingml/2006/picture">
            <wp:extent cx="6126480" cy="5079873"/>
            <wp:docPr id="1" name="Picture 1"/>
            <wp:cNvGraphicFramePr>
              <a:graphicFrameLocks noChangeAspect="1"/>
            </wp:cNvGraphicFramePr>
            <a:graphic>
              <a:graphicData uri="http://schemas.openxmlformats.org/drawingml/2006/picture">
                <pic:pic>
                  <pic:nvPicPr>
                    <pic:cNvPr id="0" name="neural-result.png"/>
                    <pic:cNvPicPr/>
                  </pic:nvPicPr>
                  <pic:blipFill>
                    <a:blip r:embed="rId9"/>
                    <a:stretch>
                      <a:fillRect/>
                    </a:stretch>
                  </pic:blipFill>
                  <pic:spPr>
                    <a:xfrm>
                      <a:off x="0" y="0"/>
                      <a:ext cx="6126480" cy="5079873"/>
                    </a:xfrm>
                    <a:prstGeom prst="rect"/>
                  </pic:spPr>
                </pic:pic>
              </a:graphicData>
            </a:graphic>
          </wp:inline>
        </w:drawing>
      </w:r>
    </w:p>
    <w:p>
      <w:pPr>
        <w:pStyle w:val="Heading1"/>
      </w:pPr>
      <w:r>
        <w:t>Access and demonstration sequence</w:t>
      </w:r>
    </w:p>
    <w:p>
      <w:r>
        <w:t>Open http://127.0.0.1:5055. Demo usernames: admin, registrar, finance, t.mensah, a.okafor, s.demo and p.wei. Password for these fictional accounts: Demo_Pass1! Additional student accounts use s.demo2 through s.demo8.</w:t>
      </w:r>
    </w:p>
    <w:p>
      <w:r>
        <w:t>Show the People directory, open Neural Risk Experiment, enter an academic snapshot, and explain the synthetic-data limitation. As a teacher, open an attendance session; as an enrolled student, upload the current QR image and inspect attendance history. OpenCV integration tests also cover repeated and tampered scans.</w:t>
      </w:r>
    </w:p>
    <w:p>
      <w:r>
        <w:br w:type="page"/>
      </w:r>
    </w:p>
    <w:p>
      <w:pPr>
        <w:pStyle w:val="Heading1"/>
      </w:pPr>
      <w:r>
        <w:t>Fictional student and teacher profiles</w:t>
      </w:r>
    </w:p>
    <w:p>
      <w:r>
        <w:t>All eight students and both teachers have original illustrated portraits. SQL stores relative paths and the application package includes the image files.</w:t>
      </w:r>
    </w:p>
    <w:p>
      <w:r>
        <w:drawing>
          <wp:inline xmlns:a="http://schemas.openxmlformats.org/drawingml/2006/main" xmlns:pic="http://schemas.openxmlformats.org/drawingml/2006/picture">
            <wp:extent cx="4721364" cy="6583680"/>
            <wp:docPr id="2" name="Picture 2"/>
            <wp:cNvGraphicFramePr>
              <a:graphicFrameLocks noChangeAspect="1"/>
            </wp:cNvGraphicFramePr>
            <a:graphic>
              <a:graphicData uri="http://schemas.openxmlformats.org/drawingml/2006/picture">
                <pic:pic>
                  <pic:nvPicPr>
                    <pic:cNvPr id="0" name="admin-people-.png"/>
                    <pic:cNvPicPr/>
                  </pic:nvPicPr>
                  <pic:blipFill>
                    <a:blip r:embed="rId10"/>
                    <a:stretch>
                      <a:fillRect/>
                    </a:stretch>
                  </pic:blipFill>
                  <pic:spPr>
                    <a:xfrm>
                      <a:off x="0" y="0"/>
                      <a:ext cx="4721364" cy="6583680"/>
                    </a:xfrm>
                    <a:prstGeom prst="rect"/>
                  </pic:spPr>
                </pic:pic>
              </a:graphicData>
            </a:graphic>
          </wp:inline>
        </w:drawing>
      </w:r>
    </w:p>
    <w:p>
      <w:r>
        <w:t>Source code baseline: github.com/ISI0007/USAMIS-PROJECT-Python-, commit 492517e6a32d1ded0f7176460c9283d8afd5035e. Detailed changes and reproducible commands: docs/FOUR_LAYER_UPGRADE.md and docs/VERIFICATION_2026_10_30.md. Technical references: OpenCV QRCodeDetector documentation and Keras structured-data examples. These references do not validate this synthetic model.</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USAMIS | Implementation and verification supplement | 30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