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r>
        <w:rPr>
          <w:rFonts w:ascii="Arial Narrow" w:hAnsi="Arial Narrow"/>
          <w:b/>
          <w:lang w:val="es-ES_tradnl"/>
        </w:rPr>
        <w:t>Stakeholders</w:t>
      </w:r>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99319B"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99319B"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99319B"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99319B"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99319B"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99319B"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99319B"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99319B"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7777777" w:rsidR="00DE161C" w:rsidRPr="00814D21"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DE161C" w:rsidRPr="00814D21">
        <w:rPr>
          <w:rFonts w:ascii="Arial Narrow" w:hAnsi="Arial Narrow"/>
          <w:b/>
          <w:lang w:val="es-ES_tradnl"/>
        </w:rPr>
        <w:t>Análisis de Requerimientos</w:t>
      </w:r>
      <w:r w:rsidR="008E21C9" w:rsidRPr="00814D21">
        <w:rPr>
          <w:rFonts w:ascii="Arial Narrow" w:hAnsi="Arial Narrow"/>
          <w:b/>
          <w:lang w:val="es-ES_tradnl"/>
        </w:rPr>
        <w:t xml:space="preserve"> Funcionales</w:t>
      </w:r>
    </w:p>
    <w:p w14:paraId="2AB62BCE" w14:textId="77777777" w:rsidR="00DE161C" w:rsidRPr="00814D21" w:rsidRDefault="00DE161C"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99319B"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99319B"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99319B"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99319B"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99319B"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99319B"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Request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99319B"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99319B"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99319B"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99319B"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99319B"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Se recibe un HTTP Request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99319B"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99319B"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99319B"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99319B"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99319B"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99319B"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99319B"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99319B"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99319B"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99319B"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99319B"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99319B"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99319B"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77777777"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99319B"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99319B"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99319B"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99319B"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99319B"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99319B"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99319B"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99319B"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99319B"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99319B"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lastRenderedPageBreak/>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99319B"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99319B"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99319B"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99319B"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99319B"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77777777" w:rsidR="008E21C9" w:rsidRPr="00814D21" w:rsidRDefault="00475C63" w:rsidP="008E21C9">
      <w:pPr>
        <w:jc w:val="center"/>
        <w:rPr>
          <w:rFonts w:ascii="Arial Narrow" w:hAnsi="Arial Narrow"/>
          <w:b/>
          <w:lang w:val="es-ES_tradnl"/>
        </w:rPr>
      </w:pPr>
      <w:r>
        <w:rPr>
          <w:rFonts w:ascii="Arial Narrow" w:hAnsi="Arial Narrow"/>
          <w:b/>
          <w:lang w:val="es-ES_tradnl"/>
        </w:rPr>
        <w:t>VI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77777777"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Capa de 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lastRenderedPageBreak/>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permitirá desplegar la aplicación en un servidor cloud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162458C6" w14:textId="77777777" w:rsidR="00D35010" w:rsidRDefault="00D35010" w:rsidP="00B83868">
      <w:pPr>
        <w:pStyle w:val="ListParagraph"/>
        <w:ind w:left="284"/>
        <w:jc w:val="both"/>
        <w:rPr>
          <w:rFonts w:ascii="Arial Narrow" w:hAnsi="Arial Narrow"/>
          <w:lang w:val="es-ES_tradnl"/>
        </w:rPr>
      </w:pPr>
    </w:p>
    <w:p w14:paraId="0B6E69D7" w14:textId="77777777" w:rsidR="00D35010" w:rsidRPr="00814D21" w:rsidRDefault="00D35010" w:rsidP="00B83868">
      <w:pPr>
        <w:pStyle w:val="ListParagraph"/>
        <w:ind w:left="284"/>
        <w:jc w:val="both"/>
        <w:rPr>
          <w:rFonts w:ascii="Arial Narrow" w:hAnsi="Arial Narrow"/>
          <w:lang w:val="es-ES_tradnl"/>
        </w:rPr>
      </w:pPr>
    </w:p>
    <w:p w14:paraId="57DB178D" w14:textId="77777777"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6278A8" w:rsidRPr="00EE06AF" w:rsidRDefault="006278A8"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6278A8" w:rsidRPr="00EE06AF" w:rsidRDefault="006278A8"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77777777" w:rsidR="00352FF9" w:rsidRPr="00814D21" w:rsidRDefault="00352FF9" w:rsidP="00352FF9">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III</w:t>
      </w:r>
      <w:r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stakeholders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BlazeMeter integrada como un Add-on a la aplicación desplegada en el cloud usando Heroku. La mayor ventaja de BlazeMeter es la facilidad para modificar los parámetros de la prueba y la variedad de parámetros modificables que presenta. Por ejemplo, se puede agregar un delay a la prueba que consiste en agregar un retraso entre los envios </w:t>
      </w:r>
      <w:r w:rsidR="00C406E9">
        <w:rPr>
          <w:rFonts w:ascii="Arial Narrow" w:hAnsi="Arial Narrow"/>
          <w:lang w:val="es-ES_tradnl"/>
        </w:rPr>
        <w:t>de requests. Esto representa una gran utilidad en cuanto a la base de datos debido a que al enviar una gran cantidad de peticiones en un intervalo de tiempo muy reducido se corre el riesgo de que las peticiones se encolen y se presenten excepciones del tipo Connection Timed Out.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bookmarkStart w:id="0" w:name="_GoBack"/>
      <w:bookmarkEnd w:id="0"/>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threads menor a 8. Sin embargo, al intentar con 10 threads,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threads vs. rendimiento, se puede ver que se obtiene un rendimiento máximo alrededor de los 5 eventos sísmicos. Esto concuerda con la gráfica de # de threads vs. tiempo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En el caso de los sensores, se hizo una prueba de carga desde el programa JMeter en el que se incrementó el número total de threads gradualmente, donde cada uno hacía una actualización de los sensores del SATT. Para esta prueba se utilizó JMeter principalmente debido a que por medio de scripts incluidos dentro del JSon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Adicionalmente, se obtuvo la siguiente gráfica de # de threads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Finalmente, se utilizó el siguiente código JSon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Inicialmente, frente a la prueba utilizada en la entrega anterior, hay que identificar un cambio importante: el uso de scripts en el JSon. El script utilizado (</w:t>
      </w:r>
      <w:r w:rsidRPr="007F6885">
        <w:rPr>
          <w:rFonts w:ascii="Courier New" w:hAnsi="Courier New" w:cs="Courier New"/>
          <w:lang w:val="es-CO"/>
        </w:rPr>
        <w:t>${__</w:t>
      </w:r>
      <w:proofErr w:type="gramStart"/>
      <w:r w:rsidRPr="007F6885">
        <w:rPr>
          <w:rFonts w:ascii="Courier New" w:hAnsi="Courier New" w:cs="Courier New"/>
          <w:lang w:val="es-CO"/>
        </w:rPr>
        <w:t>counter(</w:t>
      </w:r>
      <w:proofErr w:type="gramEnd"/>
      <w:r w:rsidRPr="007F6885">
        <w:rPr>
          <w:rFonts w:ascii="Courier New" w:hAnsi="Courier New" w:cs="Courier New"/>
          <w:lang w:val="es-CO"/>
        </w:rPr>
        <w:t>false, my_counter)}</w:t>
      </w:r>
      <w:r w:rsidRPr="007F6885">
        <w:rPr>
          <w:rFonts w:ascii="Arial Narrow" w:hAnsi="Arial Narrow"/>
          <w:lang w:val="es-CO"/>
        </w:rPr>
        <w:t>)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Connection Timmed Out debido a que al llegar demasiadas peticiones para actualizar el mismo sensor la base de datos bloqueaba la tupla y las peticiones se encolaban, al punto que algunas de ellas demoraban más de 30 segundos en ser respondidas y se lanzaba la excepción. A partir de esta modificación hecha, con cada thread se actualiza una entrada diferente de los sensores evitando el problema mencionado anteriormente. Además de lo anterior, fue necesario utilizar cierto tiempo de Ramp-up ya que aunque con la inclusión del script en el JSon se reduce sustancialmente la probabilidad de que se presente la excepción de Connection Timmed Out, si no se utiliza cierto tiempo de Ramp-up existe una pequeña probabilidad de que se encolen algunos de los threads.</w:t>
      </w:r>
    </w:p>
    <w:p w14:paraId="0085A8C3" w14:textId="77777777" w:rsidR="007F6885" w:rsidRPr="007F6885" w:rsidRDefault="007F6885" w:rsidP="00332BC5">
      <w:pPr>
        <w:jc w:val="both"/>
        <w:rPr>
          <w:rFonts w:ascii="Arial Narrow" w:hAnsi="Arial Narrow"/>
          <w:lang w:val="es-CO"/>
        </w:rPr>
      </w:pPr>
    </w:p>
    <w:p w14:paraId="53437B1D" w14:textId="0834B150" w:rsidR="004D1EA3" w:rsidRPr="007F6885"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threads. Luego hay una franja entre los 2500 y los 3500 threads en la que se incrementa el tiempo de respuesta medio llegando a un máximo de casi 850 ms. Finalmente, cuando se realiza la iteración de mayor peso (la de los 4000 threads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threads de 2000 a 4000 se puede ver que se reduce sustancialmente el tiempo de respuesta medio, posiblemente por lo explicado anteriormente. Además, </w:t>
      </w:r>
      <w:r w:rsidR="0095290C">
        <w:rPr>
          <w:rFonts w:ascii="Arial Narrow" w:hAnsi="Arial Narrow"/>
          <w:lang w:val="es-CO"/>
        </w:rPr>
        <w:t xml:space="preserve">en la gráfica de # de threads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p>
    <w:sectPr w:rsidR="004D1EA3" w:rsidRPr="007F6885"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359FE"/>
    <w:rsid w:val="001469AE"/>
    <w:rsid w:val="00221677"/>
    <w:rsid w:val="002D562C"/>
    <w:rsid w:val="00305FD5"/>
    <w:rsid w:val="00332BC5"/>
    <w:rsid w:val="0035212C"/>
    <w:rsid w:val="00352FF9"/>
    <w:rsid w:val="004272B9"/>
    <w:rsid w:val="00475C63"/>
    <w:rsid w:val="00481CCD"/>
    <w:rsid w:val="004A6C16"/>
    <w:rsid w:val="004D1EA3"/>
    <w:rsid w:val="004F1376"/>
    <w:rsid w:val="00535194"/>
    <w:rsid w:val="00587B57"/>
    <w:rsid w:val="005B669E"/>
    <w:rsid w:val="006278A8"/>
    <w:rsid w:val="0069439B"/>
    <w:rsid w:val="00706F1A"/>
    <w:rsid w:val="007111C8"/>
    <w:rsid w:val="007F6885"/>
    <w:rsid w:val="00814D21"/>
    <w:rsid w:val="00867CA1"/>
    <w:rsid w:val="00881DFE"/>
    <w:rsid w:val="00891010"/>
    <w:rsid w:val="008911BA"/>
    <w:rsid w:val="008E178E"/>
    <w:rsid w:val="008E21C9"/>
    <w:rsid w:val="0095290C"/>
    <w:rsid w:val="0099319B"/>
    <w:rsid w:val="00A72F00"/>
    <w:rsid w:val="00AC7D01"/>
    <w:rsid w:val="00B241C5"/>
    <w:rsid w:val="00B83868"/>
    <w:rsid w:val="00BA5E9A"/>
    <w:rsid w:val="00BC290F"/>
    <w:rsid w:val="00C011A6"/>
    <w:rsid w:val="00C406E9"/>
    <w:rsid w:val="00C53A8A"/>
    <w:rsid w:val="00C82066"/>
    <w:rsid w:val="00CA2CA7"/>
    <w:rsid w:val="00CF140A"/>
    <w:rsid w:val="00D14ACA"/>
    <w:rsid w:val="00D35010"/>
    <w:rsid w:val="00D95266"/>
    <w:rsid w:val="00DA32F9"/>
    <w:rsid w:val="00DE161C"/>
    <w:rsid w:val="00E25CED"/>
    <w:rsid w:val="00E6569F"/>
    <w:rsid w:val="00E76078"/>
    <w:rsid w:val="00EE06AF"/>
    <w:rsid w:val="00F653D3"/>
    <w:rsid w:val="00F732EF"/>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BE636-752B-481F-832F-D4EC6232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13</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23825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21</cp:revision>
  <dcterms:created xsi:type="dcterms:W3CDTF">2016-02-12T00:22:00Z</dcterms:created>
  <dcterms:modified xsi:type="dcterms:W3CDTF">2016-03-15T20:30:00Z</dcterms:modified>
</cp:coreProperties>
</file>