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038" w:rsidRDefault="0095720D">
      <w:pPr>
        <w:rPr>
          <w:rFonts w:ascii="Times New Roman" w:hAnsi="Times New Roman" w:cs="Times New Roman"/>
          <w:sz w:val="24"/>
        </w:rPr>
      </w:pPr>
      <w:r>
        <w:rPr>
          <w:rFonts w:ascii="Times New Roman" w:hAnsi="Times New Roman" w:cs="Times New Roman"/>
          <w:sz w:val="24"/>
        </w:rPr>
        <w:t>Documentación Experimento 1 Entrega final</w:t>
      </w:r>
    </w:p>
    <w:p w:rsidR="0095720D" w:rsidRDefault="0095720D">
      <w:pPr>
        <w:rPr>
          <w:rFonts w:ascii="Times New Roman" w:hAnsi="Times New Roman" w:cs="Times New Roman"/>
          <w:sz w:val="24"/>
        </w:rPr>
      </w:pPr>
      <w:r>
        <w:rPr>
          <w:rFonts w:ascii="Times New Roman" w:hAnsi="Times New Roman" w:cs="Times New Roman"/>
          <w:sz w:val="24"/>
        </w:rPr>
        <w:t>Estudiantes:</w:t>
      </w:r>
    </w:p>
    <w:p w:rsidR="0095720D" w:rsidRDefault="0095720D">
      <w:pPr>
        <w:rPr>
          <w:rFonts w:ascii="Times New Roman" w:hAnsi="Times New Roman" w:cs="Times New Roman"/>
          <w:sz w:val="24"/>
        </w:rPr>
      </w:pPr>
      <w:r>
        <w:rPr>
          <w:rFonts w:ascii="Times New Roman" w:hAnsi="Times New Roman" w:cs="Times New Roman"/>
          <w:sz w:val="24"/>
        </w:rPr>
        <w:t>Juan Carlos Corrales Guerrero (201531115)</w:t>
      </w:r>
    </w:p>
    <w:p w:rsidR="0095720D" w:rsidRDefault="0095720D">
      <w:pPr>
        <w:rPr>
          <w:rFonts w:ascii="Times New Roman" w:hAnsi="Times New Roman" w:cs="Times New Roman"/>
          <w:sz w:val="24"/>
        </w:rPr>
      </w:pPr>
      <w:r>
        <w:rPr>
          <w:rFonts w:ascii="Times New Roman" w:hAnsi="Times New Roman" w:cs="Times New Roman"/>
          <w:sz w:val="24"/>
        </w:rPr>
        <w:t>Carlos Sebastián Gómez Fernández (201623374)</w:t>
      </w:r>
    </w:p>
    <w:p w:rsidR="0095720D" w:rsidRDefault="00F9082A">
      <w:pPr>
        <w:rPr>
          <w:rFonts w:ascii="Times New Roman" w:hAnsi="Times New Roman" w:cs="Times New Roman"/>
          <w:sz w:val="24"/>
        </w:rPr>
      </w:pPr>
      <w:r w:rsidRPr="00F9082A">
        <w:rPr>
          <w:rFonts w:ascii="Times New Roman" w:hAnsi="Times New Roman" w:cs="Times New Roman"/>
          <w:sz w:val="24"/>
        </w:rPr>
        <w:t xml:space="preserve">Carlos Alberto Mendoza </w:t>
      </w:r>
      <w:proofErr w:type="spellStart"/>
      <w:r w:rsidRPr="00F9082A">
        <w:rPr>
          <w:rFonts w:ascii="Times New Roman" w:hAnsi="Times New Roman" w:cs="Times New Roman"/>
          <w:sz w:val="24"/>
        </w:rPr>
        <w:t>Patalagua</w:t>
      </w:r>
      <w:proofErr w:type="spellEnd"/>
      <w:r>
        <w:rPr>
          <w:rFonts w:ascii="Times New Roman" w:hAnsi="Times New Roman" w:cs="Times New Roman"/>
          <w:sz w:val="24"/>
        </w:rPr>
        <w:t xml:space="preserve"> (</w:t>
      </w:r>
      <w:r w:rsidRPr="00F9082A">
        <w:rPr>
          <w:rFonts w:ascii="Times New Roman" w:hAnsi="Times New Roman" w:cs="Times New Roman"/>
          <w:sz w:val="24"/>
        </w:rPr>
        <w:t>201621144</w:t>
      </w:r>
      <w:r>
        <w:rPr>
          <w:rFonts w:ascii="Times New Roman" w:hAnsi="Times New Roman" w:cs="Times New Roman"/>
          <w:sz w:val="24"/>
        </w:rPr>
        <w:t>)</w:t>
      </w:r>
    </w:p>
    <w:p w:rsidR="0095720D" w:rsidRDefault="00F9082A">
      <w:pPr>
        <w:rPr>
          <w:rFonts w:ascii="Times New Roman" w:hAnsi="Times New Roman" w:cs="Times New Roman"/>
          <w:sz w:val="24"/>
        </w:rPr>
      </w:pPr>
      <w:r w:rsidRPr="00F9082A">
        <w:rPr>
          <w:rFonts w:ascii="Times New Roman" w:hAnsi="Times New Roman" w:cs="Times New Roman"/>
          <w:sz w:val="24"/>
        </w:rPr>
        <w:t xml:space="preserve">Kelvin Santiago </w:t>
      </w:r>
      <w:proofErr w:type="spellStart"/>
      <w:r w:rsidRPr="00F9082A">
        <w:rPr>
          <w:rFonts w:ascii="Times New Roman" w:hAnsi="Times New Roman" w:cs="Times New Roman"/>
          <w:sz w:val="24"/>
        </w:rPr>
        <w:t>Estupiñan</w:t>
      </w:r>
      <w:proofErr w:type="spellEnd"/>
      <w:r w:rsidRPr="00F9082A">
        <w:rPr>
          <w:rFonts w:ascii="Times New Roman" w:hAnsi="Times New Roman" w:cs="Times New Roman"/>
          <w:sz w:val="24"/>
        </w:rPr>
        <w:t xml:space="preserve"> Garavito</w:t>
      </w:r>
      <w:r>
        <w:rPr>
          <w:rFonts w:ascii="Times New Roman" w:hAnsi="Times New Roman" w:cs="Times New Roman"/>
          <w:sz w:val="24"/>
        </w:rPr>
        <w:t xml:space="preserve"> (</w:t>
      </w:r>
      <w:r w:rsidRPr="00F9082A">
        <w:rPr>
          <w:rFonts w:ascii="Times New Roman" w:hAnsi="Times New Roman" w:cs="Times New Roman"/>
          <w:sz w:val="24"/>
        </w:rPr>
        <w:t>201614210</w:t>
      </w:r>
      <w:r>
        <w:rPr>
          <w:rFonts w:ascii="Times New Roman" w:hAnsi="Times New Roman" w:cs="Times New Roman"/>
          <w:sz w:val="24"/>
        </w:rPr>
        <w:t>)</w:t>
      </w:r>
    </w:p>
    <w:p w:rsidR="0095720D" w:rsidRDefault="0095720D" w:rsidP="0095720D">
      <w:pPr>
        <w:pStyle w:val="Prrafodelista"/>
        <w:numPr>
          <w:ilvl w:val="0"/>
          <w:numId w:val="1"/>
        </w:numPr>
        <w:rPr>
          <w:rFonts w:ascii="Times New Roman" w:hAnsi="Times New Roman" w:cs="Times New Roman"/>
          <w:sz w:val="24"/>
        </w:rPr>
      </w:pPr>
      <w:r>
        <w:rPr>
          <w:rFonts w:ascii="Times New Roman" w:hAnsi="Times New Roman" w:cs="Times New Roman"/>
          <w:sz w:val="24"/>
        </w:rPr>
        <w:t>Escenarios de Pruebas</w:t>
      </w:r>
    </w:p>
    <w:p w:rsidR="00AB1C2F" w:rsidRPr="00AB1C2F" w:rsidRDefault="00AB1C2F" w:rsidP="00AB1C2F">
      <w:pPr>
        <w:ind w:firstLine="360"/>
        <w:rPr>
          <w:rFonts w:ascii="Times New Roman" w:hAnsi="Times New Roman" w:cs="Times New Roman"/>
          <w:sz w:val="24"/>
        </w:rPr>
      </w:pPr>
      <w:r>
        <w:rPr>
          <w:rFonts w:ascii="Times New Roman" w:hAnsi="Times New Roman" w:cs="Times New Roman"/>
          <w:sz w:val="24"/>
        </w:rPr>
        <w:t>S</w:t>
      </w:r>
      <w:bookmarkStart w:id="0" w:name="_GoBack"/>
      <w:bookmarkEnd w:id="0"/>
      <w:r w:rsidRPr="00AB1C2F">
        <w:rPr>
          <w:rFonts w:ascii="Times New Roman" w:hAnsi="Times New Roman" w:cs="Times New Roman"/>
          <w:sz w:val="24"/>
        </w:rPr>
        <w:t>e verifica el cumplimiento del escenario de desempeño y esca</w:t>
      </w:r>
      <w:r>
        <w:rPr>
          <w:rFonts w:ascii="Times New Roman" w:hAnsi="Times New Roman" w:cs="Times New Roman"/>
          <w:sz w:val="24"/>
        </w:rPr>
        <w:t>la</w:t>
      </w:r>
      <w:r w:rsidRPr="00AB1C2F">
        <w:rPr>
          <w:rFonts w:ascii="Times New Roman" w:hAnsi="Times New Roman" w:cs="Times New Roman"/>
          <w:sz w:val="24"/>
        </w:rPr>
        <w:t>bilidad de que la arquitect</w:t>
      </w:r>
      <w:r>
        <w:rPr>
          <w:rFonts w:ascii="Times New Roman" w:hAnsi="Times New Roman" w:cs="Times New Roman"/>
          <w:sz w:val="24"/>
        </w:rPr>
        <w:t>ura sea capaz de manejar el enví</w:t>
      </w:r>
      <w:r w:rsidRPr="00AB1C2F">
        <w:rPr>
          <w:rFonts w:ascii="Times New Roman" w:hAnsi="Times New Roman" w:cs="Times New Roman"/>
          <w:sz w:val="24"/>
        </w:rPr>
        <w:t>o de notificaciones a 200 inmuebles en 1.500 unidades residencia</w:t>
      </w:r>
      <w:r>
        <w:rPr>
          <w:rFonts w:ascii="Times New Roman" w:hAnsi="Times New Roman" w:cs="Times New Roman"/>
          <w:sz w:val="24"/>
        </w:rPr>
        <w:t>les. Para esto se simula el enví</w:t>
      </w:r>
      <w:r w:rsidRPr="00AB1C2F">
        <w:rPr>
          <w:rFonts w:ascii="Times New Roman" w:hAnsi="Times New Roman" w:cs="Times New Roman"/>
          <w:sz w:val="24"/>
        </w:rPr>
        <w:t>o de 200 y 300.000(200 *1.500) notificaciones</w:t>
      </w:r>
    </w:p>
    <w:p w:rsidR="0095720D" w:rsidRDefault="0095720D" w:rsidP="0095720D">
      <w:pPr>
        <w:pStyle w:val="Prrafodelista"/>
        <w:numPr>
          <w:ilvl w:val="0"/>
          <w:numId w:val="1"/>
        </w:numPr>
        <w:rPr>
          <w:rFonts w:ascii="Times New Roman" w:hAnsi="Times New Roman" w:cs="Times New Roman"/>
          <w:sz w:val="24"/>
        </w:rPr>
      </w:pPr>
      <w:r>
        <w:rPr>
          <w:rFonts w:ascii="Times New Roman" w:hAnsi="Times New Roman" w:cs="Times New Roman"/>
          <w:sz w:val="24"/>
        </w:rPr>
        <w:t>Diagrama de componentes</w:t>
      </w:r>
    </w:p>
    <w:p w:rsidR="00685BFE" w:rsidRPr="00685BFE" w:rsidRDefault="004D5944" w:rsidP="00685BFE">
      <w:pP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612130" cy="38595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 Component View.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859530"/>
                    </a:xfrm>
                    <a:prstGeom prst="rect">
                      <a:avLst/>
                    </a:prstGeom>
                  </pic:spPr>
                </pic:pic>
              </a:graphicData>
            </a:graphic>
          </wp:inline>
        </w:drawing>
      </w:r>
    </w:p>
    <w:p w:rsidR="0095720D" w:rsidRDefault="0095720D" w:rsidP="0095720D">
      <w:pPr>
        <w:pStyle w:val="Prrafodelista"/>
        <w:numPr>
          <w:ilvl w:val="0"/>
          <w:numId w:val="1"/>
        </w:numPr>
        <w:rPr>
          <w:rFonts w:ascii="Times New Roman" w:hAnsi="Times New Roman" w:cs="Times New Roman"/>
          <w:sz w:val="24"/>
        </w:rPr>
      </w:pPr>
      <w:r>
        <w:rPr>
          <w:rFonts w:ascii="Times New Roman" w:hAnsi="Times New Roman" w:cs="Times New Roman"/>
          <w:sz w:val="24"/>
        </w:rPr>
        <w:t>Diagrama de Despliegue</w:t>
      </w:r>
    </w:p>
    <w:p w:rsidR="004812D5" w:rsidRPr="004812D5" w:rsidRDefault="004812D5" w:rsidP="004812D5">
      <w:pPr>
        <w:rPr>
          <w:rFonts w:ascii="Times New Roman" w:hAnsi="Times New Roman" w:cs="Times New Roman"/>
          <w:sz w:val="24"/>
        </w:rPr>
      </w:pPr>
      <w:r>
        <w:rPr>
          <w:rFonts w:ascii="Times New Roman" w:hAnsi="Times New Roman" w:cs="Times New Roman"/>
          <w:noProof/>
          <w:sz w:val="24"/>
          <w:lang w:eastAsia="es-CO"/>
        </w:rPr>
        <w:lastRenderedPageBreak/>
        <w:drawing>
          <wp:inline distT="0" distB="0" distL="0" distR="0">
            <wp:extent cx="5612130" cy="80397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View.png"/>
                    <pic:cNvPicPr/>
                  </pic:nvPicPr>
                  <pic:blipFill>
                    <a:blip r:embed="rId6">
                      <a:extLst>
                        <a:ext uri="{28A0092B-C50C-407E-A947-70E740481C1C}">
                          <a14:useLocalDpi xmlns:a14="http://schemas.microsoft.com/office/drawing/2010/main" val="0"/>
                        </a:ext>
                      </a:extLst>
                    </a:blip>
                    <a:stretch>
                      <a:fillRect/>
                    </a:stretch>
                  </pic:blipFill>
                  <pic:spPr>
                    <a:xfrm>
                      <a:off x="0" y="0"/>
                      <a:ext cx="5612130" cy="8039735"/>
                    </a:xfrm>
                    <a:prstGeom prst="rect">
                      <a:avLst/>
                    </a:prstGeom>
                  </pic:spPr>
                </pic:pic>
              </a:graphicData>
            </a:graphic>
          </wp:inline>
        </w:drawing>
      </w:r>
    </w:p>
    <w:p w:rsidR="0095720D" w:rsidRDefault="0095720D" w:rsidP="0095720D">
      <w:pPr>
        <w:pStyle w:val="Prrafodelista"/>
        <w:numPr>
          <w:ilvl w:val="0"/>
          <w:numId w:val="1"/>
        </w:numPr>
        <w:rPr>
          <w:rFonts w:ascii="Times New Roman" w:hAnsi="Times New Roman" w:cs="Times New Roman"/>
          <w:sz w:val="24"/>
        </w:rPr>
      </w:pPr>
      <w:r>
        <w:rPr>
          <w:rFonts w:ascii="Times New Roman" w:hAnsi="Times New Roman" w:cs="Times New Roman"/>
          <w:sz w:val="24"/>
        </w:rPr>
        <w:lastRenderedPageBreak/>
        <w:t>Comparación de resultados</w:t>
      </w:r>
    </w:p>
    <w:p w:rsidR="00547A17" w:rsidRDefault="00547A17" w:rsidP="00547A17">
      <w:pPr>
        <w:rPr>
          <w:rFonts w:ascii="Times New Roman" w:hAnsi="Times New Roman" w:cs="Times New Roman"/>
          <w:sz w:val="24"/>
        </w:rPr>
      </w:pPr>
      <w:r>
        <w:rPr>
          <w:noProof/>
          <w:lang w:eastAsia="es-CO"/>
        </w:rPr>
        <w:drawing>
          <wp:inline distT="0" distB="0" distL="0" distR="0" wp14:anchorId="36978720" wp14:editId="0053DD51">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47A17" w:rsidRPr="00547A17" w:rsidRDefault="00547A17" w:rsidP="00547A17">
      <w:pPr>
        <w:rPr>
          <w:rFonts w:ascii="Times New Roman" w:hAnsi="Times New Roman" w:cs="Times New Roman"/>
          <w:sz w:val="24"/>
        </w:rPr>
      </w:pPr>
      <w:r>
        <w:rPr>
          <w:noProof/>
          <w:lang w:eastAsia="es-CO"/>
        </w:rPr>
        <w:drawing>
          <wp:inline distT="0" distB="0" distL="0" distR="0" wp14:anchorId="3196A01C" wp14:editId="787922A4">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5720D" w:rsidRDefault="0095720D" w:rsidP="0095720D">
      <w:pPr>
        <w:pStyle w:val="Prrafodelista"/>
        <w:numPr>
          <w:ilvl w:val="0"/>
          <w:numId w:val="1"/>
        </w:numPr>
        <w:rPr>
          <w:rFonts w:ascii="Times New Roman" w:hAnsi="Times New Roman" w:cs="Times New Roman"/>
          <w:sz w:val="24"/>
        </w:rPr>
      </w:pPr>
      <w:r>
        <w:rPr>
          <w:rFonts w:ascii="Times New Roman" w:hAnsi="Times New Roman" w:cs="Times New Roman"/>
          <w:sz w:val="24"/>
        </w:rPr>
        <w:t>Reflexión sobre diseño actual</w:t>
      </w:r>
    </w:p>
    <w:p w:rsidR="0095720D" w:rsidRPr="0095720D" w:rsidRDefault="00F9082A" w:rsidP="00AB1C2F">
      <w:pPr>
        <w:ind w:firstLine="360"/>
        <w:rPr>
          <w:rFonts w:ascii="Times New Roman" w:hAnsi="Times New Roman" w:cs="Times New Roman"/>
          <w:sz w:val="24"/>
        </w:rPr>
      </w:pPr>
      <w:r>
        <w:rPr>
          <w:rFonts w:ascii="Times New Roman" w:hAnsi="Times New Roman" w:cs="Times New Roman"/>
          <w:sz w:val="24"/>
        </w:rPr>
        <w:t xml:space="preserve">Una limitación que detectamos, es que hay un balanceador de carga que distribuye las peticiones, que vienen de los dispositivos, entre dos nodos para los manejadores de persistencia. Pero, no hay un balanceador similar para las peticiones de los </w:t>
      </w:r>
      <w:proofErr w:type="spellStart"/>
      <w:r>
        <w:rPr>
          <w:rFonts w:ascii="Times New Roman" w:hAnsi="Times New Roman" w:cs="Times New Roman"/>
          <w:sz w:val="24"/>
        </w:rPr>
        <w:t>stakeholders</w:t>
      </w:r>
      <w:proofErr w:type="spellEnd"/>
      <w:r>
        <w:rPr>
          <w:rFonts w:ascii="Times New Roman" w:hAnsi="Times New Roman" w:cs="Times New Roman"/>
          <w:sz w:val="24"/>
        </w:rPr>
        <w:t xml:space="preserve">, por lo que responder a las peticiones se encuentra actualmente fragmentado, dado que los dos nodos no están trabajando juntos para responder las peticiones de los </w:t>
      </w:r>
      <w:proofErr w:type="spellStart"/>
      <w:r>
        <w:rPr>
          <w:rFonts w:ascii="Times New Roman" w:hAnsi="Times New Roman" w:cs="Times New Roman"/>
          <w:sz w:val="24"/>
        </w:rPr>
        <w:t>stakeholders</w:t>
      </w:r>
      <w:proofErr w:type="spellEnd"/>
      <w:r>
        <w:rPr>
          <w:rFonts w:ascii="Times New Roman" w:hAnsi="Times New Roman" w:cs="Times New Roman"/>
          <w:sz w:val="24"/>
        </w:rPr>
        <w:t>. En otras palabras, está un nodo o el otro, pero no están trabajando de manera ordenada.</w:t>
      </w:r>
    </w:p>
    <w:sectPr w:rsidR="0095720D" w:rsidRPr="00957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F72B6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0D"/>
    <w:rsid w:val="00171038"/>
    <w:rsid w:val="00252FCB"/>
    <w:rsid w:val="004812D5"/>
    <w:rsid w:val="004D5944"/>
    <w:rsid w:val="00547A17"/>
    <w:rsid w:val="00685BFE"/>
    <w:rsid w:val="0095720D"/>
    <w:rsid w:val="00AB1C2F"/>
    <w:rsid w:val="00F908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CCF32-D142-451E-941E-DCE7EAFA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Archivos%20Universidad\Sexto%20semestre%20201810\Arquitectura%20y%20dise&#241;o%20de%20Software\Experimento%201%20entrega%20final\Resultados%20Pruebas%20Spe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cuments\Archivos%20Universidad\Sexto%20semestre%20201810\Arquitectura%20y%20dise&#241;o%20de%20Software\Experimento%201%20entrega%20final\Resultados%20Pruebas%20Spe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Iteración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Hoja1!$C$3</c:f>
              <c:strCache>
                <c:ptCount val="1"/>
                <c:pt idx="0">
                  <c:v>Min</c:v>
                </c:pt>
              </c:strCache>
            </c:strRef>
          </c:tx>
          <c:spPr>
            <a:solidFill>
              <a:schemeClr val="accent1"/>
            </a:solidFill>
            <a:ln>
              <a:noFill/>
            </a:ln>
            <a:effectLst/>
          </c:spPr>
          <c:invertIfNegative val="0"/>
          <c:cat>
            <c:numRef>
              <c:f>Hoja1!$B$4</c:f>
              <c:numCache>
                <c:formatCode>#,##0</c:formatCode>
                <c:ptCount val="1"/>
                <c:pt idx="0">
                  <c:v>200</c:v>
                </c:pt>
              </c:numCache>
            </c:numRef>
          </c:cat>
          <c:val>
            <c:numRef>
              <c:f>Hoja1!$C$4</c:f>
              <c:numCache>
                <c:formatCode>#,##0.00;[Red]#,##0.00</c:formatCode>
                <c:ptCount val="1"/>
                <c:pt idx="0">
                  <c:v>1</c:v>
                </c:pt>
              </c:numCache>
            </c:numRef>
          </c:val>
        </c:ser>
        <c:ser>
          <c:idx val="1"/>
          <c:order val="1"/>
          <c:tx>
            <c:strRef>
              <c:f>Hoja1!$E$3</c:f>
              <c:strCache>
                <c:ptCount val="1"/>
                <c:pt idx="0">
                  <c:v>Avg</c:v>
                </c:pt>
              </c:strCache>
            </c:strRef>
          </c:tx>
          <c:spPr>
            <a:solidFill>
              <a:schemeClr val="accent2"/>
            </a:solidFill>
            <a:ln>
              <a:noFill/>
            </a:ln>
            <a:effectLst/>
          </c:spPr>
          <c:invertIfNegative val="0"/>
          <c:cat>
            <c:numRef>
              <c:f>Hoja1!$B$4</c:f>
              <c:numCache>
                <c:formatCode>#,##0</c:formatCode>
                <c:ptCount val="1"/>
                <c:pt idx="0">
                  <c:v>200</c:v>
                </c:pt>
              </c:numCache>
            </c:numRef>
          </c:cat>
          <c:val>
            <c:numRef>
              <c:f>Hoja1!$E$4</c:f>
              <c:numCache>
                <c:formatCode>#,##0.00;[Red]#,##0.00</c:formatCode>
                <c:ptCount val="1"/>
                <c:pt idx="0">
                  <c:v>1</c:v>
                </c:pt>
              </c:numCache>
            </c:numRef>
          </c:val>
        </c:ser>
        <c:ser>
          <c:idx val="2"/>
          <c:order val="2"/>
          <c:tx>
            <c:strRef>
              <c:f>Hoja1!$D$3</c:f>
              <c:strCache>
                <c:ptCount val="1"/>
                <c:pt idx="0">
                  <c:v>Max</c:v>
                </c:pt>
              </c:strCache>
            </c:strRef>
          </c:tx>
          <c:spPr>
            <a:solidFill>
              <a:schemeClr val="accent3"/>
            </a:solidFill>
            <a:ln>
              <a:noFill/>
            </a:ln>
            <a:effectLst/>
          </c:spPr>
          <c:invertIfNegative val="0"/>
          <c:cat>
            <c:numRef>
              <c:f>Hoja1!$B$4</c:f>
              <c:numCache>
                <c:formatCode>#,##0</c:formatCode>
                <c:ptCount val="1"/>
                <c:pt idx="0">
                  <c:v>200</c:v>
                </c:pt>
              </c:numCache>
            </c:numRef>
          </c:cat>
          <c:val>
            <c:numRef>
              <c:f>Hoja1!$D$4</c:f>
              <c:numCache>
                <c:formatCode>#,##0.00;[Red]#,##0.00</c:formatCode>
                <c:ptCount val="1"/>
                <c:pt idx="0">
                  <c:v>3</c:v>
                </c:pt>
              </c:numCache>
            </c:numRef>
          </c:val>
        </c:ser>
        <c:dLbls>
          <c:showLegendKey val="0"/>
          <c:showVal val="0"/>
          <c:showCatName val="0"/>
          <c:showSerName val="0"/>
          <c:showPercent val="0"/>
          <c:showBubbleSize val="0"/>
        </c:dLbls>
        <c:gapWidth val="150"/>
        <c:axId val="1873744272"/>
        <c:axId val="1841953040"/>
      </c:barChart>
      <c:catAx>
        <c:axId val="1873744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Cantidad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41953040"/>
        <c:crosses val="autoZero"/>
        <c:auto val="1"/>
        <c:lblAlgn val="ctr"/>
        <c:lblOffset val="100"/>
        <c:noMultiLvlLbl val="0"/>
      </c:catAx>
      <c:valAx>
        <c:axId val="184195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Tiempos de respuesta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Red]#,##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73744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Iteración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Hoja1!$C$3</c:f>
              <c:strCache>
                <c:ptCount val="1"/>
                <c:pt idx="0">
                  <c:v>Min</c:v>
                </c:pt>
              </c:strCache>
            </c:strRef>
          </c:tx>
          <c:spPr>
            <a:solidFill>
              <a:schemeClr val="accent1"/>
            </a:solidFill>
            <a:ln>
              <a:noFill/>
            </a:ln>
            <a:effectLst/>
          </c:spPr>
          <c:invertIfNegative val="0"/>
          <c:cat>
            <c:numRef>
              <c:f>Hoja1!$B$5</c:f>
              <c:numCache>
                <c:formatCode>#,##0</c:formatCode>
                <c:ptCount val="1"/>
                <c:pt idx="0">
                  <c:v>300000</c:v>
                </c:pt>
              </c:numCache>
            </c:numRef>
          </c:cat>
          <c:val>
            <c:numRef>
              <c:f>Hoja1!$C$5</c:f>
              <c:numCache>
                <c:formatCode>#,##0.00;[Red]#,##0.00</c:formatCode>
                <c:ptCount val="1"/>
                <c:pt idx="0">
                  <c:v>0</c:v>
                </c:pt>
              </c:numCache>
            </c:numRef>
          </c:val>
        </c:ser>
        <c:ser>
          <c:idx val="1"/>
          <c:order val="1"/>
          <c:tx>
            <c:strRef>
              <c:f>Hoja1!$E$3</c:f>
              <c:strCache>
                <c:ptCount val="1"/>
                <c:pt idx="0">
                  <c:v>Avg</c:v>
                </c:pt>
              </c:strCache>
            </c:strRef>
          </c:tx>
          <c:spPr>
            <a:solidFill>
              <a:schemeClr val="accent2"/>
            </a:solidFill>
            <a:ln>
              <a:noFill/>
            </a:ln>
            <a:effectLst/>
          </c:spPr>
          <c:invertIfNegative val="0"/>
          <c:cat>
            <c:numRef>
              <c:f>Hoja1!$B$5</c:f>
              <c:numCache>
                <c:formatCode>#,##0</c:formatCode>
                <c:ptCount val="1"/>
                <c:pt idx="0">
                  <c:v>300000</c:v>
                </c:pt>
              </c:numCache>
            </c:numRef>
          </c:cat>
          <c:val>
            <c:numRef>
              <c:f>Hoja1!$E$5</c:f>
              <c:numCache>
                <c:formatCode>#,##0.00;[Red]#,##0.00</c:formatCode>
                <c:ptCount val="1"/>
                <c:pt idx="0">
                  <c:v>1077</c:v>
                </c:pt>
              </c:numCache>
            </c:numRef>
          </c:val>
        </c:ser>
        <c:ser>
          <c:idx val="2"/>
          <c:order val="2"/>
          <c:tx>
            <c:strRef>
              <c:f>Hoja1!$D$3</c:f>
              <c:strCache>
                <c:ptCount val="1"/>
                <c:pt idx="0">
                  <c:v>Max</c:v>
                </c:pt>
              </c:strCache>
            </c:strRef>
          </c:tx>
          <c:spPr>
            <a:solidFill>
              <a:schemeClr val="accent3"/>
            </a:solidFill>
            <a:ln>
              <a:noFill/>
            </a:ln>
            <a:effectLst/>
          </c:spPr>
          <c:invertIfNegative val="0"/>
          <c:cat>
            <c:numRef>
              <c:f>Hoja1!$B$5</c:f>
              <c:numCache>
                <c:formatCode>#,##0</c:formatCode>
                <c:ptCount val="1"/>
                <c:pt idx="0">
                  <c:v>300000</c:v>
                </c:pt>
              </c:numCache>
            </c:numRef>
          </c:cat>
          <c:val>
            <c:numRef>
              <c:f>Hoja1!$D$5</c:f>
              <c:numCache>
                <c:formatCode>#,##0.00;[Red]#,##0.00</c:formatCode>
                <c:ptCount val="1"/>
                <c:pt idx="0">
                  <c:v>13363</c:v>
                </c:pt>
              </c:numCache>
            </c:numRef>
          </c:val>
        </c:ser>
        <c:dLbls>
          <c:showLegendKey val="0"/>
          <c:showVal val="0"/>
          <c:showCatName val="0"/>
          <c:showSerName val="0"/>
          <c:showPercent val="0"/>
          <c:showBubbleSize val="0"/>
        </c:dLbls>
        <c:gapWidth val="150"/>
        <c:axId val="1975375344"/>
        <c:axId val="1975383504"/>
      </c:barChart>
      <c:catAx>
        <c:axId val="197537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Cantidad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75383504"/>
        <c:crosses val="autoZero"/>
        <c:auto val="1"/>
        <c:lblAlgn val="ctr"/>
        <c:lblOffset val="100"/>
        <c:noMultiLvlLbl val="0"/>
      </c:catAx>
      <c:valAx>
        <c:axId val="197538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Tiempos de respuesta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Red]#,##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75375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177</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Corrales</dc:creator>
  <cp:keywords/>
  <dc:description/>
  <cp:lastModifiedBy>Juan Carlos Corrales</cp:lastModifiedBy>
  <cp:revision>4</cp:revision>
  <dcterms:created xsi:type="dcterms:W3CDTF">2018-03-25T20:33:00Z</dcterms:created>
  <dcterms:modified xsi:type="dcterms:W3CDTF">2018-03-26T04:32:00Z</dcterms:modified>
</cp:coreProperties>
</file>