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/>
        <w:keepLines/>
        <w:shd w:val="clear" w:color="auto" w:fill="auto"/>
        <w:bidi w:val="0"/>
        <w:jc w:val="left"/>
        <w:spacing w:line="440" w:lineRule="exact"/>
        <w:ind w:left="0" w:firstLine="36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Nouveau bulletin </w:t>
      </w:r>
      <w:r>
        <w:rPr>
          <w:lang w:val="fr-FR" w:eastAsia="fr-FR" w:bidi="fr-FR"/>
          <w:w w:val="100"/>
          <w:spacing w:val="0"/>
          <w:color w:val="000000"/>
          <w:position w:val="0"/>
        </w:rPr>
        <w:t>de versement avec code</w:t>
      </w:r>
      <w:bookmarkEnd w:id="0"/>
    </w:p>
    <w:p>
      <w:pPr>
        <w:pStyle w:val="Style4"/>
        <w:widowControl w:val="0"/>
        <w:keepNext/>
        <w:keepLines/>
        <w:shd w:val="clear" w:color="auto" w:fill="auto"/>
        <w:bidi w:val="0"/>
        <w:jc w:val="left"/>
        <w:spacing w:line="320" w:lineRule="exact"/>
        <w:ind w:left="0" w:firstLine="360"/>
        <w:sectPr>
          <w:footnotePr>
            <w:pos w:val="pageBottom"/>
            <w:numFmt w:val="decimal"/>
            <w:numRestart w:val="continuous"/>
          </w:footnotePr>
          <w:pgSz w:w="11900" w:h="16840"/>
          <w:pgMar w:top="1430" w:left="1440" w:right="935" w:bottom="1430" w:header="0" w:footer="3" w:gutter="0"/>
          <w:rtlGutter w:val="0"/>
          <w:cols w:space="720"/>
          <w:noEndnote/>
          <w:docGrid w:linePitch="360"/>
        </w:sectPr>
      </w:pPr>
      <w:bookmarkStart w:id="1" w:name="bookmark1"/>
      <w:r>
        <w:rPr>
          <w:lang w:val="fr-FR" w:eastAsia="fr-FR" w:bidi="fr-FR"/>
          <w:w w:val="100"/>
          <w:spacing w:val="0"/>
          <w:color w:val="000000"/>
          <w:position w:val="0"/>
        </w:rPr>
        <w:t>de données (Aide-mémoire)</w:t>
      </w:r>
      <w:bookmarkEnd w:id="1"/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19pt;height:111pt;">
            <v:imagedata r:id="rId5" r:href="rId6"/>
          </v:shape>
        </w:pic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20" w:lineRule="exact"/>
        <w:ind w:left="0" w:firstLine="0"/>
      </w:pPr>
      <w:r>
        <w:rPr>
          <w:lang w:val="fr-FR" w:eastAsia="fr-FR" w:bidi="fr-FR"/>
          <w:w w:val="100"/>
          <w:spacing w:val="0"/>
          <w:color w:val="000000"/>
          <w:position w:val="0"/>
        </w:rPr>
        <w:t>Illustration 1: prototype du nouveau bulletin de versement avec numéro de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>Cet aide-mémoire décrit le nouveau bulletin de verse</w:t>
        <w:t>ment avec code de données (code QR) (illustrations 1 &amp; 2), qui remplacera, à partir de mi-2018, les variantes des bulletins rouges et orange (illustrations 3 &amp; 4). Cet aide-mémoire s'adresse surtout aux responsables pro</w:t>
        <w:t>duit dans les établissements financiers, chez les four</w:t>
        <w:t>nisseurs de logiciel et dans les imprimeries.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line="251" w:lineRule="exact"/>
        <w:ind w:left="360" w:hanging="360"/>
      </w:pPr>
      <w:bookmarkStart w:id="2" w:name="bookmark2"/>
      <w:r>
        <w:rPr>
          <w:rStyle w:val="CharStyle16"/>
        </w:rPr>
        <w:t>Modifications les plus importantes</w:t>
      </w:r>
      <w:bookmarkEnd w:id="2"/>
    </w:p>
    <w:p>
      <w:pPr>
        <w:widowControl w:val="0"/>
        <w:rPr>
          <w:sz w:val="2"/>
          <w:szCs w:val="2"/>
        </w:rPr>
      </w:pPr>
      <w:r>
        <w:pict>
          <v:shape id="_x0000_s1027" type="#_x0000_t75" style="width:223pt;height:108pt;">
            <v:imagedata r:id="rId7" r:href="rId8"/>
          </v:shape>
        </w:pict>
      </w:r>
    </w:p>
    <w:p>
      <w:pPr>
        <w:pStyle w:val="Style12"/>
        <w:numPr>
          <w:ilvl w:val="0"/>
          <w:numId w:val="1"/>
        </w:numPr>
        <w:tabs>
          <w:tab w:leader="none" w:pos="277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>Un seul justificatif vierge pour les variantes des bul</w:t>
        <w:t>letins de versement rouges et oranges</w:t>
      </w:r>
    </w:p>
    <w:p>
      <w:pPr>
        <w:pStyle w:val="Style12"/>
        <w:numPr>
          <w:ilvl w:val="0"/>
          <w:numId w:val="1"/>
        </w:numPr>
        <w:tabs>
          <w:tab w:leader="none" w:pos="277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>Code QR au lieu de lignes codées □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20" w:lineRule="exact"/>
        <w:ind w:left="0" w:firstLine="0"/>
      </w:pPr>
      <w:r>
        <w:rPr>
          <w:rStyle w:val="CharStyle9"/>
        </w:rPr>
        <w:t>Illustration 2: prototype du nouveau bulletin de versement avec code de données</w:t>
      </w:r>
    </w:p>
    <w:p>
      <w:pPr>
        <w:widowControl w:val="0"/>
        <w:rPr>
          <w:sz w:val="2"/>
          <w:szCs w:val="2"/>
        </w:rPr>
      </w:pPr>
      <w:r>
        <w:pict>
          <v:shape id="_x0000_s1028" type="#_x0000_t75" style="width:217pt;height:110pt;">
            <v:imagedata r:id="rId9" r:href="rId10"/>
          </v:shape>
        </w:pict>
      </w:r>
    </w:p>
    <w:p>
      <w:pPr>
        <w:widowControl w:val="0"/>
        <w:rPr>
          <w:sz w:val="2"/>
          <w:szCs w:val="2"/>
        </w:rPr>
      </w:pPr>
      <w:r>
        <w:pict>
          <v:shape id="_x0000_s1029" type="#_x0000_t75" style="width:229pt;height:109pt;">
            <v:imagedata r:id="rId11" r:href="rId12"/>
          </v:shape>
        </w:pic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20" w:lineRule="exact"/>
        <w:ind w:left="0" w:firstLine="0"/>
      </w:pPr>
      <w:r>
        <w:rPr>
          <w:lang w:val="fr-FR" w:eastAsia="fr-FR" w:bidi="fr-FR"/>
          <w:w w:val="100"/>
          <w:spacing w:val="0"/>
          <w:color w:val="000000"/>
          <w:position w:val="0"/>
        </w:rPr>
        <w:t>Illustration 4: actuel bulletin de versement rouge (BV)</w:t>
      </w:r>
    </w:p>
    <w:p>
      <w:pPr>
        <w:pStyle w:val="Style12"/>
        <w:numPr>
          <w:ilvl w:val="0"/>
          <w:numId w:val="1"/>
        </w:numPr>
        <w:tabs>
          <w:tab w:leader="none" w:pos="277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 xml:space="preserve">Sous «compte» est imprimé le numéro de compte au format </w:t>
      </w:r>
      <w:r>
        <w:rPr>
          <w:rStyle w:val="CharStyle17"/>
        </w:rPr>
        <w:t xml:space="preserve">IBAN.M </w:t>
      </w:r>
      <w:r>
        <w:rPr>
          <w:lang w:val="fr-FR" w:eastAsia="fr-FR" w:bidi="fr-FR"/>
          <w:w w:val="100"/>
          <w:spacing w:val="0"/>
          <w:color w:val="000000"/>
          <w:position w:val="0"/>
        </w:rPr>
        <w:t>L’impression du numéro de compte postal ou de participant BVR est donc sup</w:t>
        <w:t>primée. La reconnaissance de la procédure avec numéro de référence et code de données a lieu grâce à l’identification de l’établissement pour BVR (IID BVR) dans LIBAN BVR.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3" w:lineRule="exact"/>
        <w:ind w:left="0" w:firstLine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>sur mandat de PostFinance et est uniquement dispo</w:t>
        <w:t>nible aux guichets postaux. Il ne peut être commandé ni auprès les banques ni auprès les imprimeries.</w:t>
      </w:r>
    </w:p>
    <w:p>
      <w:pPr>
        <w:widowControl w:val="0"/>
        <w:rPr>
          <w:sz w:val="2"/>
          <w:szCs w:val="2"/>
        </w:rPr>
      </w:pPr>
      <w:r>
        <w:pict>
          <v:shape id="_x0000_s1030" type="#_x0000_t75" style="width:213pt;height:108pt;">
            <v:imagedata r:id="rId13" r:href="rId14"/>
          </v:shape>
        </w:pic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20" w:lineRule="exact"/>
        <w:ind w:left="0" w:firstLine="0"/>
      </w:pPr>
      <w:r>
        <w:rPr>
          <w:lang w:val="fr-FR" w:eastAsia="fr-FR" w:bidi="fr-FR"/>
          <w:w w:val="100"/>
          <w:spacing w:val="0"/>
          <w:color w:val="000000"/>
          <w:position w:val="0"/>
        </w:rPr>
        <w:t>Illustration 5: structure de la carte vierge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line="243" w:lineRule="exact"/>
        <w:ind w:left="0" w:firstLine="360"/>
      </w:pPr>
      <w:bookmarkStart w:id="3" w:name="bookmark3"/>
      <w:r>
        <w:rPr>
          <w:rStyle w:val="CharStyle19"/>
        </w:rPr>
        <w:t>Impression des bulletins de la carte vierge</w:t>
      </w:r>
      <w:bookmarkEnd w:id="3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3" w:lineRule="exact"/>
        <w:ind w:left="0" w:firstLine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>Le bulletin de versement avec numéro de référence et code de données peut contenir un numéro de réfé</w:t>
        <w:t>rence à 27 chiffres au maximum dans le champ «n° de référence». L’identification de procédure sur les 6 pre</w:t>
        <w:t>mières positions (identification de client BVR) dans la référence en tant que clé pour le compte du créancier tombe. À l'exception du chiffre de contrôle, la référence peut ainsi être complètement utilisée par l'émetteur de facture. À la place de la référence BVR contenant 27 numéros, l'utilisation de la référence du créancier con</w:t>
        <w:t>formément à la norme ISO 11649 est également auto</w:t>
        <w:t>risée. Pour le bulletin de versement avec numéro de référence et code de données, le champ «motif verse</w:t>
        <w:t>ment» ne peut pas être utilisé et doit contenir le texte standard «pas de communications».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line="243" w:lineRule="exact"/>
        <w:ind w:left="0" w:firstLine="360"/>
      </w:pPr>
      <w:bookmarkStart w:id="4" w:name="bookmark4"/>
      <w:r>
        <w:rPr>
          <w:rStyle w:val="CharStyle19"/>
          <w:lang w:val="en-US" w:eastAsia="en-US" w:bidi="en-US"/>
        </w:rPr>
        <w:t xml:space="preserve">Quick Response </w:t>
      </w:r>
      <w:r>
        <w:rPr>
          <w:rStyle w:val="CharStyle19"/>
        </w:rPr>
        <w:t>Code (code QR)</w:t>
      </w:r>
      <w:bookmarkEnd w:id="4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3" w:lineRule="exact"/>
        <w:ind w:left="0" w:firstLine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>Les informations imprimées sur les bulletins figurent aussi en code QR. Les exigences concernant la trans</w:t>
        <w:t>mission complète d’informations sur le payeur et le créancier peuvent ainsi être mises en œuvre.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line="243" w:lineRule="exact"/>
        <w:ind w:left="0" w:firstLine="360"/>
      </w:pPr>
      <w:bookmarkStart w:id="5" w:name="bookmark5"/>
      <w:r>
        <w:rPr>
          <w:rStyle w:val="CharStyle19"/>
        </w:rPr>
        <w:t>Compte du créancier</w:t>
      </w:r>
      <w:bookmarkEnd w:id="5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3" w:lineRule="exact"/>
        <w:ind w:left="0" w:firstLine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>Le compte du créancier doit être imprimé au format IBAN. Ainsi il est possible de se conformer aux nor</w:t>
        <w:t>mes internationales.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line="243" w:lineRule="exact"/>
        <w:ind w:left="0" w:firstLine="360"/>
      </w:pPr>
      <w:bookmarkStart w:id="6" w:name="bookmark6"/>
      <w:r>
        <w:rPr>
          <w:rStyle w:val="CharStyle19"/>
        </w:rPr>
        <w:t>Reconnaissance de procédure</w:t>
      </w:r>
      <w:bookmarkEnd w:id="6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3" w:lineRule="exact"/>
        <w:ind w:left="0" w:firstLine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>La reconnaissance de la procédure avec référence et de la procédure avec notification a lieu via LIBAN du créancier du paiement.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line="243" w:lineRule="exact"/>
        <w:ind w:left="0" w:firstLine="360"/>
      </w:pPr>
      <w:bookmarkStart w:id="7" w:name="bookmark7"/>
      <w:r>
        <w:rPr>
          <w:rStyle w:val="CharStyle19"/>
        </w:rPr>
        <w:t>IID BVR</w:t>
      </w:r>
      <w:bookmarkEnd w:id="7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3" w:lineRule="exact"/>
        <w:ind w:left="0" w:firstLine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>La procédure avec référence est reconnue via une identification spéciale de l’établissement (IID BVR). Une IID BVR contient exclusivement des valeurs si</w:t>
        <w:t>tuées dans la fourchette 30 000 - 31 999. Une IID BVR est attribuée à chaque établissement financier juridi</w:t>
        <w:t>quement indépendant participant à la procédure BVR. Les établissements financiers n'ont pas droit à une cer</w:t>
        <w:t xml:space="preserve">taine IID BVR; il n’est donc pas possible de déduire l’appartenance à une banque (ou un groupe bancaire) à partir d’une IID BVR. L’attribution des IID BVR devra avoir lieu à partir de 2016 et sera effectuée par SIX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Interbank </w:t>
      </w:r>
      <w:r>
        <w:rPr>
          <w:lang w:val="fr-FR" w:eastAsia="fr-FR" w:bidi="fr-FR"/>
          <w:w w:val="100"/>
          <w:spacing w:val="0"/>
          <w:color w:val="000000"/>
          <w:position w:val="0"/>
        </w:rPr>
        <w:t>Clearing. Les IID BVR seront publiées dans le fichier des banques.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line="180" w:lineRule="exact"/>
        <w:ind w:left="0" w:firstLine="360"/>
      </w:pPr>
      <w:bookmarkStart w:id="8" w:name="bookmark8"/>
      <w:r>
        <w:rPr>
          <w:rStyle w:val="CharStyle19"/>
        </w:rPr>
        <w:t>IBAN/IBAN BVR (modèles fictifs)</w:t>
      </w:r>
      <w:bookmarkEnd w:id="8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3" w:lineRule="exact"/>
        <w:ind w:left="0" w:firstLine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 xml:space="preserve">IBAN du créancier pour le BV avec code de données: CH63 </w:t>
      </w:r>
      <w:r>
        <w:rPr>
          <w:rStyle w:val="CharStyle20"/>
        </w:rPr>
        <w:t xml:space="preserve">0079 </w:t>
      </w:r>
      <w:r>
        <w:rPr>
          <w:lang w:val="fr-FR" w:eastAsia="fr-FR" w:bidi="fr-FR"/>
          <w:w w:val="100"/>
          <w:spacing w:val="0"/>
          <w:color w:val="000000"/>
          <w:position w:val="0"/>
        </w:rPr>
        <w:t>1123 0007 8901 2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3" w:lineRule="exact"/>
        <w:ind w:left="0" w:firstLine="360"/>
      </w:pPr>
      <w:r>
        <w:rPr>
          <w:lang w:val="fr-FR" w:eastAsia="fr-FR" w:bidi="fr-FR"/>
          <w:w w:val="100"/>
          <w:spacing w:val="0"/>
          <w:color w:val="000000"/>
          <w:position w:val="0"/>
        </w:rPr>
        <w:t xml:space="preserve">Numéro de compte du créancier pour LIBAN BVR: CH18 </w:t>
      </w:r>
      <w:r>
        <w:rPr>
          <w:rStyle w:val="CharStyle21"/>
        </w:rPr>
        <w:t xml:space="preserve">3004 </w:t>
      </w:r>
      <w:r>
        <w:rPr>
          <w:rStyle w:val="CharStyle17"/>
        </w:rPr>
        <w:t xml:space="preserve">3123 </w:t>
      </w:r>
      <w:r>
        <w:rPr>
          <w:lang w:val="fr-FR" w:eastAsia="fr-FR" w:bidi="fr-FR"/>
          <w:w w:val="100"/>
          <w:spacing w:val="0"/>
          <w:color w:val="000000"/>
          <w:position w:val="0"/>
        </w:rPr>
        <w:t>0007 8901 2</w:t>
      </w:r>
    </w:p>
    <w:sectPr>
      <w:type w:val="continuous"/>
      <w:pgSz w:w="11900" w:h="16840"/>
      <w:pgMar w:top="1430" w:left="1440" w:right="9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-"/>
      <w:rPr>
        <w:lang w:val="fr-FR" w:eastAsia="fr-FR" w:bidi="fr-FR"/>
        <w:b w:val="0"/>
        <w:bCs w:val="0"/>
        <w:i w:val="0"/>
        <w:iCs w:val="0"/>
        <w:u w:val="none"/>
        <w:strike w:val="0"/>
        <w:smallCaps w:val="0"/>
        <w:sz w:val="18"/>
        <w:szCs w:val="18"/>
        <w:rFonts w:ascii="Arial" w:eastAsia="Arial" w:hAnsi="Arial" w:cs="Arial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fr-FR" w:eastAsia="fr-FR" w:bidi="fr-F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fr-FR" w:eastAsia="fr-FR" w:bidi="fr-FR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fr-FR" w:eastAsia="fr-FR" w:bidi="fr-FR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Heading #1_"/>
    <w:basedOn w:val="DefaultParagraphFont"/>
    <w:link w:val="Style2"/>
    <w:rPr>
      <w:b/>
      <w:bCs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character" w:customStyle="1" w:styleId="CharStyle5">
    <w:name w:val="Heading #2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character" w:customStyle="1" w:styleId="CharStyle7">
    <w:name w:val="Picture caption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9">
    <w:name w:val="Table caption"/>
    <w:basedOn w:val="DefaultParagraphFont"/>
    <w:rPr>
      <w:b w:val="0"/>
      <w:bCs w:val="0"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11">
    <w:name w:val="Body text (4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13">
    <w:name w:val="Body text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character" w:customStyle="1" w:styleId="CharStyle15">
    <w:name w:val="Heading #3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character" w:customStyle="1" w:styleId="CharStyle16">
    <w:name w:val="Heading #3 + Bold"/>
    <w:basedOn w:val="CharStyle15"/>
    <w:rPr>
      <w:lang w:val="fr-FR" w:eastAsia="fr-FR" w:bidi="fr-FR"/>
      <w:b/>
      <w:bCs/>
      <w:w w:val="100"/>
      <w:spacing w:val="0"/>
      <w:color w:val="2E5185"/>
      <w:position w:val="0"/>
    </w:rPr>
  </w:style>
  <w:style w:type="character" w:customStyle="1" w:styleId="CharStyle17">
    <w:name w:val="Body text (2)"/>
    <w:basedOn w:val="CharStyle13"/>
    <w:rPr>
      <w:lang w:val="fr-FR" w:eastAsia="fr-FR" w:bidi="fr-FR"/>
      <w:w w:val="100"/>
      <w:spacing w:val="0"/>
      <w:color w:val="86295C"/>
      <w:position w:val="0"/>
    </w:rPr>
  </w:style>
  <w:style w:type="character" w:customStyle="1" w:styleId="CharStyle18">
    <w:name w:val="Table caption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19">
    <w:name w:val="Heading #3 + Bold"/>
    <w:basedOn w:val="CharStyle15"/>
    <w:rPr>
      <w:lang w:val="fr-FR" w:eastAsia="fr-FR" w:bidi="fr-FR"/>
      <w:b/>
      <w:bCs/>
      <w:w w:val="100"/>
      <w:spacing w:val="0"/>
      <w:color w:val="052F64"/>
      <w:position w:val="0"/>
    </w:rPr>
  </w:style>
  <w:style w:type="character" w:customStyle="1" w:styleId="CharStyle20">
    <w:name w:val="Body text (2) + Bold"/>
    <w:basedOn w:val="CharStyle13"/>
    <w:rPr>
      <w:lang w:val="fr-FR" w:eastAsia="fr-FR" w:bidi="fr-FR"/>
      <w:b/>
      <w:bCs/>
      <w:w w:val="100"/>
      <w:spacing w:val="0"/>
      <w:color w:val="000000"/>
      <w:position w:val="0"/>
    </w:rPr>
  </w:style>
  <w:style w:type="character" w:customStyle="1" w:styleId="CharStyle21">
    <w:name w:val="Body text (2) + Bold"/>
    <w:basedOn w:val="CharStyle13"/>
    <w:rPr>
      <w:lang w:val="fr-FR" w:eastAsia="fr-FR" w:bidi="fr-FR"/>
      <w:b/>
      <w:bCs/>
      <w:w w:val="100"/>
      <w:spacing w:val="0"/>
      <w:color w:val="E41A82"/>
      <w:position w:val="0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FFFFFF"/>
      <w:outlineLvl w:val="0"/>
      <w:spacing w:line="0" w:lineRule="exact"/>
      <w:ind w:firstLine="37"/>
    </w:pPr>
    <w:rPr>
      <w:b/>
      <w:bCs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paragraph" w:customStyle="1" w:styleId="Style4">
    <w:name w:val="Heading #2"/>
    <w:basedOn w:val="Normal"/>
    <w:link w:val="CharStyle5"/>
    <w:pPr>
      <w:widowControl w:val="0"/>
      <w:shd w:val="clear" w:color="auto" w:fill="FFFFFF"/>
      <w:outlineLvl w:val="1"/>
      <w:spacing w:line="0" w:lineRule="exact"/>
      <w:ind w:firstLine="37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paragraph" w:customStyle="1" w:styleId="Style6">
    <w:name w:val="Picture caption"/>
    <w:basedOn w:val="Normal"/>
    <w:link w:val="CharStyle7"/>
    <w:pPr>
      <w:widowControl w:val="0"/>
      <w:shd w:val="clear" w:color="auto" w:fill="FFFFFF"/>
      <w:spacing w:line="0" w:lineRule="exact"/>
      <w:ind w:firstLine="28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8">
    <w:name w:val="Table caption"/>
    <w:basedOn w:val="Normal"/>
    <w:link w:val="CharStyle1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10">
    <w:name w:val="Body text (4)"/>
    <w:basedOn w:val="Normal"/>
    <w:link w:val="CharStyle11"/>
    <w:pPr>
      <w:widowControl w:val="0"/>
      <w:shd w:val="clear" w:color="auto" w:fill="FFFFFF"/>
      <w:spacing w:line="0" w:lineRule="exact"/>
      <w:ind w:firstLine="28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12">
    <w:name w:val="Body text (2)"/>
    <w:basedOn w:val="Normal"/>
    <w:link w:val="CharStyle13"/>
    <w:pPr>
      <w:widowControl w:val="0"/>
      <w:shd w:val="clear" w:color="auto" w:fill="FFFFFF"/>
      <w:jc w:val="both"/>
      <w:spacing w:line="251" w:lineRule="exact"/>
      <w:ind w:hanging="225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paragraph" w:customStyle="1" w:styleId="Style14">
    <w:name w:val="Heading #3"/>
    <w:basedOn w:val="Normal"/>
    <w:link w:val="CharStyle15"/>
    <w:pPr>
      <w:widowControl w:val="0"/>
      <w:shd w:val="clear" w:color="auto" w:fill="FFFFFF"/>
      <w:outlineLvl w:val="2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Nouveau bulletin de versement avec code de données: aide-mémoire</dc:title>
  <dc:subject/>
  <dc:creator/>
  <cp:keywords/>
</cp:coreProperties>
</file>