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D1363" w14:textId="68D7F5A9" w:rsidR="00C05A01" w:rsidRPr="00A71E7C" w:rsidRDefault="00C05A01" w:rsidP="00C05A01">
      <w:r w:rsidRPr="00A71E7C">
        <w:rPr>
          <w:noProof/>
        </w:rPr>
        <w:drawing>
          <wp:anchor distT="0" distB="0" distL="114300" distR="114300" simplePos="0" relativeHeight="251655168" behindDoc="1" locked="0" layoutInCell="1" allowOverlap="1" wp14:anchorId="40B049A3" wp14:editId="66AA011F">
            <wp:simplePos x="0" y="0"/>
            <wp:positionH relativeFrom="column">
              <wp:posOffset>2473035</wp:posOffset>
            </wp:positionH>
            <wp:positionV relativeFrom="paragraph">
              <wp:posOffset>-293452</wp:posOffset>
            </wp:positionV>
            <wp:extent cx="1496291" cy="916734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104" cy="92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DBD3E" w14:textId="77777777" w:rsidR="00C05A01" w:rsidRPr="00A71E7C" w:rsidRDefault="00C05A01" w:rsidP="00C05A01"/>
    <w:p w14:paraId="47A1CC2A" w14:textId="77777777" w:rsidR="00C05A01" w:rsidRPr="00A71E7C" w:rsidRDefault="00C05A01" w:rsidP="00C05A01"/>
    <w:p w14:paraId="25223C87" w14:textId="77777777" w:rsidR="00C05A01" w:rsidRPr="00A71E7C" w:rsidRDefault="00C05A01" w:rsidP="00C05A01">
      <w:pPr>
        <w:jc w:val="center"/>
        <w:rPr>
          <w:b/>
          <w:bCs/>
          <w:sz w:val="36"/>
          <w:szCs w:val="32"/>
        </w:rPr>
      </w:pPr>
    </w:p>
    <w:p w14:paraId="2D78D5A5" w14:textId="1BCB9AC0" w:rsidR="00C05A01" w:rsidRPr="00A71E7C" w:rsidRDefault="00C05A01" w:rsidP="00C05A01">
      <w:pPr>
        <w:jc w:val="center"/>
        <w:rPr>
          <w:b/>
          <w:bCs/>
          <w:sz w:val="36"/>
          <w:szCs w:val="32"/>
        </w:rPr>
      </w:pPr>
      <w:r w:rsidRPr="00A71E7C">
        <w:rPr>
          <w:b/>
          <w:bCs/>
          <w:sz w:val="36"/>
          <w:szCs w:val="32"/>
        </w:rPr>
        <w:t>Master</w:t>
      </w:r>
      <w:r w:rsidR="001A48FA">
        <w:rPr>
          <w:b/>
          <w:bCs/>
          <w:sz w:val="36"/>
          <w:szCs w:val="32"/>
        </w:rPr>
        <w:t>s</w:t>
      </w:r>
      <w:r w:rsidRPr="00A71E7C">
        <w:rPr>
          <w:b/>
          <w:bCs/>
          <w:sz w:val="36"/>
          <w:szCs w:val="32"/>
        </w:rPr>
        <w:t xml:space="preserve"> </w:t>
      </w:r>
      <w:r w:rsidR="001A48FA">
        <w:rPr>
          <w:b/>
          <w:bCs/>
          <w:sz w:val="36"/>
          <w:szCs w:val="32"/>
        </w:rPr>
        <w:t>SEP &amp; Calcul Scientifique</w:t>
      </w:r>
    </w:p>
    <w:p w14:paraId="0FA8E32D" w14:textId="77777777" w:rsidR="00C05A01" w:rsidRPr="00A71E7C" w:rsidRDefault="00C05A01" w:rsidP="00C05A01">
      <w:pPr>
        <w:jc w:val="center"/>
        <w:rPr>
          <w:b/>
          <w:bCs/>
          <w:sz w:val="36"/>
          <w:szCs w:val="32"/>
        </w:rPr>
      </w:pPr>
      <w:r w:rsidRPr="00A71E7C">
        <w:rPr>
          <w:b/>
          <w:bCs/>
          <w:sz w:val="36"/>
          <w:szCs w:val="32"/>
        </w:rPr>
        <w:t>2022-2023</w:t>
      </w:r>
    </w:p>
    <w:p w14:paraId="5D1FECB8" w14:textId="77777777" w:rsidR="00C05A01" w:rsidRPr="00A71E7C" w:rsidRDefault="00C05A01" w:rsidP="00C05A01">
      <w:pPr>
        <w:jc w:val="center"/>
        <w:rPr>
          <w:b/>
          <w:bCs/>
          <w:sz w:val="36"/>
          <w:szCs w:val="32"/>
        </w:rPr>
      </w:pPr>
    </w:p>
    <w:p w14:paraId="2CC9319A" w14:textId="5A07E80B" w:rsidR="00C05A01" w:rsidRPr="00A71E7C" w:rsidRDefault="00C05A01" w:rsidP="00C05A01">
      <w:pPr>
        <w:jc w:val="center"/>
        <w:rPr>
          <w:b/>
          <w:bCs/>
          <w:sz w:val="52"/>
          <w:szCs w:val="52"/>
        </w:rPr>
      </w:pPr>
      <w:r w:rsidRPr="00A71E7C">
        <w:rPr>
          <w:b/>
          <w:bCs/>
          <w:sz w:val="52"/>
          <w:szCs w:val="52"/>
        </w:rPr>
        <w:t>Cours d’apprentissage automatique</w:t>
      </w:r>
    </w:p>
    <w:p w14:paraId="3D80A3DB" w14:textId="65076FA3" w:rsidR="00C05A01" w:rsidRPr="00A71E7C" w:rsidRDefault="00C05A01" w:rsidP="00C05A01">
      <w:pPr>
        <w:rPr>
          <w:sz w:val="44"/>
          <w:szCs w:val="44"/>
        </w:rPr>
      </w:pPr>
    </w:p>
    <w:p w14:paraId="6952A9A3" w14:textId="7657937E" w:rsidR="003D31C1" w:rsidRPr="005F3BBC" w:rsidRDefault="005F3BBC" w:rsidP="005F3BB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Projet final</w:t>
      </w:r>
    </w:p>
    <w:p w14:paraId="5313E120" w14:textId="77777777" w:rsidR="003D31C1" w:rsidRPr="00A71E7C" w:rsidRDefault="003D31C1" w:rsidP="00C05A01">
      <w:pPr>
        <w:rPr>
          <w:sz w:val="44"/>
          <w:szCs w:val="44"/>
        </w:rPr>
      </w:pPr>
    </w:p>
    <w:p w14:paraId="0B1AEA45" w14:textId="567F3318" w:rsidR="00C05A01" w:rsidRPr="00A71E7C" w:rsidRDefault="00666F6B" w:rsidP="00C05A01">
      <w:pPr>
        <w:jc w:val="center"/>
        <w:rPr>
          <w:b/>
          <w:bCs/>
          <w:sz w:val="48"/>
          <w:szCs w:val="48"/>
        </w:rPr>
      </w:pPr>
      <w:r w:rsidRPr="00A71E7C">
        <w:rPr>
          <w:b/>
          <w:bCs/>
          <w:sz w:val="48"/>
          <w:szCs w:val="48"/>
        </w:rPr>
        <w:t>L’a</w:t>
      </w:r>
      <w:r w:rsidR="00C05A01" w:rsidRPr="00A71E7C">
        <w:rPr>
          <w:b/>
          <w:bCs/>
          <w:sz w:val="48"/>
          <w:szCs w:val="48"/>
        </w:rPr>
        <w:t>nalyse discriminante</w:t>
      </w:r>
      <w:r w:rsidRPr="00A71E7C">
        <w:rPr>
          <w:b/>
          <w:bCs/>
          <w:sz w:val="48"/>
          <w:szCs w:val="48"/>
        </w:rPr>
        <w:t xml:space="preserve"> quadratique (QDA)</w:t>
      </w:r>
      <w:r w:rsidR="00C05A01" w:rsidRPr="00A71E7C">
        <w:rPr>
          <w:b/>
          <w:bCs/>
          <w:sz w:val="48"/>
          <w:szCs w:val="48"/>
        </w:rPr>
        <w:t xml:space="preserve">  </w:t>
      </w:r>
    </w:p>
    <w:p w14:paraId="229A0726" w14:textId="77777777" w:rsidR="00C05A01" w:rsidRPr="00A71E7C" w:rsidRDefault="00C05A01" w:rsidP="00C05A01">
      <w:pPr>
        <w:jc w:val="center"/>
        <w:rPr>
          <w:sz w:val="32"/>
          <w:szCs w:val="32"/>
        </w:rPr>
      </w:pPr>
    </w:p>
    <w:p w14:paraId="4AF23CE2" w14:textId="53299118" w:rsidR="00C05A01" w:rsidRPr="00A71E7C" w:rsidRDefault="00C05A01" w:rsidP="00C05A01">
      <w:pPr>
        <w:rPr>
          <w:b/>
          <w:bCs/>
          <w:sz w:val="32"/>
          <w:szCs w:val="32"/>
        </w:rPr>
      </w:pPr>
    </w:p>
    <w:p w14:paraId="7CB02087" w14:textId="0BDCE0F1" w:rsidR="00666F6B" w:rsidRPr="00A71E7C" w:rsidRDefault="00666F6B" w:rsidP="00C05A01">
      <w:pPr>
        <w:rPr>
          <w:b/>
          <w:bCs/>
          <w:sz w:val="32"/>
          <w:szCs w:val="32"/>
        </w:rPr>
      </w:pPr>
    </w:p>
    <w:p w14:paraId="33AE47CE" w14:textId="1AA2CB9B" w:rsidR="00666F6B" w:rsidRPr="00A71E7C" w:rsidRDefault="00666F6B" w:rsidP="00C05A01">
      <w:pPr>
        <w:rPr>
          <w:b/>
          <w:bCs/>
          <w:sz w:val="32"/>
          <w:szCs w:val="32"/>
        </w:rPr>
      </w:pPr>
      <w:r w:rsidRPr="00A71E7C">
        <w:rPr>
          <w:b/>
          <w:bCs/>
          <w:sz w:val="32"/>
          <w:szCs w:val="32"/>
        </w:rPr>
        <w:t>Réalisé par :</w:t>
      </w:r>
    </w:p>
    <w:p w14:paraId="057339C8" w14:textId="1EE13028" w:rsidR="00666F6B" w:rsidRPr="00A71E7C" w:rsidRDefault="00666F6B" w:rsidP="00C05A01">
      <w:pPr>
        <w:rPr>
          <w:rFonts w:cstheme="majorBidi"/>
          <w:color w:val="212529"/>
          <w:sz w:val="27"/>
          <w:szCs w:val="27"/>
          <w:shd w:val="clear" w:color="auto" w:fill="FFFFFF"/>
        </w:rPr>
      </w:pPr>
      <w:r w:rsidRPr="00A71E7C">
        <w:rPr>
          <w:rFonts w:cstheme="majorBidi"/>
          <w:color w:val="212529"/>
          <w:sz w:val="27"/>
          <w:szCs w:val="27"/>
          <w:shd w:val="clear" w:color="auto" w:fill="FFFFFF"/>
        </w:rPr>
        <w:t>Laitissia ALI</w:t>
      </w:r>
      <w:r w:rsidR="002F377C" w:rsidRPr="00A71E7C">
        <w:rPr>
          <w:rFonts w:cstheme="majorBidi"/>
          <w:color w:val="212529"/>
          <w:sz w:val="27"/>
          <w:szCs w:val="27"/>
          <w:shd w:val="clear" w:color="auto" w:fill="FFFFFF"/>
        </w:rPr>
        <w:t xml:space="preserve"> (2)</w:t>
      </w:r>
    </w:p>
    <w:p w14:paraId="25423DE6" w14:textId="0117CEA5" w:rsidR="00666F6B" w:rsidRPr="00D71BBE" w:rsidRDefault="00666F6B" w:rsidP="00C05A01">
      <w:pPr>
        <w:rPr>
          <w:rFonts w:cstheme="majorBidi"/>
          <w:color w:val="212529"/>
          <w:sz w:val="27"/>
          <w:szCs w:val="27"/>
          <w:shd w:val="clear" w:color="auto" w:fill="FFFFFF"/>
          <w:lang w:val="es-ES"/>
        </w:rPr>
      </w:pPr>
      <w:r w:rsidRPr="00D71BBE">
        <w:rPr>
          <w:rFonts w:cstheme="majorBidi"/>
          <w:color w:val="212529"/>
          <w:sz w:val="27"/>
          <w:szCs w:val="27"/>
          <w:shd w:val="clear" w:color="auto" w:fill="FFFFFF"/>
          <w:lang w:val="es-ES"/>
        </w:rPr>
        <w:t>Ismael D</w:t>
      </w:r>
      <w:r w:rsidR="001A48FA" w:rsidRPr="00D71BBE">
        <w:rPr>
          <w:rFonts w:cstheme="majorBidi"/>
          <w:color w:val="212529"/>
          <w:sz w:val="27"/>
          <w:szCs w:val="27"/>
          <w:shd w:val="clear" w:color="auto" w:fill="FFFFFF"/>
          <w:lang w:val="es-ES"/>
        </w:rPr>
        <w:t>joulde</w:t>
      </w:r>
      <w:r w:rsidRPr="00D71BBE">
        <w:rPr>
          <w:rFonts w:cstheme="majorBidi"/>
          <w:color w:val="212529"/>
          <w:sz w:val="27"/>
          <w:szCs w:val="27"/>
          <w:shd w:val="clear" w:color="auto" w:fill="FFFFFF"/>
          <w:lang w:val="es-ES"/>
        </w:rPr>
        <w:t xml:space="preserve"> DIALLO</w:t>
      </w:r>
      <w:r w:rsidR="002F377C" w:rsidRPr="00D71BBE">
        <w:rPr>
          <w:rFonts w:cstheme="majorBidi"/>
          <w:color w:val="212529"/>
          <w:sz w:val="27"/>
          <w:szCs w:val="27"/>
          <w:shd w:val="clear" w:color="auto" w:fill="FFFFFF"/>
          <w:lang w:val="es-ES"/>
        </w:rPr>
        <w:t xml:space="preserve"> (1</w:t>
      </w:r>
      <w:r w:rsidR="003D5706" w:rsidRPr="00D71BBE">
        <w:rPr>
          <w:rFonts w:cstheme="majorBidi"/>
          <w:color w:val="212529"/>
          <w:sz w:val="27"/>
          <w:szCs w:val="27"/>
          <w:shd w:val="clear" w:color="auto" w:fill="FFFFFF"/>
          <w:lang w:val="es-ES"/>
        </w:rPr>
        <w:t xml:space="preserve"> &amp; ADQ vs RDA</w:t>
      </w:r>
      <w:r w:rsidR="002F377C" w:rsidRPr="00D71BBE">
        <w:rPr>
          <w:rFonts w:cstheme="majorBidi"/>
          <w:color w:val="212529"/>
          <w:sz w:val="27"/>
          <w:szCs w:val="27"/>
          <w:shd w:val="clear" w:color="auto" w:fill="FFFFFF"/>
          <w:lang w:val="es-ES"/>
        </w:rPr>
        <w:t>)</w:t>
      </w:r>
    </w:p>
    <w:p w14:paraId="2251BDFC" w14:textId="33FE931E" w:rsidR="00666F6B" w:rsidRPr="00A71E7C" w:rsidRDefault="00666F6B" w:rsidP="00666F6B">
      <w:pPr>
        <w:rPr>
          <w:rFonts w:cstheme="majorBidi"/>
          <w:color w:val="212529"/>
          <w:sz w:val="27"/>
          <w:szCs w:val="27"/>
          <w:shd w:val="clear" w:color="auto" w:fill="FFFFFF"/>
        </w:rPr>
      </w:pPr>
      <w:r w:rsidRPr="00A71E7C">
        <w:rPr>
          <w:rFonts w:cstheme="majorBidi"/>
          <w:color w:val="212529"/>
          <w:sz w:val="27"/>
          <w:szCs w:val="27"/>
          <w:shd w:val="clear" w:color="auto" w:fill="FFFFFF"/>
        </w:rPr>
        <w:t>Alizée SCHOLLORN-LEOPOLD</w:t>
      </w:r>
      <w:r w:rsidR="002F377C" w:rsidRPr="00A71E7C">
        <w:rPr>
          <w:rFonts w:cstheme="majorBidi"/>
          <w:color w:val="212529"/>
          <w:sz w:val="27"/>
          <w:szCs w:val="27"/>
          <w:shd w:val="clear" w:color="auto" w:fill="FFFFFF"/>
        </w:rPr>
        <w:t xml:space="preserve"> (3)</w:t>
      </w:r>
    </w:p>
    <w:p w14:paraId="7269BF83" w14:textId="16CFC127" w:rsidR="00666F6B" w:rsidRPr="00A71E7C" w:rsidRDefault="00666F6B" w:rsidP="00666F6B">
      <w:pPr>
        <w:rPr>
          <w:rFonts w:cstheme="majorBidi"/>
          <w:color w:val="212529"/>
          <w:sz w:val="27"/>
          <w:szCs w:val="27"/>
          <w:shd w:val="clear" w:color="auto" w:fill="FFFFFF"/>
        </w:rPr>
      </w:pPr>
      <w:r w:rsidRPr="00A71E7C">
        <w:rPr>
          <w:rFonts w:cstheme="majorBidi"/>
          <w:color w:val="212529"/>
          <w:sz w:val="27"/>
          <w:szCs w:val="27"/>
          <w:shd w:val="clear" w:color="auto" w:fill="FFFFFF"/>
        </w:rPr>
        <w:t>Yacine ZIDI</w:t>
      </w:r>
      <w:r w:rsidR="002F377C" w:rsidRPr="00A71E7C">
        <w:rPr>
          <w:rFonts w:cstheme="majorBidi"/>
          <w:color w:val="212529"/>
          <w:sz w:val="27"/>
          <w:szCs w:val="27"/>
          <w:shd w:val="clear" w:color="auto" w:fill="FFFFFF"/>
        </w:rPr>
        <w:t xml:space="preserve"> (4)</w:t>
      </w:r>
    </w:p>
    <w:p w14:paraId="4A1683B7" w14:textId="6B0C35CE" w:rsidR="00A71E7C" w:rsidRPr="00A71E7C" w:rsidRDefault="00A71E7C">
      <w:r w:rsidRPr="00A71E7C">
        <w:br w:type="page"/>
      </w:r>
    </w:p>
    <w:p w14:paraId="4E792056" w14:textId="20811988" w:rsidR="00C05A01" w:rsidRDefault="00A71E7C" w:rsidP="00A71E7C">
      <w:pPr>
        <w:pStyle w:val="Titre1"/>
      </w:pPr>
      <w:bookmarkStart w:id="0" w:name="Presentation"/>
      <w:r w:rsidRPr="00A71E7C">
        <w:lastRenderedPageBreak/>
        <w:t>Présentation de l’a</w:t>
      </w:r>
      <w:r w:rsidR="00943D8F">
        <w:t>nalyse discriminante quadratique</w:t>
      </w:r>
      <w:r w:rsidR="0010639D">
        <w:t xml:space="preserve"> (the QDA)</w:t>
      </w:r>
    </w:p>
    <w:bookmarkEnd w:id="0"/>
    <w:p w14:paraId="69690A9C" w14:textId="7CC2FAAD" w:rsidR="00A71E7C" w:rsidRDefault="00A71E7C" w:rsidP="00A71E7C"/>
    <w:p w14:paraId="60A99C26" w14:textId="6D4011F0" w:rsidR="00073BF4" w:rsidRDefault="00073BF4" w:rsidP="00073BF4">
      <w:pPr>
        <w:jc w:val="both"/>
      </w:pPr>
      <w:r w:rsidRPr="00073BF4">
        <w:t xml:space="preserve">L'analyse discriminante est </w:t>
      </w:r>
      <w:r w:rsidR="007C43F5">
        <w:t>un ensemble de</w:t>
      </w:r>
      <w:r w:rsidRPr="00073BF4">
        <w:t xml:space="preserve"> méthode</w:t>
      </w:r>
      <w:r w:rsidR="007C43F5">
        <w:t>s</w:t>
      </w:r>
      <w:r w:rsidRPr="00073BF4">
        <w:t xml:space="preserve"> de classification</w:t>
      </w:r>
      <w:r w:rsidR="007C43F5">
        <w:t xml:space="preserve"> supervisée </w:t>
      </w:r>
      <w:r w:rsidRPr="00073BF4">
        <w:t xml:space="preserve">qui vise à </w:t>
      </w:r>
      <w:r>
        <w:t>déterminer</w:t>
      </w:r>
      <w:r w:rsidRPr="00073BF4">
        <w:t xml:space="preserve"> les caractéristiques les plus discriminantes pour séparer des groupes d'individus préalablement définis.</w:t>
      </w:r>
      <w:r w:rsidR="004C1E33">
        <w:t xml:space="preserve"> </w:t>
      </w:r>
      <w:r w:rsidR="008D04DE">
        <w:t>Soulignons</w:t>
      </w:r>
      <w:r w:rsidR="004C1E33">
        <w:t xml:space="preserve"> toutefois qu’il existe des versions non supervisées</w:t>
      </w:r>
      <w:r w:rsidR="00B47EAB">
        <w:t xml:space="preserve"> </w:t>
      </w:r>
      <w:r w:rsidR="008D04DE">
        <w:t>de l’analyse discriminante</w:t>
      </w:r>
      <w:r w:rsidR="00857F10">
        <w:t xml:space="preserve"> comme</w:t>
      </w:r>
      <w:r w:rsidR="007C7958">
        <w:t xml:space="preserve">   </w:t>
      </w:r>
      <w:r w:rsidR="000A088C">
        <w:t xml:space="preserve"> </w:t>
      </w:r>
      <w:r w:rsidR="007C7958">
        <w:t xml:space="preserve"> </w:t>
      </w:r>
      <w:r w:rsidR="00857F10">
        <w:t xml:space="preserve"> Un-LDA</w:t>
      </w:r>
      <w:r w:rsidR="00857F10">
        <w:rPr>
          <w:rStyle w:val="Appelnotedebasdep"/>
        </w:rPr>
        <w:footnoteReference w:id="1"/>
      </w:r>
      <w:r w:rsidR="004C1E33">
        <w:t xml:space="preserve"> que nous n’aborderons pas ici.</w:t>
      </w:r>
      <w:r w:rsidR="008D04DE">
        <w:t xml:space="preserve"> Dans ce travail, nous nous intéressons à l’analyse discriminante </w:t>
      </w:r>
      <w:r w:rsidR="007C7958">
        <w:t>quadratique.</w:t>
      </w:r>
    </w:p>
    <w:p w14:paraId="0EC61A3F" w14:textId="2C0F583C" w:rsidR="008F5E17" w:rsidRDefault="00120FB0" w:rsidP="008F5E17">
      <w:pPr>
        <w:jc w:val="both"/>
      </w:pPr>
      <w:r>
        <w:t>L’</w:t>
      </w:r>
      <w:r w:rsidR="0010639D">
        <w:t>a</w:t>
      </w:r>
      <w:r w:rsidR="008F5E17">
        <w:t xml:space="preserve">nalyse </w:t>
      </w:r>
      <w:r w:rsidR="0010639D">
        <w:t>d</w:t>
      </w:r>
      <w:r w:rsidR="008F5E17">
        <w:t xml:space="preserve">iscriminante </w:t>
      </w:r>
      <w:r w:rsidR="0010639D">
        <w:t>q</w:t>
      </w:r>
      <w:r w:rsidR="008F5E17">
        <w:t xml:space="preserve">uadratique est </w:t>
      </w:r>
      <w:r w:rsidR="00D06415">
        <w:t xml:space="preserve">une </w:t>
      </w:r>
      <w:r w:rsidR="008F5E17">
        <w:t xml:space="preserve">technique d’analyse discriminante </w:t>
      </w:r>
      <w:r w:rsidR="009E432F">
        <w:t xml:space="preserve">non linéaire et </w:t>
      </w:r>
      <w:r w:rsidR="008F5E17">
        <w:t xml:space="preserve">paramétrique </w:t>
      </w:r>
      <w:r>
        <w:t>permettant</w:t>
      </w:r>
      <w:r w:rsidR="008F5E17">
        <w:t xml:space="preserve"> </w:t>
      </w:r>
      <w:r>
        <w:t>de</w:t>
      </w:r>
      <w:r w:rsidR="008F5E17">
        <w:t xml:space="preserve"> prédire l’appartenance d’un</w:t>
      </w:r>
      <w:r w:rsidR="00F83CDF">
        <w:t>e</w:t>
      </w:r>
      <w:r w:rsidR="008F5E17">
        <w:t xml:space="preserve"> </w:t>
      </w:r>
      <w:r w:rsidR="00F83CDF">
        <w:t>observation</w:t>
      </w:r>
      <w:r w:rsidR="008F5E17">
        <w:t xml:space="preserve"> à un</w:t>
      </w:r>
      <w:r w:rsidR="00011842">
        <w:t xml:space="preserve">e classe </w:t>
      </w:r>
      <w:r w:rsidR="00AA40B2">
        <w:t xml:space="preserve">parmi </w:t>
      </w:r>
      <w:r w:rsidR="00011842">
        <w:t xml:space="preserve">plusieurs classes </w:t>
      </w:r>
      <w:r w:rsidR="001B674A">
        <w:t>différent</w:t>
      </w:r>
      <w:r w:rsidR="00011842">
        <w:t>e</w:t>
      </w:r>
      <w:r w:rsidR="001B674A">
        <w:t>s</w:t>
      </w:r>
      <w:r w:rsidR="008F5E17">
        <w:t xml:space="preserve"> défini</w:t>
      </w:r>
      <w:r w:rsidR="00011842">
        <w:t>es</w:t>
      </w:r>
      <w:r w:rsidR="008F5E17">
        <w:t xml:space="preserve"> a priori à partir de ses caractéristiques mesurées à l’aide de variables </w:t>
      </w:r>
      <w:r w:rsidR="00D06415">
        <w:t>explicatives</w:t>
      </w:r>
      <w:r w:rsidR="008F5E17">
        <w:t xml:space="preserve">. </w:t>
      </w:r>
      <w:r w:rsidR="00D06415">
        <w:t>L'</w:t>
      </w:r>
      <w:r w:rsidR="0010639D">
        <w:t>analyse discriminante quadratique</w:t>
      </w:r>
      <w:r w:rsidR="007224F7">
        <w:t xml:space="preserve"> </w:t>
      </w:r>
      <w:r w:rsidR="00D06415">
        <w:t xml:space="preserve">est </w:t>
      </w:r>
      <w:r w:rsidR="000F5E69">
        <w:t>dit</w:t>
      </w:r>
      <w:r w:rsidR="00B47EAB">
        <w:t>e</w:t>
      </w:r>
      <w:r w:rsidR="000F5E69">
        <w:t xml:space="preserve"> </w:t>
      </w:r>
      <w:r w:rsidR="00D06415">
        <w:t>paramétrique parce qu’</w:t>
      </w:r>
      <w:r w:rsidR="00B47EAB">
        <w:t>elle</w:t>
      </w:r>
      <w:r w:rsidR="00D06415">
        <w:t xml:space="preserve"> suppose que les données d'apprentissage proviennent de distributions gaussiennes multivariées distinctes.</w:t>
      </w:r>
      <w:r w:rsidR="0010639D">
        <w:t xml:space="preserve"> </w:t>
      </w:r>
      <w:r w:rsidR="00B47EAB">
        <w:t>Elle est dite non linéaire</w:t>
      </w:r>
      <w:r w:rsidR="00745906">
        <w:t xml:space="preserve">, </w:t>
      </w:r>
      <w:r w:rsidR="00B47EAB">
        <w:t>contrairement à l’analyse discriminante linéaire LDA parce qu</w:t>
      </w:r>
      <w:r w:rsidR="00005AC0">
        <w:t>’elle s’applique à des</w:t>
      </w:r>
      <w:r w:rsidR="00011842">
        <w:t xml:space="preserve"> </w:t>
      </w:r>
      <w:r w:rsidR="00B47EAB">
        <w:t>données ne p</w:t>
      </w:r>
      <w:r w:rsidR="00005AC0">
        <w:t>ouvant</w:t>
      </w:r>
      <w:r w:rsidR="00B47EAB">
        <w:t xml:space="preserve"> être séparées que par une courbe</w:t>
      </w:r>
      <w:r w:rsidR="001D4C03">
        <w:t xml:space="preserve"> quadratique pour construire la frontière qui sépare les </w:t>
      </w:r>
      <w:r w:rsidR="00011842">
        <w:t>classes.</w:t>
      </w:r>
    </w:p>
    <w:p w14:paraId="632EBBEF" w14:textId="3F2BAEF2" w:rsidR="00F83CDF" w:rsidRDefault="00F83CDF" w:rsidP="00011842">
      <w:pPr>
        <w:jc w:val="both"/>
      </w:pPr>
      <w:r>
        <w:t>Considérons un jeu de données constitué de n observations</w:t>
      </w:r>
      <w:r w:rsidR="00F67F60">
        <w:t xml:space="preserve"> qui sont réparties dans  K classes de tailles n</w:t>
      </w:r>
      <w:r w:rsidR="00F67F60">
        <w:rPr>
          <w:vertAlign w:val="subscript"/>
        </w:rPr>
        <w:t>k</w:t>
      </w:r>
      <w:r w:rsidR="004F3845">
        <w:t xml:space="preserve">, de centre de gravité </w:t>
      </w:r>
      <w:r w:rsidR="004F3845">
        <w:rPr>
          <w:rFonts w:cstheme="majorBidi"/>
        </w:rPr>
        <w:t>μ</w:t>
      </w:r>
      <w:r w:rsidR="004F3845">
        <w:rPr>
          <w:vertAlign w:val="subscript"/>
        </w:rPr>
        <w:t xml:space="preserve">k </w:t>
      </w:r>
      <w:r w:rsidR="004F3845">
        <w:t xml:space="preserve">et de matrice variance-covariance </w:t>
      </w:r>
      <w:r w:rsidR="004F3845">
        <w:rPr>
          <w:rFonts w:cstheme="majorBidi"/>
        </w:rPr>
        <w:t>Γ</w:t>
      </w:r>
      <w:r w:rsidR="004F3845">
        <w:rPr>
          <w:vertAlign w:val="subscript"/>
        </w:rPr>
        <w:t>k</w:t>
      </w:r>
      <w:r w:rsidR="004F3845">
        <w:t>.</w:t>
      </w:r>
      <w:r w:rsidR="00F67F60">
        <w:rPr>
          <w:vertAlign w:val="subscript"/>
        </w:rPr>
        <w:t xml:space="preserve"> </w:t>
      </w:r>
      <w:r w:rsidR="00F67F60">
        <w:t xml:space="preserve">Nous souhaitons prédire une variable Y ayant K modalités </w:t>
      </w:r>
      <w:r w:rsidR="00255BF6">
        <w:t>caractérisant les</w:t>
      </w:r>
      <w:r w:rsidR="00F67F60">
        <w:t xml:space="preserve"> </w:t>
      </w:r>
      <w:r w:rsidR="004F3845">
        <w:t xml:space="preserve">K </w:t>
      </w:r>
      <w:r w:rsidR="00F67F60">
        <w:t>classes à partir de de J variables prédictives</w:t>
      </w:r>
      <w:r w:rsidR="00255BF6">
        <w:t xml:space="preserve"> X</w:t>
      </w:r>
      <w:r w:rsidR="00F67F60">
        <w:t xml:space="preserve"> pouvant être numériques ou catégorielles</w:t>
      </w:r>
      <w:r w:rsidR="00255BF6">
        <w:rPr>
          <w:rStyle w:val="Appelnotedebasdep"/>
        </w:rPr>
        <w:footnoteReference w:id="2"/>
      </w:r>
      <w:r w:rsidR="00F67F60">
        <w:t>.</w:t>
      </w:r>
      <w:r w:rsidR="004F3845">
        <w:t xml:space="preserve"> Le problème revient donc à déterminer une fonction d’affectation</w:t>
      </w:r>
      <w:r w:rsidR="00255BF6">
        <w:t xml:space="preserve"> qui permettrait de classer toute observation</w:t>
      </w:r>
      <w:r w:rsidR="00D969B7">
        <w:t xml:space="preserve"> </w:t>
      </w:r>
      <w:r w:rsidR="00933EC8">
        <w:t>de paramètres X</w:t>
      </w:r>
      <w:r w:rsidR="00933EC8">
        <w:rPr>
          <w:vertAlign w:val="subscript"/>
        </w:rPr>
        <w:t>1 </w:t>
      </w:r>
      <w:r w:rsidR="00933EC8">
        <w:t>, .., X</w:t>
      </w:r>
      <w:r w:rsidR="00933EC8">
        <w:rPr>
          <w:vertAlign w:val="subscript"/>
        </w:rPr>
        <w:t>j</w:t>
      </w:r>
      <w:r w:rsidR="00D969B7">
        <w:t xml:space="preserve"> dans l’une des</w:t>
      </w:r>
      <w:r w:rsidR="006446BC">
        <w:t xml:space="preserve"> K</w:t>
      </w:r>
      <w:r w:rsidR="00D969B7">
        <w:t xml:space="preserve"> classes prédéfinies. </w:t>
      </w:r>
    </w:p>
    <w:p w14:paraId="04ED2A88" w14:textId="511C27A3" w:rsidR="00792C3C" w:rsidRDefault="00011842" w:rsidP="00A34616">
      <w:pPr>
        <w:jc w:val="both"/>
      </w:pPr>
      <w:r>
        <w:t>Pratiquement,</w:t>
      </w:r>
      <w:r w:rsidR="00B71F85">
        <w:t xml:space="preserve"> </w:t>
      </w:r>
      <w:r>
        <w:t>l’ADQ</w:t>
      </w:r>
      <w:r w:rsidR="00792C3C" w:rsidRPr="00792C3C">
        <w:t xml:space="preserve"> consiste à modéliser </w:t>
      </w:r>
      <w:r w:rsidR="00792C3C">
        <w:t>les probabilités de cha</w:t>
      </w:r>
      <w:r w:rsidR="00A34616">
        <w:t>cune des K</w:t>
      </w:r>
      <w:r w:rsidR="00792C3C">
        <w:t xml:space="preserve"> classe</w:t>
      </w:r>
      <w:r w:rsidR="00A34616">
        <w:t>s, e</w:t>
      </w:r>
      <w:r w:rsidR="00792C3C">
        <w:t xml:space="preserve">nsuite pour </w:t>
      </w:r>
      <w:r w:rsidR="002C1F2C">
        <w:t>une</w:t>
      </w:r>
      <w:r w:rsidR="00792C3C">
        <w:t xml:space="preserve"> </w:t>
      </w:r>
      <w:r w:rsidR="00F83CDF">
        <w:t>observation</w:t>
      </w:r>
      <w:r w:rsidR="002C1F2C">
        <w:t xml:space="preserve"> donnée</w:t>
      </w:r>
      <w:r w:rsidR="00792C3C">
        <w:t>, l'algorithme calcule la probabilité qu'</w:t>
      </w:r>
      <w:r w:rsidR="002C1F2C">
        <w:t>elle</w:t>
      </w:r>
      <w:r w:rsidR="00792C3C">
        <w:t xml:space="preserve"> appartienne à chaque classe en utilisant les distributions de probabilité de chaque classe. </w:t>
      </w:r>
      <w:r w:rsidR="00352B9E">
        <w:t>Ainsi, l</w:t>
      </w:r>
      <w:r w:rsidR="00792C3C">
        <w:t>a classe avec la probabilité la plus élevée est choisie comme étiquette de classe pour ce</w:t>
      </w:r>
      <w:r w:rsidR="00A34616">
        <w:t>tte observation</w:t>
      </w:r>
      <w:r w:rsidR="00792C3C">
        <w:t>.</w:t>
      </w:r>
    </w:p>
    <w:p w14:paraId="6D8C03C1" w14:textId="0CA4C1B1" w:rsidR="00235CB9" w:rsidRDefault="00235CB9" w:rsidP="0049563F">
      <w:pPr>
        <w:jc w:val="both"/>
      </w:pPr>
      <w:r>
        <w:t xml:space="preserve">L’analyse discriminante quadratique à un large champ d’application. On a recours à la QDA pour des problèmes de classification sur des données gaussiennes  </w:t>
      </w:r>
      <w:r w:rsidR="00FB4FEA">
        <w:t xml:space="preserve">reparties en des classes distinctes de variances et covariances différentes. </w:t>
      </w:r>
      <w:r w:rsidR="00F049AE">
        <w:t>Elle est utilisée dans la détection de fraudes, le scoring, la reconnaissance d’objets, dans les problèmes de classification médicale, identification des origines génétiques d’un individu</w:t>
      </w:r>
      <w:r w:rsidR="004532FE">
        <w:t xml:space="preserve">, </w:t>
      </w:r>
      <w:r w:rsidR="00F049AE">
        <w:t>compara</w:t>
      </w:r>
      <w:r w:rsidR="004532FE">
        <w:t>ison des traces d’ADN trouvées sur une scène de crime à une base de données d’ADN.</w:t>
      </w:r>
    </w:p>
    <w:p w14:paraId="326D7D29" w14:textId="77777777" w:rsidR="00A65B3C" w:rsidRDefault="00595C4E" w:rsidP="00A71E7C">
      <w:r>
        <w:t xml:space="preserve">Par ailleurs, on ne pourrait parler de l’ADQ sans parler de l’analyse discriminante </w:t>
      </w:r>
      <w:r w:rsidR="00B92FCE">
        <w:t>régularisée RDA</w:t>
      </w:r>
      <w:r w:rsidR="004E70BD">
        <w:t xml:space="preserve">. La RDA permet de traiter problèmes de surajustement </w:t>
      </w:r>
      <w:r w:rsidR="00A65B3C">
        <w:t>de l’ADQ qui se produisent lorsque le nombre de variables explicatives augmente. En plus des hypothèses de  l’ADQ suivants :</w:t>
      </w:r>
    </w:p>
    <w:p w14:paraId="2CB6B67C" w14:textId="77777777" w:rsidR="00A65B3C" w:rsidRDefault="00A65B3C" w:rsidP="00A65B3C">
      <w:pPr>
        <w:pStyle w:val="Paragraphedeliste"/>
        <w:numPr>
          <w:ilvl w:val="0"/>
          <w:numId w:val="32"/>
        </w:numPr>
      </w:pPr>
      <w:r>
        <w:t>Les observations sont indépendantes les unes des autres ;</w:t>
      </w:r>
    </w:p>
    <w:p w14:paraId="23242130" w14:textId="10D7558A" w:rsidR="00A71E7C" w:rsidRDefault="00A65B3C" w:rsidP="00A65B3C">
      <w:pPr>
        <w:pStyle w:val="Paragraphedeliste"/>
        <w:numPr>
          <w:ilvl w:val="0"/>
          <w:numId w:val="32"/>
        </w:numPr>
      </w:pPr>
      <w:r>
        <w:t>Chacune des classes suit une distribution gaussienne multivariée ;</w:t>
      </w:r>
    </w:p>
    <w:p w14:paraId="2FF95784" w14:textId="6FE5D0EF" w:rsidR="007B6A94" w:rsidRDefault="007B6A94" w:rsidP="00A65B3C">
      <w:pPr>
        <w:pStyle w:val="Paragraphedeliste"/>
        <w:numPr>
          <w:ilvl w:val="0"/>
          <w:numId w:val="32"/>
        </w:numPr>
      </w:pPr>
      <w:r>
        <w:t>Les groupes ont des covariances différentes ;</w:t>
      </w:r>
    </w:p>
    <w:p w14:paraId="4E008191" w14:textId="5E8D52CA" w:rsidR="00A65B3C" w:rsidRDefault="00A65B3C" w:rsidP="00A65B3C">
      <w:pPr>
        <w:pStyle w:val="Paragraphedeliste"/>
        <w:numPr>
          <w:ilvl w:val="0"/>
          <w:numId w:val="32"/>
        </w:numPr>
      </w:pPr>
      <w:r>
        <w:t xml:space="preserve">Les variables explicatives sont linéairement </w:t>
      </w:r>
      <w:r w:rsidR="007B6A94">
        <w:t>indépendantes les unes des autres ;</w:t>
      </w:r>
    </w:p>
    <w:p w14:paraId="6EADF3DC" w14:textId="080059EC" w:rsidR="007B6A94" w:rsidRDefault="007B6A94" w:rsidP="007B6A94">
      <w:r>
        <w:t>Une hypothèse supplémentaire liée à la régularisation est introduite dans l’analyse discriminante régularisée</w:t>
      </w:r>
      <w:r w:rsidR="008838BA">
        <w:t xml:space="preserve">. De fait, cette hypothèse traduit l’usage </w:t>
      </w:r>
      <w:r>
        <w:t>d’un coefficient de pénalisation dans la fonction d’optimisation utilisée pour estimer les paramètres du modèle.</w:t>
      </w:r>
    </w:p>
    <w:p w14:paraId="108671E7" w14:textId="65B11321" w:rsidR="00C86E98" w:rsidRDefault="00C86E98" w:rsidP="007B6A94">
      <w:r>
        <w:t>Dans les parties 2, 3 et 4, nous aborderons plus en détail les concepts présentés ici.</w:t>
      </w:r>
    </w:p>
    <w:p w14:paraId="465FC9A7" w14:textId="47042BD1" w:rsidR="001B67AE" w:rsidRDefault="001B67AE" w:rsidP="001B67AE">
      <w:pPr>
        <w:pStyle w:val="Titre1"/>
      </w:pPr>
    </w:p>
    <w:p w14:paraId="2BEBF1FC" w14:textId="181D18C5" w:rsidR="001B67AE" w:rsidRDefault="001B67AE" w:rsidP="001B67AE">
      <w:pPr>
        <w:pStyle w:val="Titre1"/>
      </w:pPr>
    </w:p>
    <w:p w14:paraId="08C9D3D1" w14:textId="5E113126" w:rsidR="001B67AE" w:rsidRDefault="001B67AE" w:rsidP="001B67AE">
      <w:pPr>
        <w:pStyle w:val="Titre1"/>
      </w:pPr>
    </w:p>
    <w:p w14:paraId="5497660E" w14:textId="4F330C77" w:rsidR="00C34B24" w:rsidRDefault="00C34B24" w:rsidP="00C34B24"/>
    <w:p w14:paraId="391C557B" w14:textId="77777777" w:rsidR="00C34B24" w:rsidRPr="00C34B24" w:rsidRDefault="00C34B24" w:rsidP="00C34B24">
      <w:pPr>
        <w:pStyle w:val="Paragraphedeliste"/>
        <w:keepNext/>
        <w:keepLines/>
        <w:numPr>
          <w:ilvl w:val="0"/>
          <w:numId w:val="29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color w:val="000000" w:themeColor="text1"/>
          <w:sz w:val="28"/>
          <w:szCs w:val="26"/>
        </w:rPr>
      </w:pPr>
    </w:p>
    <w:p w14:paraId="466A5425" w14:textId="77777777" w:rsidR="00C34B24" w:rsidRPr="00C34B24" w:rsidRDefault="00C34B24" w:rsidP="00C34B24">
      <w:pPr>
        <w:pStyle w:val="Paragraphedeliste"/>
        <w:keepNext/>
        <w:keepLines/>
        <w:numPr>
          <w:ilvl w:val="0"/>
          <w:numId w:val="29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color w:val="000000" w:themeColor="text1"/>
          <w:sz w:val="28"/>
          <w:szCs w:val="26"/>
        </w:rPr>
      </w:pPr>
    </w:p>
    <w:p w14:paraId="22F36D6E" w14:textId="77777777" w:rsidR="00C34B24" w:rsidRPr="00C34B24" w:rsidRDefault="00C34B24" w:rsidP="00C34B24">
      <w:pPr>
        <w:pStyle w:val="Paragraphedeliste"/>
        <w:keepNext/>
        <w:keepLines/>
        <w:numPr>
          <w:ilvl w:val="0"/>
          <w:numId w:val="29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color w:val="000000" w:themeColor="text1"/>
          <w:sz w:val="28"/>
          <w:szCs w:val="26"/>
        </w:rPr>
      </w:pPr>
    </w:p>
    <w:p w14:paraId="4A53086C" w14:textId="77777777" w:rsidR="00C34B24" w:rsidRPr="00C34B24" w:rsidRDefault="00C34B24" w:rsidP="00C34B24">
      <w:pPr>
        <w:pStyle w:val="Paragraphedeliste"/>
        <w:keepNext/>
        <w:keepLines/>
        <w:numPr>
          <w:ilvl w:val="0"/>
          <w:numId w:val="29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color w:val="000000" w:themeColor="text1"/>
          <w:sz w:val="28"/>
          <w:szCs w:val="26"/>
        </w:rPr>
      </w:pPr>
    </w:p>
    <w:p w14:paraId="57EDA756" w14:textId="77777777" w:rsidR="00C34B24" w:rsidRPr="00C34B24" w:rsidRDefault="00C34B24" w:rsidP="00C34B24">
      <w:pPr>
        <w:pStyle w:val="Paragraphedeliste"/>
        <w:keepNext/>
        <w:keepLines/>
        <w:numPr>
          <w:ilvl w:val="1"/>
          <w:numId w:val="29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color w:val="000000" w:themeColor="text1"/>
          <w:sz w:val="28"/>
          <w:szCs w:val="26"/>
        </w:rPr>
      </w:pPr>
    </w:p>
    <w:p w14:paraId="747201DA" w14:textId="79881E2F" w:rsidR="00C34B24" w:rsidRDefault="00C34B24" w:rsidP="00C34B24">
      <w:pPr>
        <w:pStyle w:val="Titre2"/>
        <w:rPr>
          <w:lang w:val="en-US"/>
        </w:rPr>
      </w:pPr>
      <w:r w:rsidRPr="003D5706">
        <w:t xml:space="preserve"> </w:t>
      </w:r>
      <w:r w:rsidRPr="00C34B24">
        <w:rPr>
          <w:lang w:val="en-US"/>
        </w:rPr>
        <w:t>QDA vs Regularized discriminant an</w:t>
      </w:r>
      <w:r>
        <w:rPr>
          <w:lang w:val="en-US"/>
        </w:rPr>
        <w:t>alysis</w:t>
      </w:r>
      <w:r w:rsidR="00947DF5">
        <w:rPr>
          <w:lang w:val="en-US"/>
        </w:rPr>
        <w:t xml:space="preserve"> (RDA)</w:t>
      </w:r>
    </w:p>
    <w:p w14:paraId="5ABA4A6C" w14:textId="37C5FE68" w:rsidR="00947DF5" w:rsidRDefault="00947DF5" w:rsidP="00947DF5">
      <w:pPr>
        <w:rPr>
          <w:lang w:val="en-US"/>
        </w:rPr>
      </w:pPr>
    </w:p>
    <w:p w14:paraId="41BDA835" w14:textId="44404CA1" w:rsidR="00947DF5" w:rsidRDefault="00947DF5" w:rsidP="00733FCA">
      <w:pPr>
        <w:jc w:val="both"/>
      </w:pPr>
      <w:r>
        <w:t xml:space="preserve">Dans la partie 1 de ce travail, nous avons montré que la RDA permettait d’éviter  le surajustement de la QDA. Ici, nous montrons comment </w:t>
      </w:r>
      <w:r w:rsidR="00D063AC">
        <w:t>cela fonctionne sur des données réelles.</w:t>
      </w:r>
      <w:r w:rsidR="00707629">
        <w:t xml:space="preserve"> Pour ce faire, nous utilisons l</w:t>
      </w:r>
      <w:r w:rsidR="00C01381">
        <w:t xml:space="preserve">e jeu </w:t>
      </w:r>
      <w:r w:rsidR="00707629">
        <w:t xml:space="preserve">de données  Pima Indians Diabetes téléchargée depuis </w:t>
      </w:r>
      <w:hyperlink r:id="rId9" w:history="1">
        <w:r w:rsidR="00707629" w:rsidRPr="000E02BA">
          <w:rPr>
            <w:rStyle w:val="Lienhypertexte"/>
          </w:rPr>
          <w:t>https://data.world/data-society/pima-indians-diabetes-database</w:t>
        </w:r>
      </w:hyperlink>
      <w:r w:rsidR="00707629">
        <w:t xml:space="preserve">. Il s’agit de données de </w:t>
      </w:r>
      <w:r w:rsidR="00E77368">
        <w:t>diagnostiques</w:t>
      </w:r>
      <w:r w:rsidR="00707629">
        <w:t xml:space="preserve"> de </w:t>
      </w:r>
      <w:r w:rsidR="00E77368">
        <w:t xml:space="preserve">femmes </w:t>
      </w:r>
      <w:r w:rsidR="00707629">
        <w:t>indiennes</w:t>
      </w:r>
      <w:r w:rsidR="00E77368">
        <w:t xml:space="preserve"> permettant de savoir si elles sont diabétiques ou non</w:t>
      </w:r>
      <w:r w:rsidR="00B40478">
        <w:t>, on a donc a priori deux classes</w:t>
      </w:r>
      <w:r w:rsidR="00E77368">
        <w:t xml:space="preserve">. </w:t>
      </w:r>
    </w:p>
    <w:p w14:paraId="0D267357" w14:textId="350AB6B0" w:rsidR="00D30AA5" w:rsidRDefault="00E858BD" w:rsidP="00955E81">
      <w:pPr>
        <w:jc w:val="both"/>
      </w:pPr>
      <w:bookmarkStart w:id="1" w:name="donnees_clean"/>
      <w:r>
        <w:t>Après nettoyage des données</w:t>
      </w:r>
      <w:bookmarkEnd w:id="1"/>
      <w:r>
        <w:t xml:space="preserve">, nous retenons 336 patientes pour </w:t>
      </w:r>
      <w:r w:rsidR="00955E81">
        <w:t xml:space="preserve">les </w:t>
      </w:r>
      <w:r>
        <w:t>variables</w:t>
      </w:r>
      <w:r w:rsidR="00955E81">
        <w:t xml:space="preserve"> grossesses, taux de glucose dans le sang, tension artérielle, épaisseur de la peau, insuline, indice de masse corporelle BMI, la fonction de prédisposions au diabète</w:t>
      </w:r>
      <w:r w:rsidR="003E42C6">
        <w:rPr>
          <w:rStyle w:val="Appelnotedebasdep"/>
        </w:rPr>
        <w:footnoteReference w:id="3"/>
      </w:r>
      <w:r w:rsidR="00955E81">
        <w:t xml:space="preserve">, l’âge et le résultat du diagnostic. </w:t>
      </w:r>
      <w:r w:rsidR="002E2144">
        <w:t xml:space="preserve"> </w:t>
      </w:r>
    </w:p>
    <w:p w14:paraId="611DC831" w14:textId="59A9297C" w:rsidR="00D30AA5" w:rsidRDefault="00C01381" w:rsidP="00733FCA">
      <w:pPr>
        <w:jc w:val="both"/>
      </w:pPr>
      <w:r>
        <w:rPr>
          <w:noProof/>
        </w:rPr>
        <w:drawing>
          <wp:inline distT="0" distB="0" distL="0" distR="0" wp14:anchorId="634392A0" wp14:editId="7DAC64EF">
            <wp:extent cx="6343650" cy="1368425"/>
            <wp:effectExtent l="0" t="0" r="0" b="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57A2" w14:textId="74A797B5" w:rsidR="00C01381" w:rsidRDefault="00C01381" w:rsidP="00C01381">
      <w:pPr>
        <w:jc w:val="center"/>
      </w:pPr>
      <w:r>
        <w:t>Figure : Extrait des 10 premières observations du jeu de données.</w:t>
      </w:r>
    </w:p>
    <w:p w14:paraId="77829606" w14:textId="09812E45" w:rsidR="00E77368" w:rsidRDefault="000605AC" w:rsidP="00733FCA">
      <w:pPr>
        <w:jc w:val="both"/>
      </w:pPr>
      <w:r>
        <w:t>N</w:t>
      </w:r>
      <w:r w:rsidR="00E77368">
        <w:t xml:space="preserve">ous allons </w:t>
      </w:r>
      <w:r>
        <w:t>réaliser dans un premier temps, l</w:t>
      </w:r>
      <w:r w:rsidR="001B16EA">
        <w:t xml:space="preserve">a </w:t>
      </w:r>
      <w:r w:rsidR="00E9083F">
        <w:t>QDA</w:t>
      </w:r>
      <w:r>
        <w:t xml:space="preserve"> sur le jeu de données et </w:t>
      </w:r>
      <w:r w:rsidR="00E9083F">
        <w:t>puis une RDA pour enfin comparer</w:t>
      </w:r>
      <w:r>
        <w:t xml:space="preserve"> </w:t>
      </w:r>
      <w:r w:rsidR="00E9083F">
        <w:t>les résultats des méthodes.</w:t>
      </w:r>
    </w:p>
    <w:p w14:paraId="501D7DF5" w14:textId="1F79322E" w:rsidR="00E9083F" w:rsidRDefault="00772A9A" w:rsidP="00733FCA">
      <w:pPr>
        <w:jc w:val="both"/>
      </w:pPr>
      <w:r>
        <w:t>Pour effectuer l</w:t>
      </w:r>
      <w:r w:rsidR="001B16EA">
        <w:t xml:space="preserve">a </w:t>
      </w:r>
      <w:r>
        <w:t xml:space="preserve">QDA, nous allons vérifier au préalable que les données sont conformes aux hypothèses </w:t>
      </w:r>
      <w:r w:rsidR="000C7A44">
        <w:t>de l</w:t>
      </w:r>
      <w:r w:rsidR="001B16EA">
        <w:t xml:space="preserve">a </w:t>
      </w:r>
      <w:r w:rsidR="000C7A44">
        <w:t xml:space="preserve">QDA présentées au point </w:t>
      </w:r>
      <w:hyperlink w:anchor="Presentation" w:history="1">
        <w:r w:rsidR="000C7A44" w:rsidRPr="000C7A44">
          <w:rPr>
            <w:rStyle w:val="Lienhypertexte"/>
          </w:rPr>
          <w:t>[1]</w:t>
        </w:r>
      </w:hyperlink>
      <w:r w:rsidR="000C7A44">
        <w:t xml:space="preserve">. </w:t>
      </w:r>
    </w:p>
    <w:p w14:paraId="09EF61F3" w14:textId="49860D2A" w:rsidR="003A61FC" w:rsidRDefault="003A61FC" w:rsidP="00733FCA">
      <w:pPr>
        <w:jc w:val="both"/>
      </w:pPr>
    </w:p>
    <w:p w14:paraId="36B3E3CB" w14:textId="0ED13FDC" w:rsidR="003A61FC" w:rsidRDefault="003A61FC" w:rsidP="003A61FC">
      <w:pPr>
        <w:pStyle w:val="Titre3"/>
      </w:pPr>
      <w:r>
        <w:t>Vérification des hypothèses</w:t>
      </w:r>
    </w:p>
    <w:p w14:paraId="0C8B9B70" w14:textId="62D6DA39" w:rsidR="003A61FC" w:rsidRDefault="003A61FC" w:rsidP="003A61FC"/>
    <w:p w14:paraId="677EA1EF" w14:textId="29D35526" w:rsidR="003A61FC" w:rsidRDefault="00EA606A" w:rsidP="00EA606A">
      <w:pPr>
        <w:ind w:left="360"/>
        <w:jc w:val="both"/>
      </w:pPr>
      <w:r>
        <w:rPr>
          <w:rFonts w:cstheme="majorBidi"/>
        </w:rPr>
        <w:t>►</w:t>
      </w:r>
      <w:r w:rsidR="006C76CB">
        <w:t xml:space="preserve">Les </w:t>
      </w:r>
      <w:r w:rsidR="00971B1C">
        <w:t xml:space="preserve">réponses des </w:t>
      </w:r>
      <w:r w:rsidR="006C76CB">
        <w:t>femmes interrogées sont indépendantes les unes des autres</w:t>
      </w:r>
      <w:r w:rsidR="00971B1C">
        <w:t>. L</w:t>
      </w:r>
      <w:r w:rsidR="00971B1C" w:rsidRPr="00971B1C">
        <w:t>'observation d'une variable pour un individu donné ne dépend pas de l'observation de cette même variable pour un autre individu.</w:t>
      </w:r>
      <w:r w:rsidR="00971B1C">
        <w:t xml:space="preserve"> Que l’une soit diabétique n’influence pas qu’une autre le sera ou ne le sera pas ; Aussi, ce n’est pas parce que l’une a un indice de masse corporelle élevée que l’autre sera dans le même cas.</w:t>
      </w:r>
    </w:p>
    <w:p w14:paraId="2B766DD8" w14:textId="63904241" w:rsidR="00EA606A" w:rsidRDefault="00EA606A" w:rsidP="00EA606A">
      <w:pPr>
        <w:ind w:left="360"/>
        <w:jc w:val="both"/>
        <w:rPr>
          <w:rFonts w:cstheme="majorBidi"/>
        </w:rPr>
      </w:pPr>
      <w:r>
        <w:rPr>
          <w:rFonts w:cstheme="majorBidi"/>
        </w:rPr>
        <w:t>► Pour vérifier l’hypothèse de normalité des distributions des variables, nous utilisons le diagramme quantile-quantile (QQ-plot).</w:t>
      </w:r>
    </w:p>
    <w:p w14:paraId="304AA3BC" w14:textId="104DA123" w:rsidR="006D1B1B" w:rsidRDefault="006D1B1B" w:rsidP="006D1B1B">
      <w:pPr>
        <w:ind w:left="360"/>
        <w:jc w:val="center"/>
        <w:rPr>
          <w:rFonts w:cstheme="majorBidi"/>
        </w:rPr>
      </w:pPr>
      <w:r>
        <w:rPr>
          <w:rFonts w:cstheme="majorBidi"/>
          <w:noProof/>
        </w:rPr>
        <w:drawing>
          <wp:inline distT="0" distB="0" distL="0" distR="0" wp14:anchorId="2CC1A33A" wp14:editId="354B39F8">
            <wp:extent cx="3519055" cy="351905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148" cy="353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FEAC2" w14:textId="52C1F82F" w:rsidR="006D1B1B" w:rsidRDefault="006D1B1B" w:rsidP="006D1B1B">
      <w:pPr>
        <w:ind w:left="360"/>
        <w:jc w:val="center"/>
        <w:rPr>
          <w:rFonts w:cstheme="majorBidi"/>
        </w:rPr>
      </w:pPr>
      <w:r>
        <w:rPr>
          <w:rFonts w:cstheme="majorBidi"/>
        </w:rPr>
        <w:t xml:space="preserve">Figure : QQ-plot des 4 premières variables du jeu de données. </w:t>
      </w:r>
    </w:p>
    <w:p w14:paraId="4CE2C41A" w14:textId="53ED35C1" w:rsidR="006D1B1B" w:rsidRDefault="006D1B1B" w:rsidP="006D1B1B">
      <w:pPr>
        <w:jc w:val="both"/>
        <w:rPr>
          <w:rFonts w:ascii="Times New Roman" w:eastAsia="Times New Roman" w:hAnsi="Times New Roman" w:cstheme="majorBidi"/>
          <w:bCs/>
          <w:szCs w:val="24"/>
        </w:rPr>
      </w:pPr>
      <w:r>
        <w:rPr>
          <w:rFonts w:ascii="Times New Roman" w:eastAsia="Times New Roman" w:hAnsi="Times New Roman" w:cstheme="majorBidi"/>
          <w:bCs/>
          <w:szCs w:val="24"/>
        </w:rPr>
        <w:t xml:space="preserve">Le QQ-plot </w:t>
      </w:r>
      <w:r w:rsidRPr="00EA606A">
        <w:rPr>
          <w:rFonts w:ascii="Times New Roman" w:eastAsia="Times New Roman" w:hAnsi="Times New Roman" w:cstheme="majorBidi"/>
          <w:bCs/>
          <w:szCs w:val="24"/>
        </w:rPr>
        <w:t xml:space="preserve"> représente les quantiles d</w:t>
      </w:r>
      <w:r>
        <w:rPr>
          <w:rFonts w:ascii="Times New Roman" w:eastAsia="Times New Roman" w:hAnsi="Times New Roman" w:cstheme="majorBidi"/>
          <w:bCs/>
          <w:szCs w:val="24"/>
        </w:rPr>
        <w:t>’une variable donnée</w:t>
      </w:r>
      <w:r w:rsidRPr="00EA606A">
        <w:rPr>
          <w:rFonts w:ascii="Times New Roman" w:eastAsia="Times New Roman" w:hAnsi="Times New Roman" w:cstheme="majorBidi"/>
          <w:bCs/>
          <w:szCs w:val="24"/>
        </w:rPr>
        <w:t xml:space="preserve"> en abscisse (sur l'axe des X) et les quantiles de la distribution </w:t>
      </w:r>
      <w:r>
        <w:rPr>
          <w:rFonts w:ascii="Times New Roman" w:eastAsia="Times New Roman" w:hAnsi="Times New Roman" w:cstheme="majorBidi"/>
          <w:bCs/>
          <w:szCs w:val="24"/>
        </w:rPr>
        <w:t xml:space="preserve">la normale </w:t>
      </w:r>
      <w:r w:rsidRPr="00EA606A">
        <w:rPr>
          <w:rFonts w:ascii="Times New Roman" w:eastAsia="Times New Roman" w:hAnsi="Times New Roman" w:cstheme="majorBidi"/>
          <w:bCs/>
          <w:szCs w:val="24"/>
        </w:rPr>
        <w:t>en ordonnée (sur l'axe des Y). Si les données suivent exactement la distribution de référence, les points dans le graphique QQ-plot se situeront sur une droite diagonale, appelée droite de référence ou droite d'égalité</w:t>
      </w:r>
      <w:r>
        <w:rPr>
          <w:rFonts w:ascii="Times New Roman" w:eastAsia="Times New Roman" w:hAnsi="Times New Roman" w:cstheme="majorBidi"/>
          <w:bCs/>
          <w:szCs w:val="24"/>
        </w:rPr>
        <w:t xml:space="preserve"> (en rouge ici)</w:t>
      </w:r>
      <w:r w:rsidRPr="00EA606A">
        <w:rPr>
          <w:rFonts w:ascii="Times New Roman" w:eastAsia="Times New Roman" w:hAnsi="Times New Roman" w:cstheme="majorBidi"/>
          <w:bCs/>
          <w:szCs w:val="24"/>
        </w:rPr>
        <w:t>. Si les points s'écartent de cette droite, cela indique que la distribution des données n'est pas tout à fait identique à la distribution de référence.</w:t>
      </w:r>
      <w:r>
        <w:rPr>
          <w:rFonts w:ascii="Times New Roman" w:eastAsia="Times New Roman" w:hAnsi="Times New Roman" w:cstheme="majorBidi"/>
          <w:bCs/>
          <w:szCs w:val="24"/>
        </w:rPr>
        <w:t xml:space="preserve"> Pour ces 4 variables, c’est seulement la variabl</w:t>
      </w:r>
      <w:r w:rsidR="00E257F0">
        <w:rPr>
          <w:rFonts w:ascii="Times New Roman" w:eastAsia="Times New Roman" w:hAnsi="Times New Roman" w:cstheme="majorBidi"/>
          <w:bCs/>
          <w:szCs w:val="24"/>
        </w:rPr>
        <w:t>e</w:t>
      </w:r>
      <w:r>
        <w:rPr>
          <w:rFonts w:ascii="Times New Roman" w:eastAsia="Times New Roman" w:hAnsi="Times New Roman" w:cstheme="majorBidi"/>
          <w:bCs/>
          <w:szCs w:val="24"/>
        </w:rPr>
        <w:t xml:space="preserve"> qui ne suit pas une loi normale.</w:t>
      </w:r>
      <w:r w:rsidR="00774E22">
        <w:rPr>
          <w:rFonts w:ascii="Times New Roman" w:eastAsia="Times New Roman" w:hAnsi="Times New Roman" w:cstheme="majorBidi"/>
          <w:bCs/>
          <w:szCs w:val="24"/>
        </w:rPr>
        <w:t xml:space="preserve"> Les autres variables sont présentées en annexe.</w:t>
      </w:r>
    </w:p>
    <w:p w14:paraId="7648FF1C" w14:textId="5AEFF47C" w:rsidR="00E257F0" w:rsidRDefault="00F7210F" w:rsidP="006D1B1B">
      <w:pPr>
        <w:jc w:val="both"/>
        <w:rPr>
          <w:rFonts w:cstheme="majorBidi"/>
        </w:rPr>
      </w:pPr>
      <w:r>
        <w:rPr>
          <w:rFonts w:cstheme="majorBidi"/>
        </w:rPr>
        <w:t>► Pour vérifier l’hypothèse de l’inégalité des variances de la classe des diabétiques et celle des non-diabétiques, on peut utiliser des boites à moustaches ou des ellipses des nuages des</w:t>
      </w:r>
      <w:r w:rsidR="002A59EA">
        <w:rPr>
          <w:rFonts w:cstheme="majorBidi"/>
        </w:rPr>
        <w:t xml:space="preserve"> deux classes.</w:t>
      </w:r>
    </w:p>
    <w:p w14:paraId="3F8708F9" w14:textId="7B4776F9" w:rsidR="00D71BBE" w:rsidRDefault="00D71BBE" w:rsidP="006D1B1B">
      <w:pPr>
        <w:jc w:val="both"/>
        <w:rPr>
          <w:rFonts w:cstheme="majorBidi"/>
        </w:rPr>
      </w:pPr>
      <w:r>
        <w:rPr>
          <w:rFonts w:cstheme="majorBidi"/>
          <w:bCs/>
          <w:noProof/>
        </w:rPr>
        <w:drawing>
          <wp:anchor distT="0" distB="0" distL="114300" distR="114300" simplePos="0" relativeHeight="251667456" behindDoc="0" locked="0" layoutInCell="1" allowOverlap="1" wp14:anchorId="77174FC6" wp14:editId="41AF5DD8">
            <wp:simplePos x="0" y="0"/>
            <wp:positionH relativeFrom="column">
              <wp:posOffset>3140710</wp:posOffset>
            </wp:positionH>
            <wp:positionV relativeFrom="paragraph">
              <wp:posOffset>83469</wp:posOffset>
            </wp:positionV>
            <wp:extent cx="3131574" cy="2286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574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ajorBidi"/>
          <w:bCs/>
          <w:noProof/>
        </w:rPr>
        <w:drawing>
          <wp:anchor distT="0" distB="0" distL="114300" distR="114300" simplePos="0" relativeHeight="251659264" behindDoc="0" locked="0" layoutInCell="1" allowOverlap="1" wp14:anchorId="108FD748" wp14:editId="0EFE026A">
            <wp:simplePos x="0" y="0"/>
            <wp:positionH relativeFrom="column">
              <wp:posOffset>-190500</wp:posOffset>
            </wp:positionH>
            <wp:positionV relativeFrom="paragraph">
              <wp:posOffset>45085</wp:posOffset>
            </wp:positionV>
            <wp:extent cx="3182165" cy="232410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16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A98C6C" w14:textId="06AF749C" w:rsidR="002A59EA" w:rsidRDefault="002A59EA" w:rsidP="004D1029">
      <w:pPr>
        <w:jc w:val="center"/>
        <w:rPr>
          <w:rFonts w:cstheme="majorBidi"/>
          <w:bCs/>
          <w:noProof/>
        </w:rPr>
      </w:pPr>
    </w:p>
    <w:p w14:paraId="278DFD2B" w14:textId="1DDAC84C" w:rsidR="00D71BBE" w:rsidRDefault="00D71BBE" w:rsidP="004D1029">
      <w:pPr>
        <w:jc w:val="center"/>
        <w:rPr>
          <w:rFonts w:cstheme="majorBidi"/>
          <w:bCs/>
          <w:noProof/>
        </w:rPr>
      </w:pPr>
    </w:p>
    <w:p w14:paraId="40266B18" w14:textId="1CE75562" w:rsidR="00D71BBE" w:rsidRDefault="00D71BBE" w:rsidP="004D1029">
      <w:pPr>
        <w:jc w:val="center"/>
        <w:rPr>
          <w:rFonts w:cstheme="majorBidi"/>
          <w:bCs/>
          <w:noProof/>
        </w:rPr>
      </w:pPr>
    </w:p>
    <w:p w14:paraId="71C34606" w14:textId="6B624193" w:rsidR="00D71BBE" w:rsidRDefault="00D71BBE" w:rsidP="004D1029">
      <w:pPr>
        <w:jc w:val="center"/>
        <w:rPr>
          <w:rFonts w:cstheme="majorBidi"/>
          <w:bCs/>
          <w:noProof/>
        </w:rPr>
      </w:pPr>
    </w:p>
    <w:p w14:paraId="337A85BC" w14:textId="7E695556" w:rsidR="00D71BBE" w:rsidRDefault="00D71BBE" w:rsidP="004D1029">
      <w:pPr>
        <w:jc w:val="center"/>
        <w:rPr>
          <w:rFonts w:cstheme="majorBidi"/>
          <w:bCs/>
          <w:noProof/>
        </w:rPr>
      </w:pPr>
    </w:p>
    <w:p w14:paraId="29FBAE7E" w14:textId="3761E121" w:rsidR="00D71BBE" w:rsidRDefault="00D71BBE" w:rsidP="004D1029">
      <w:pPr>
        <w:jc w:val="center"/>
        <w:rPr>
          <w:rFonts w:cstheme="majorBidi"/>
          <w:bCs/>
          <w:noProof/>
        </w:rPr>
      </w:pPr>
    </w:p>
    <w:p w14:paraId="41068229" w14:textId="31BC2A33" w:rsidR="00D71BBE" w:rsidRDefault="00D71BBE" w:rsidP="004D1029">
      <w:pPr>
        <w:jc w:val="center"/>
        <w:rPr>
          <w:rFonts w:cstheme="majorBidi"/>
          <w:bCs/>
          <w:noProof/>
        </w:rPr>
      </w:pPr>
    </w:p>
    <w:p w14:paraId="1AABAF0F" w14:textId="4767A5B2" w:rsidR="00D71BBE" w:rsidRDefault="00D71BBE" w:rsidP="004D1029">
      <w:pPr>
        <w:jc w:val="center"/>
        <w:rPr>
          <w:rFonts w:cstheme="majorBidi"/>
          <w:bCs/>
          <w:noProof/>
        </w:rPr>
      </w:pPr>
    </w:p>
    <w:p w14:paraId="6E4C6FEF" w14:textId="77777777" w:rsidR="00D71BBE" w:rsidRDefault="00D71BBE" w:rsidP="004D1029">
      <w:pPr>
        <w:jc w:val="center"/>
        <w:rPr>
          <w:rFonts w:ascii="Times New Roman" w:eastAsia="Times New Roman" w:hAnsi="Times New Roman" w:cstheme="majorBidi"/>
          <w:bCs/>
          <w:szCs w:val="24"/>
        </w:rPr>
      </w:pPr>
    </w:p>
    <w:p w14:paraId="35EAE0C3" w14:textId="62C3D695" w:rsidR="004D1029" w:rsidRDefault="004D1029" w:rsidP="004D1029">
      <w:pPr>
        <w:jc w:val="center"/>
        <w:rPr>
          <w:rFonts w:ascii="Times New Roman" w:eastAsia="Times New Roman" w:hAnsi="Times New Roman" w:cstheme="majorBidi"/>
          <w:bCs/>
          <w:szCs w:val="24"/>
        </w:rPr>
      </w:pPr>
      <w:r>
        <w:rPr>
          <w:rFonts w:ascii="Times New Roman" w:eastAsia="Times New Roman" w:hAnsi="Times New Roman" w:cstheme="majorBidi"/>
          <w:bCs/>
          <w:szCs w:val="24"/>
        </w:rPr>
        <w:t>Figure : Boite à moustache de</w:t>
      </w:r>
      <w:r w:rsidR="00D71BBE">
        <w:rPr>
          <w:rFonts w:ascii="Times New Roman" w:eastAsia="Times New Roman" w:hAnsi="Times New Roman" w:cstheme="majorBidi"/>
          <w:bCs/>
          <w:szCs w:val="24"/>
        </w:rPr>
        <w:t>s</w:t>
      </w:r>
      <w:r>
        <w:rPr>
          <w:rFonts w:ascii="Times New Roman" w:eastAsia="Times New Roman" w:hAnsi="Times New Roman" w:cstheme="majorBidi"/>
          <w:bCs/>
          <w:szCs w:val="24"/>
        </w:rPr>
        <w:t xml:space="preserve"> variable SkinThickness </w:t>
      </w:r>
      <w:r w:rsidR="00D71BBE">
        <w:rPr>
          <w:rFonts w:ascii="Times New Roman" w:eastAsia="Times New Roman" w:hAnsi="Times New Roman" w:cstheme="majorBidi"/>
          <w:bCs/>
          <w:szCs w:val="24"/>
        </w:rPr>
        <w:t xml:space="preserve">et BMI </w:t>
      </w:r>
      <w:r>
        <w:rPr>
          <w:rFonts w:ascii="Times New Roman" w:eastAsia="Times New Roman" w:hAnsi="Times New Roman" w:cstheme="majorBidi"/>
          <w:bCs/>
          <w:szCs w:val="24"/>
        </w:rPr>
        <w:t>vs la variable Outcome.</w:t>
      </w:r>
    </w:p>
    <w:p w14:paraId="55994DFB" w14:textId="225EE925" w:rsidR="004D1029" w:rsidRDefault="004D1029" w:rsidP="0096260E">
      <w:pPr>
        <w:rPr>
          <w:rFonts w:ascii="Times New Roman" w:eastAsia="Times New Roman" w:hAnsi="Times New Roman" w:cstheme="majorBidi"/>
          <w:bCs/>
          <w:szCs w:val="24"/>
        </w:rPr>
      </w:pPr>
      <w:r>
        <w:rPr>
          <w:rFonts w:ascii="Times New Roman" w:eastAsia="Times New Roman" w:hAnsi="Times New Roman" w:cstheme="majorBidi"/>
          <w:bCs/>
          <w:szCs w:val="24"/>
        </w:rPr>
        <w:t>On constate que les 2 boites sont différentes et donc que les variances des deux classes pour cette variable sont différentes.</w:t>
      </w:r>
      <w:r w:rsidR="000B1F4C">
        <w:rPr>
          <w:rFonts w:ascii="Times New Roman" w:eastAsia="Times New Roman" w:hAnsi="Times New Roman" w:cstheme="majorBidi"/>
          <w:bCs/>
          <w:szCs w:val="24"/>
        </w:rPr>
        <w:t xml:space="preserve"> Voir les autres boites à moustache dans le notebook ‘pima_QDA&amp;RDA’.</w:t>
      </w:r>
    </w:p>
    <w:p w14:paraId="15731A86" w14:textId="77777777" w:rsidR="006D1B1B" w:rsidRDefault="006D1B1B" w:rsidP="006D1B1B">
      <w:pPr>
        <w:ind w:left="360"/>
        <w:jc w:val="center"/>
        <w:rPr>
          <w:rFonts w:cstheme="majorBidi"/>
        </w:rPr>
      </w:pPr>
    </w:p>
    <w:p w14:paraId="7A9498FB" w14:textId="77777777" w:rsidR="00E76C71" w:rsidRDefault="00E76C71" w:rsidP="00E76C71">
      <w:pPr>
        <w:ind w:left="360"/>
        <w:jc w:val="center"/>
      </w:pPr>
      <w:r>
        <w:rPr>
          <w:noProof/>
        </w:rPr>
        <w:drawing>
          <wp:inline distT="0" distB="0" distL="0" distR="0" wp14:anchorId="2A2FEA1E" wp14:editId="208246F7">
            <wp:extent cx="3583701" cy="2375824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737" cy="239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B3AB5" w14:textId="5B6EC72C" w:rsidR="00D30AA5" w:rsidRDefault="00E76C71" w:rsidP="00E76C71">
      <w:pPr>
        <w:ind w:left="360"/>
        <w:jc w:val="center"/>
      </w:pPr>
      <w:r>
        <w:t xml:space="preserve">Figure : </w:t>
      </w:r>
      <w:r w:rsidR="00034541">
        <w:t>Nuage de points des variables Insulin et Glucose.</w:t>
      </w:r>
    </w:p>
    <w:p w14:paraId="43DBCE48" w14:textId="0518F064" w:rsidR="00034541" w:rsidRDefault="00034541" w:rsidP="006F23A9">
      <w:pPr>
        <w:ind w:left="360"/>
      </w:pPr>
      <w:r>
        <w:t>On voit dans ce graphique que les points rouges sont plus dispersés que les points bleus.</w:t>
      </w:r>
      <w:r w:rsidR="001F3675">
        <w:t xml:space="preserve"> Les variances des deux classes sont aussi différentes pour ces variables.</w:t>
      </w:r>
    </w:p>
    <w:p w14:paraId="28CACE6C" w14:textId="14F0002F" w:rsidR="007C4ADC" w:rsidRDefault="007C4ADC" w:rsidP="006F23A9">
      <w:pPr>
        <w:ind w:left="360"/>
        <w:rPr>
          <w:rFonts w:cstheme="majorBidi"/>
        </w:rPr>
      </w:pPr>
      <w:r>
        <w:rPr>
          <w:rFonts w:cstheme="majorBidi"/>
        </w:rPr>
        <w:t>► Pour vérifier l’hypothèse d’indépendance des variables, on utilise une matrice de corrélation.</w:t>
      </w:r>
    </w:p>
    <w:p w14:paraId="5643D4A7" w14:textId="0A32F01E" w:rsidR="00AD3A7B" w:rsidRDefault="00AD3A7B" w:rsidP="00AD3A7B">
      <w:pPr>
        <w:ind w:left="360"/>
        <w:jc w:val="center"/>
      </w:pPr>
      <w:r>
        <w:rPr>
          <w:noProof/>
        </w:rPr>
        <w:drawing>
          <wp:inline distT="0" distB="0" distL="0" distR="0" wp14:anchorId="2460C48A" wp14:editId="0BCE7388">
            <wp:extent cx="3740727" cy="3896497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110" cy="39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25BDB" w14:textId="7835BEC8" w:rsidR="00AD3A7B" w:rsidRDefault="00AD3A7B" w:rsidP="00AD3A7B">
      <w:pPr>
        <w:ind w:left="360"/>
        <w:jc w:val="center"/>
      </w:pPr>
      <w:r>
        <w:t>Figure : Matrice de corrélation entre les variables.</w:t>
      </w:r>
    </w:p>
    <w:p w14:paraId="1DFF4A8B" w14:textId="088161F8" w:rsidR="000B1F4C" w:rsidRDefault="00AD3A7B" w:rsidP="000B1F4C">
      <w:pPr>
        <w:ind w:left="360"/>
      </w:pPr>
      <w:r>
        <w:t xml:space="preserve">Les variables Glucose et BloodPressure sont fortement corrélées avec l’âge (couleurs rouge et rouge foncé) mais le coefficient de corrélation reste </w:t>
      </w:r>
      <w:r w:rsidR="000B1F4C">
        <w:t xml:space="preserve">tout de même </w:t>
      </w:r>
      <w:r>
        <w:t>inférieur à 0.5</w:t>
      </w:r>
      <w:r w:rsidR="000B1F4C">
        <w:t>.</w:t>
      </w:r>
    </w:p>
    <w:p w14:paraId="66980F07" w14:textId="19870C2D" w:rsidR="000B1F4C" w:rsidRPr="003A61FC" w:rsidRDefault="000B1F4C" w:rsidP="000B1F4C">
      <w:pPr>
        <w:ind w:left="360"/>
      </w:pPr>
      <w:r>
        <w:t>Nous avons vérifié toutes les hypothèses, on retient finalement</w:t>
      </w:r>
      <w:r w:rsidR="004B5177">
        <w:t xml:space="preserve"> </w:t>
      </w:r>
      <w:r w:rsidR="00F0583B">
        <w:t xml:space="preserve">comme </w:t>
      </w:r>
      <w:r w:rsidR="004B5177">
        <w:t>variables explicatives du diabète pour l’analyse discriminante quadratique</w:t>
      </w:r>
      <w:r>
        <w:t xml:space="preserve"> les variables</w:t>
      </w:r>
      <w:r w:rsidR="00E84812">
        <w:t xml:space="preserve"> BMI, Glucose, BloodPressure et SkinThickness</w:t>
      </w:r>
      <w:r w:rsidR="004B5177">
        <w:t xml:space="preserve"> parce qu’elles respectent toutes les hypothèses</w:t>
      </w:r>
      <w:r w:rsidR="00E84812">
        <w:t>.</w:t>
      </w:r>
    </w:p>
    <w:p w14:paraId="4E490C67" w14:textId="77777777" w:rsidR="003A61FC" w:rsidRDefault="003A61FC" w:rsidP="00733FCA">
      <w:pPr>
        <w:jc w:val="both"/>
      </w:pPr>
    </w:p>
    <w:p w14:paraId="12069C0B" w14:textId="77777777" w:rsidR="000F1F59" w:rsidRDefault="000F1F59" w:rsidP="00733FCA">
      <w:pPr>
        <w:jc w:val="both"/>
      </w:pPr>
    </w:p>
    <w:p w14:paraId="2F3628A2" w14:textId="77777777" w:rsidR="00E76E16" w:rsidRDefault="00E76E16" w:rsidP="00733FCA">
      <w:pPr>
        <w:jc w:val="both"/>
      </w:pPr>
    </w:p>
    <w:p w14:paraId="33942AE8" w14:textId="351F754F" w:rsidR="00BA4964" w:rsidRDefault="006C1CB8" w:rsidP="006C1CB8">
      <w:pPr>
        <w:pStyle w:val="Titre3"/>
      </w:pPr>
      <w:r>
        <w:t xml:space="preserve"> Comparaison des résultats de la QDA et la RDA</w:t>
      </w:r>
    </w:p>
    <w:p w14:paraId="12E4148B" w14:textId="37D6DB9B" w:rsidR="00F8499F" w:rsidRPr="00F8499F" w:rsidRDefault="00F8499F" w:rsidP="00F8499F">
      <w:r>
        <w:t xml:space="preserve">Pour effectuer la RDA, il a fallu chercher un coefficient de régularisation qui permet d’éviter le surajustement de la QDA. La technique de validation croisée KFold a donc été utilisé. </w:t>
      </w:r>
    </w:p>
    <w:p w14:paraId="06B6D816" w14:textId="77777777" w:rsidR="006C1CB8" w:rsidRPr="006C1CB8" w:rsidRDefault="006C1CB8" w:rsidP="006C1CB8"/>
    <w:tbl>
      <w:tblPr>
        <w:tblW w:w="979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9"/>
        <w:gridCol w:w="2449"/>
        <w:gridCol w:w="2449"/>
        <w:gridCol w:w="2449"/>
      </w:tblGrid>
      <w:tr w:rsidR="000979AE" w:rsidRPr="008E4975" w14:paraId="0A0AAC0E" w14:textId="12866976" w:rsidTr="005275BE">
        <w:trPr>
          <w:trHeight w:val="490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72C4"/>
            <w:vAlign w:val="center"/>
            <w:hideMark/>
          </w:tcPr>
          <w:p w14:paraId="6044DF7F" w14:textId="0131DBCD" w:rsidR="000979AE" w:rsidRPr="006C1CB8" w:rsidRDefault="000979AE" w:rsidP="005275B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/>
              </w:rPr>
            </w:pPr>
            <w:r w:rsidRPr="006C1CB8">
              <w:rPr>
                <w:rFonts w:ascii="Cambria" w:eastAsia="Times New Roman" w:hAnsi="Cambria" w:cs="Segoe UI"/>
                <w:b/>
                <w:bCs/>
                <w:color w:val="FFFFFF"/>
                <w:szCs w:val="24"/>
              </w:rPr>
              <w:t>Modèle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72C4"/>
            <w:vAlign w:val="center"/>
            <w:hideMark/>
          </w:tcPr>
          <w:p w14:paraId="4D3EEE57" w14:textId="3B2F7BF5" w:rsidR="000979AE" w:rsidRPr="006C1CB8" w:rsidRDefault="000979AE" w:rsidP="005275B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ambria" w:eastAsia="Times New Roman" w:hAnsi="Cambria" w:cs="Segoe UI"/>
                <w:b/>
                <w:bCs/>
                <w:color w:val="FFFFFF"/>
                <w:szCs w:val="24"/>
              </w:rPr>
              <w:t>Rappel(</w:t>
            </w:r>
            <w:r w:rsidRPr="008E4975">
              <w:rPr>
                <w:rFonts w:ascii="Cambria" w:eastAsia="Times New Roman" w:hAnsi="Cambria" w:cs="Segoe UI"/>
                <w:b/>
                <w:bCs/>
                <w:color w:val="FFFFFF"/>
                <w:szCs w:val="24"/>
              </w:rPr>
              <w:t>Recall</w:t>
            </w:r>
            <w:r>
              <w:rPr>
                <w:rFonts w:ascii="Cambria" w:eastAsia="Times New Roman" w:hAnsi="Cambria" w:cs="Segoe UI"/>
                <w:b/>
                <w:bCs/>
                <w:color w:val="FFFFFF"/>
                <w:szCs w:val="24"/>
              </w:rPr>
              <w:t>)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72C4"/>
            <w:vAlign w:val="center"/>
            <w:hideMark/>
          </w:tcPr>
          <w:p w14:paraId="024A6C55" w14:textId="4ABD7C84" w:rsidR="000979AE" w:rsidRPr="006C1CB8" w:rsidRDefault="000979AE" w:rsidP="005275B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/>
              </w:rPr>
            </w:pPr>
            <w:r w:rsidRPr="006C1CB8">
              <w:rPr>
                <w:rFonts w:ascii="Cambria" w:eastAsia="Times New Roman" w:hAnsi="Cambria" w:cs="Segoe UI"/>
                <w:b/>
                <w:bCs/>
                <w:color w:val="FFFFFF"/>
                <w:szCs w:val="24"/>
              </w:rPr>
              <w:t>Précision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72C4"/>
            <w:vAlign w:val="center"/>
          </w:tcPr>
          <w:p w14:paraId="49889774" w14:textId="07951E8D" w:rsidR="000979AE" w:rsidRPr="006C1CB8" w:rsidRDefault="000979AE" w:rsidP="005275BE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Segoe UI"/>
                <w:b/>
                <w:bCs/>
                <w:color w:val="FFFFFF"/>
                <w:szCs w:val="24"/>
              </w:rPr>
            </w:pPr>
            <w:r>
              <w:rPr>
                <w:rFonts w:ascii="Cambria" w:eastAsia="Times New Roman" w:hAnsi="Cambria" w:cs="Segoe UI"/>
                <w:b/>
                <w:bCs/>
                <w:color w:val="FFFFFF"/>
                <w:szCs w:val="24"/>
              </w:rPr>
              <w:t>Accuracy</w:t>
            </w:r>
          </w:p>
        </w:tc>
      </w:tr>
      <w:tr w:rsidR="000979AE" w:rsidRPr="008E4975" w14:paraId="720CB6B6" w14:textId="182710D7" w:rsidTr="005275BE">
        <w:trPr>
          <w:trHeight w:val="490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/>
            <w:vAlign w:val="center"/>
            <w:hideMark/>
          </w:tcPr>
          <w:p w14:paraId="56775466" w14:textId="70CA0476" w:rsidR="000979AE" w:rsidRPr="006C1CB8" w:rsidRDefault="000979AE" w:rsidP="005275B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/>
              </w:rPr>
            </w:pPr>
            <w:r w:rsidRPr="008E4975">
              <w:rPr>
                <w:rFonts w:ascii="Cambria" w:eastAsia="Times New Roman" w:hAnsi="Cambria" w:cs="Segoe UI"/>
                <w:b/>
                <w:bCs/>
                <w:szCs w:val="24"/>
                <w:lang w:val="en-US"/>
              </w:rPr>
              <w:t>QDA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606024" w14:textId="14CA2919" w:rsidR="000979AE" w:rsidRPr="008E4975" w:rsidRDefault="000979AE" w:rsidP="005275B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/>
              </w:rPr>
            </w:pPr>
            <w:r w:rsidRPr="008E497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/>
              </w:rPr>
              <w:t>Diabétique : 6</w:t>
            </w: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/>
              </w:rPr>
              <w:t>7</w:t>
            </w:r>
            <w:r w:rsidRPr="008E497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/>
              </w:rPr>
              <w:t>%</w:t>
            </w:r>
          </w:p>
          <w:p w14:paraId="3AEDB98D" w14:textId="54553A91" w:rsidR="000979AE" w:rsidRPr="006C1CB8" w:rsidRDefault="000979AE" w:rsidP="005275B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/>
              </w:rPr>
            </w:pPr>
            <w:r w:rsidRPr="008E497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/>
              </w:rPr>
              <w:t>Non Diabétique : 82%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F988B7" w14:textId="0C686AB8" w:rsidR="000979AE" w:rsidRPr="008E4975" w:rsidRDefault="000979AE" w:rsidP="005275B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/>
              </w:rPr>
            </w:pPr>
            <w:r w:rsidRPr="008E497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/>
              </w:rPr>
              <w:t>Diabétique : 6</w:t>
            </w: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/>
              </w:rPr>
              <w:t>7</w:t>
            </w:r>
            <w:r w:rsidRPr="008E497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/>
              </w:rPr>
              <w:t>%</w:t>
            </w:r>
          </w:p>
          <w:p w14:paraId="4CF430A9" w14:textId="7CFEA76C" w:rsidR="000979AE" w:rsidRPr="006C1CB8" w:rsidRDefault="000979AE" w:rsidP="005275B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/>
              </w:rPr>
            </w:pPr>
            <w:r w:rsidRPr="008E497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/>
              </w:rPr>
              <w:t>Non Diabétique : 82%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DB776" w14:textId="75A101B3" w:rsidR="000979AE" w:rsidRPr="008E4975" w:rsidRDefault="000979AE" w:rsidP="005275B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/>
              </w:rPr>
              <w:t>76%</w:t>
            </w:r>
          </w:p>
        </w:tc>
      </w:tr>
      <w:tr w:rsidR="000979AE" w:rsidRPr="008E4975" w14:paraId="215CB151" w14:textId="6233FBE9" w:rsidTr="005275BE">
        <w:trPr>
          <w:trHeight w:val="1081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/>
            <w:vAlign w:val="center"/>
            <w:hideMark/>
          </w:tcPr>
          <w:p w14:paraId="6CCA4B11" w14:textId="111A1D87" w:rsidR="000979AE" w:rsidRPr="006C1CB8" w:rsidRDefault="000979AE" w:rsidP="005275B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/>
              </w:rPr>
            </w:pPr>
            <w:r w:rsidRPr="008E4975">
              <w:rPr>
                <w:rFonts w:ascii="Cambria" w:eastAsia="Times New Roman" w:hAnsi="Cambria" w:cs="Segoe UI"/>
                <w:b/>
                <w:bCs/>
                <w:szCs w:val="24"/>
              </w:rPr>
              <w:t>RDA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1F2CDA" w14:textId="340A0E1A" w:rsidR="000979AE" w:rsidRPr="008E4975" w:rsidRDefault="000979AE" w:rsidP="005275B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/>
              </w:rPr>
            </w:pPr>
            <w:r w:rsidRPr="008E497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/>
              </w:rPr>
              <w:t>Diabétique : 62%</w:t>
            </w:r>
          </w:p>
          <w:p w14:paraId="27AEBB32" w14:textId="6A8233D0" w:rsidR="000979AE" w:rsidRPr="006C1CB8" w:rsidRDefault="000979AE" w:rsidP="005275B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/>
              </w:rPr>
            </w:pPr>
            <w:r w:rsidRPr="008E497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/>
              </w:rPr>
              <w:t>Non Diabétique : 82%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618ABC" w14:textId="755D9F24" w:rsidR="000979AE" w:rsidRPr="008E4975" w:rsidRDefault="000979AE" w:rsidP="005275B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/>
              </w:rPr>
            </w:pPr>
            <w:r w:rsidRPr="008E497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/>
              </w:rPr>
              <w:t>Diabétique : 65%</w:t>
            </w:r>
          </w:p>
          <w:p w14:paraId="755035EB" w14:textId="12E835A0" w:rsidR="000979AE" w:rsidRPr="006C1CB8" w:rsidRDefault="000979AE" w:rsidP="005275B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/>
              </w:rPr>
            </w:pPr>
            <w:r w:rsidRPr="008E497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/>
              </w:rPr>
              <w:t>Non Diabétique : 80%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5415DF" w14:textId="4AFEAB90" w:rsidR="000979AE" w:rsidRPr="008E4975" w:rsidRDefault="000979AE" w:rsidP="005275B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/>
              </w:rPr>
              <w:t>75%</w:t>
            </w:r>
          </w:p>
        </w:tc>
      </w:tr>
    </w:tbl>
    <w:p w14:paraId="20735050" w14:textId="33DF55FF" w:rsidR="006C1CB8" w:rsidRDefault="000979AE" w:rsidP="000979AE">
      <w:pPr>
        <w:jc w:val="center"/>
      </w:pPr>
      <w:bookmarkStart w:id="2" w:name="QDA_RDA"/>
      <w:r>
        <w:t>Tableau comparatif de la QDA et la RDA.</w:t>
      </w:r>
    </w:p>
    <w:bookmarkEnd w:id="2"/>
    <w:p w14:paraId="75531F1D" w14:textId="44900F8D" w:rsidR="00B605E1" w:rsidRDefault="00000000" w:rsidP="006C1CB8">
      <w:r>
        <w:rPr>
          <w:noProof/>
        </w:rPr>
        <w:pict w14:anchorId="6A80BE9E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199.1pt;margin-top:122.8pt;width:316.35pt;height:82.9pt;z-index:251660288" strokecolor="white [3212]">
            <v:textbox>
              <w:txbxContent>
                <w:p w14:paraId="681DA0A4" w14:textId="1A9AED58" w:rsidR="00B605E1" w:rsidRDefault="00B605E1">
                  <w:r>
                    <w:t>Vrais positifs : femmes réellement diabétiques.</w:t>
                  </w:r>
                </w:p>
                <w:p w14:paraId="3A48A2EF" w14:textId="5CF0BD4C" w:rsidR="00B605E1" w:rsidRDefault="00B605E1">
                  <w:r>
                    <w:t>Faux positifs : femmes qui ne sont réellement pas diabétiques.</w:t>
                  </w:r>
                </w:p>
              </w:txbxContent>
            </v:textbox>
          </v:shape>
        </w:pict>
      </w:r>
      <w:r w:rsidR="00B605E1">
        <w:rPr>
          <w:noProof/>
        </w:rPr>
        <w:drawing>
          <wp:inline distT="0" distB="0" distL="0" distR="0" wp14:anchorId="4259BFED" wp14:editId="35952D8F">
            <wp:extent cx="2466109" cy="4481485"/>
            <wp:effectExtent l="0" t="0" r="0" b="0"/>
            <wp:docPr id="20" name="Image 2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849" cy="453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05E1">
        <w:rPr>
          <w:rStyle w:val="Appelnotedebasdep"/>
        </w:rPr>
        <w:footnoteReference w:id="4"/>
      </w:r>
    </w:p>
    <w:p w14:paraId="4892904B" w14:textId="27F04DA0" w:rsidR="009A640B" w:rsidRDefault="00F45F07" w:rsidP="006C1CB8">
      <w:r>
        <w:t>Dans le jeu de données les deux classes ne sont pas équilibrées, nous avons 111 diabétiques  et 225 non-diabétiques</w:t>
      </w:r>
      <w:r w:rsidR="000979AE">
        <w:t xml:space="preserve">, on utilise le rappel pour sélectionner le meilleur modèle, l’accuracy serait la métrique à utiliser dans le cas où les données seraient équilibrées. </w:t>
      </w:r>
    </w:p>
    <w:p w14:paraId="55B59A1C" w14:textId="48C42E50" w:rsidR="00F45F07" w:rsidRDefault="00BF5B5E" w:rsidP="00ED76CD">
      <w:pPr>
        <w:jc w:val="both"/>
      </w:pPr>
      <w:r>
        <w:t>D’après les résultats dans le tableau</w:t>
      </w:r>
      <w:r w:rsidR="000979AE">
        <w:t xml:space="preserve"> comparatif </w:t>
      </w:r>
      <w:hyperlink w:anchor="QDA_RDA" w:history="1">
        <w:r w:rsidR="000979AE" w:rsidRPr="000979AE">
          <w:rPr>
            <w:rStyle w:val="Lienhypertexte"/>
          </w:rPr>
          <w:t>ci-dessus</w:t>
        </w:r>
      </w:hyperlink>
      <w:r>
        <w:t>,</w:t>
      </w:r>
      <w:r w:rsidR="000979AE">
        <w:t xml:space="preserve"> la </w:t>
      </w:r>
      <w:r w:rsidR="00F8499F">
        <w:t>QDA</w:t>
      </w:r>
      <w:r w:rsidR="000979AE">
        <w:t xml:space="preserve"> </w:t>
      </w:r>
      <w:r w:rsidR="00ED76CD">
        <w:t>est plus performant</w:t>
      </w:r>
      <w:r w:rsidR="000E35FB">
        <w:t>e</w:t>
      </w:r>
      <w:r w:rsidR="00ED76CD">
        <w:t xml:space="preserve"> que la</w:t>
      </w:r>
      <w:r w:rsidR="00F8499F">
        <w:t xml:space="preserve"> </w:t>
      </w:r>
      <w:r w:rsidR="00ED76CD">
        <w:t>R</w:t>
      </w:r>
      <w:r w:rsidR="00F8499F">
        <w:t xml:space="preserve">DA </w:t>
      </w:r>
      <w:r w:rsidR="00ED76CD">
        <w:t xml:space="preserve">et donc que la QDA a une </w:t>
      </w:r>
      <w:r w:rsidR="000E35FB">
        <w:t>meilleure</w:t>
      </w:r>
      <w:r w:rsidR="005275BE">
        <w:t xml:space="preserve"> </w:t>
      </w:r>
      <w:r w:rsidR="00ED76CD">
        <w:t xml:space="preserve">capacité de discrimination des diabétiques et non diabétiques que la RDA. De fait, les bonnes performances de la QDA pourraient être due à un surajustement ou à un sous ajustement, la figure </w:t>
      </w:r>
      <w:hyperlink w:anchor="QDA_vs_RDA" w:history="1">
        <w:r w:rsidR="00ED76CD" w:rsidRPr="00ED76CD">
          <w:rPr>
            <w:rStyle w:val="Lienhypertexte"/>
          </w:rPr>
          <w:t>ci-dessous</w:t>
        </w:r>
      </w:hyperlink>
      <w:r w:rsidR="00ED76CD">
        <w:t xml:space="preserve"> nous permettra de </w:t>
      </w:r>
      <w:r w:rsidR="00791291">
        <w:t xml:space="preserve">mieux appréhender la sensibilité de la QDA aux nouvelles données. </w:t>
      </w:r>
    </w:p>
    <w:p w14:paraId="251DDB6E" w14:textId="77777777" w:rsidR="009A640B" w:rsidRDefault="009A640B"/>
    <w:p w14:paraId="62580C3D" w14:textId="77777777" w:rsidR="009A640B" w:rsidRDefault="009A640B"/>
    <w:p w14:paraId="2D188E2F" w14:textId="0B203E25" w:rsidR="009A640B" w:rsidRDefault="009A640B" w:rsidP="00ED76CD"/>
    <w:p w14:paraId="28B4051A" w14:textId="1BD0B6E5" w:rsidR="00C34B24" w:rsidRPr="00947DF5" w:rsidRDefault="009A640B" w:rsidP="00ED76CD"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A42B9C5" wp14:editId="7E7C500C">
            <wp:simplePos x="0" y="0"/>
            <wp:positionH relativeFrom="column">
              <wp:posOffset>3359323</wp:posOffset>
            </wp:positionH>
            <wp:positionV relativeFrom="paragraph">
              <wp:posOffset>-55010</wp:posOffset>
            </wp:positionV>
            <wp:extent cx="3051060" cy="2164214"/>
            <wp:effectExtent l="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060" cy="216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4B8E502E" wp14:editId="22F9E3AC">
            <wp:simplePos x="0" y="0"/>
            <wp:positionH relativeFrom="column">
              <wp:posOffset>0</wp:posOffset>
            </wp:positionH>
            <wp:positionV relativeFrom="paragraph">
              <wp:posOffset>-55418</wp:posOffset>
            </wp:positionV>
            <wp:extent cx="3082636" cy="2153665"/>
            <wp:effectExtent l="0" t="0" r="0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636" cy="21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82DA02" w14:textId="77777777" w:rsidR="00ED76CD" w:rsidRDefault="00ED76CD" w:rsidP="00ED76CD"/>
    <w:p w14:paraId="34A8F16C" w14:textId="77777777" w:rsidR="00ED76CD" w:rsidRDefault="00ED76CD" w:rsidP="00ED76CD"/>
    <w:p w14:paraId="25F44388" w14:textId="77777777" w:rsidR="00ED76CD" w:rsidRDefault="00ED76CD" w:rsidP="00ED76CD"/>
    <w:p w14:paraId="030239E2" w14:textId="77777777" w:rsidR="00ED76CD" w:rsidRDefault="00ED76CD" w:rsidP="00ED76CD"/>
    <w:p w14:paraId="6CB509F2" w14:textId="77777777" w:rsidR="00ED76CD" w:rsidRDefault="00ED76CD" w:rsidP="00ED76CD"/>
    <w:p w14:paraId="25F56FED" w14:textId="77777777" w:rsidR="00ED76CD" w:rsidRDefault="00ED76CD" w:rsidP="00ED76CD"/>
    <w:p w14:paraId="7ACD5DA4" w14:textId="77777777" w:rsidR="00ED76CD" w:rsidRDefault="00ED76CD" w:rsidP="00ED76CD"/>
    <w:p w14:paraId="63411C70" w14:textId="30DDDF0C" w:rsidR="008D270D" w:rsidRDefault="00ED76CD" w:rsidP="00ED76CD">
      <w:pPr>
        <w:jc w:val="center"/>
      </w:pPr>
      <w:bookmarkStart w:id="3" w:name="QDA_vs_RDA"/>
      <w:r>
        <w:t>Figure : QDA vs RDA</w:t>
      </w:r>
    </w:p>
    <w:bookmarkEnd w:id="3"/>
    <w:p w14:paraId="35B64287" w14:textId="21C17F05" w:rsidR="008C547D" w:rsidRDefault="005275BE" w:rsidP="00FF09BA">
      <w:pPr>
        <w:jc w:val="both"/>
      </w:pPr>
      <w:r>
        <w:t>Précisons que le score utilisé ici est</w:t>
      </w:r>
      <w:r w:rsidR="00867186">
        <w:t xml:space="preserve"> la ‘balanced accuracy’</w:t>
      </w:r>
      <w:r>
        <w:t xml:space="preserve"> parce que les données sont déséquilibrées.</w:t>
      </w:r>
    </w:p>
    <w:p w14:paraId="1732B876" w14:textId="78590591" w:rsidR="008C547D" w:rsidRDefault="008C547D" w:rsidP="00FF09BA">
      <w:pPr>
        <w:jc w:val="both"/>
      </w:pPr>
      <w:r w:rsidRPr="008C547D">
        <w:t xml:space="preserve">Si la taille de l'ensemble d'apprentissage est petite, les performances </w:t>
      </w:r>
      <w:r>
        <w:t xml:space="preserve">des classifieurs sur cet </w:t>
      </w:r>
      <w:r w:rsidRPr="008C547D">
        <w:t>ensemble d'apprentissage sont élevées</w:t>
      </w:r>
      <w:r>
        <w:t>. En revanche, à</w:t>
      </w:r>
      <w:r w:rsidRPr="008C547D">
        <w:t xml:space="preserve"> mesure que la taille de l'ensemble d'apprentissage augmente, les performances du modèle sur l'ensemble d'apprentissage diminuent</w:t>
      </w:r>
      <w:r>
        <w:t>.</w:t>
      </w:r>
      <w:r w:rsidR="0034715C">
        <w:t xml:space="preserve"> On constate </w:t>
      </w:r>
      <w:r w:rsidR="0034715C" w:rsidRPr="0034715C">
        <w:t>une variance élevée (surajustement) dans un modèle de prédiction s'il fonctionne bien sur l'ensemble d'apprentissage</w:t>
      </w:r>
      <w:r w:rsidR="0034715C">
        <w:t xml:space="preserve"> mais mal sur de nouvelles données. </w:t>
      </w:r>
    </w:p>
    <w:p w14:paraId="62BEE768" w14:textId="6BFD5DAB" w:rsidR="00867186" w:rsidRDefault="00BE577C" w:rsidP="00FF09BA">
      <w:pPr>
        <w:jc w:val="both"/>
      </w:pPr>
      <w:r>
        <w:t>Pour la QDA, n</w:t>
      </w:r>
      <w:r w:rsidR="00867186">
        <w:t xml:space="preserve">ous constatons que </w:t>
      </w:r>
      <w:r>
        <w:t>la courbe de validation présente un score inférieur à celui de la courbe d’entrainement cela signifie que le modèle devient sur adapté aux données, de plus les deux courbes ne convergent pas vers le</w:t>
      </w:r>
      <w:r w:rsidR="00FF09BA">
        <w:t xml:space="preserve"> même score</w:t>
      </w:r>
      <w:r>
        <w:t>.</w:t>
      </w:r>
      <w:r w:rsidR="00FF09BA">
        <w:t xml:space="preserve"> Cependant, pour la RDA on constate que les deux courbes convergent vers le même score, il y a équilibre entre variance et biais.</w:t>
      </w:r>
    </w:p>
    <w:p w14:paraId="0ABD8B9A" w14:textId="611422F5" w:rsidR="00FF09BA" w:rsidRDefault="00FF09BA" w:rsidP="00FF09BA">
      <w:pPr>
        <w:jc w:val="both"/>
      </w:pPr>
      <w:r>
        <w:t>On conclut donc que les bonnes performances de la QDA étaient dues en réalité à un surapprentissage. Ainsi, la RDA se révèle être la meilleure méthode pour discriminer les diabétiques des non-diabétiques</w:t>
      </w:r>
      <w:r w:rsidR="0099251D">
        <w:t xml:space="preserve"> pour </w:t>
      </w:r>
      <w:hyperlink w:anchor="donnees_clean" w:history="1">
        <w:r w:rsidR="0099251D" w:rsidRPr="0099251D">
          <w:rPr>
            <w:rStyle w:val="Lienhypertexte"/>
          </w:rPr>
          <w:t>ces données</w:t>
        </w:r>
      </w:hyperlink>
      <w:r>
        <w:t>.</w:t>
      </w:r>
    </w:p>
    <w:p w14:paraId="022930C0" w14:textId="59DAA7F0" w:rsidR="002D6E30" w:rsidRDefault="002D6E30">
      <w:r>
        <w:br w:type="page"/>
      </w:r>
    </w:p>
    <w:p w14:paraId="7FF240F4" w14:textId="14B882C0" w:rsidR="001B67AE" w:rsidRPr="00947DF5" w:rsidRDefault="00EA606A" w:rsidP="00EA606A">
      <w:pPr>
        <w:pStyle w:val="Titre1"/>
        <w:numPr>
          <w:ilvl w:val="0"/>
          <w:numId w:val="0"/>
        </w:numPr>
      </w:pPr>
      <w:r>
        <w:t xml:space="preserve">Annexe </w:t>
      </w:r>
    </w:p>
    <w:p w14:paraId="03F3E21F" w14:textId="5E94ACBA" w:rsidR="00EA606A" w:rsidRDefault="00EA606A" w:rsidP="00EA606A">
      <w:pPr>
        <w:jc w:val="both"/>
        <w:rPr>
          <w:rFonts w:ascii="Times New Roman" w:eastAsia="Times New Roman" w:hAnsi="Times New Roman" w:cstheme="majorBidi"/>
          <w:bCs/>
          <w:szCs w:val="24"/>
        </w:rPr>
      </w:pPr>
      <w:r>
        <w:rPr>
          <w:rFonts w:ascii="Times New Roman" w:eastAsia="Times New Roman" w:hAnsi="Times New Roman" w:cstheme="majorBidi"/>
          <w:bCs/>
          <w:szCs w:val="24"/>
        </w:rPr>
        <w:t xml:space="preserve">Le QQ-plot </w:t>
      </w:r>
      <w:r w:rsidRPr="00EA606A">
        <w:rPr>
          <w:rFonts w:ascii="Times New Roman" w:eastAsia="Times New Roman" w:hAnsi="Times New Roman" w:cstheme="majorBidi"/>
          <w:bCs/>
          <w:szCs w:val="24"/>
        </w:rPr>
        <w:t xml:space="preserve"> représente les quantiles d</w:t>
      </w:r>
      <w:r>
        <w:rPr>
          <w:rFonts w:ascii="Times New Roman" w:eastAsia="Times New Roman" w:hAnsi="Times New Roman" w:cstheme="majorBidi"/>
          <w:bCs/>
          <w:szCs w:val="24"/>
        </w:rPr>
        <w:t>’une variable donnée</w:t>
      </w:r>
      <w:r w:rsidRPr="00EA606A">
        <w:rPr>
          <w:rFonts w:ascii="Times New Roman" w:eastAsia="Times New Roman" w:hAnsi="Times New Roman" w:cstheme="majorBidi"/>
          <w:bCs/>
          <w:szCs w:val="24"/>
        </w:rPr>
        <w:t xml:space="preserve"> en abscisse (sur l'axe des X) et les quantiles de la distribution </w:t>
      </w:r>
      <w:r>
        <w:rPr>
          <w:rFonts w:ascii="Times New Roman" w:eastAsia="Times New Roman" w:hAnsi="Times New Roman" w:cstheme="majorBidi"/>
          <w:bCs/>
          <w:szCs w:val="24"/>
        </w:rPr>
        <w:t xml:space="preserve">la normale </w:t>
      </w:r>
      <w:r w:rsidRPr="00EA606A">
        <w:rPr>
          <w:rFonts w:ascii="Times New Roman" w:eastAsia="Times New Roman" w:hAnsi="Times New Roman" w:cstheme="majorBidi"/>
          <w:bCs/>
          <w:szCs w:val="24"/>
        </w:rPr>
        <w:t>en ordonnée (sur l'axe des Y). Si les données suivent exactement la distribution de référence, les points dans le graphique QQ-plot se situeront sur une droite diagonale, appelée droite de référence ou droite d'égalité</w:t>
      </w:r>
      <w:r>
        <w:rPr>
          <w:rFonts w:ascii="Times New Roman" w:eastAsia="Times New Roman" w:hAnsi="Times New Roman" w:cstheme="majorBidi"/>
          <w:bCs/>
          <w:szCs w:val="24"/>
        </w:rPr>
        <w:t xml:space="preserve"> (en rouge ici)</w:t>
      </w:r>
      <w:r w:rsidRPr="00EA606A">
        <w:rPr>
          <w:rFonts w:ascii="Times New Roman" w:eastAsia="Times New Roman" w:hAnsi="Times New Roman" w:cstheme="majorBidi"/>
          <w:bCs/>
          <w:szCs w:val="24"/>
        </w:rPr>
        <w:t>. Si les points s'écartent de cette droite, cela indique que la distribution des données n'est pas tout à fait identique à la distribution de référence.</w:t>
      </w:r>
    </w:p>
    <w:p w14:paraId="08B34453" w14:textId="41E7016E" w:rsidR="00EA606A" w:rsidRPr="00EA606A" w:rsidRDefault="000B1F4C" w:rsidP="000B1F4C">
      <w:pPr>
        <w:jc w:val="center"/>
        <w:rPr>
          <w:rFonts w:ascii="Times New Roman" w:eastAsia="Times New Roman" w:hAnsi="Times New Roman" w:cstheme="majorBidi"/>
          <w:bCs/>
          <w:szCs w:val="24"/>
        </w:rPr>
      </w:pPr>
      <w:r>
        <w:rPr>
          <w:rFonts w:cstheme="majorBidi"/>
          <w:bCs/>
          <w:noProof/>
        </w:rPr>
        <w:drawing>
          <wp:inline distT="0" distB="0" distL="0" distR="0" wp14:anchorId="3BBD5C86" wp14:editId="71A8DFD4">
            <wp:extent cx="4170218" cy="4170218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431" cy="417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9CD95" w14:textId="3A58299C" w:rsidR="00A71E7C" w:rsidRDefault="00D54D28" w:rsidP="00D54D28">
      <w:pPr>
        <w:pStyle w:val="Titre1"/>
        <w:numPr>
          <w:ilvl w:val="0"/>
          <w:numId w:val="0"/>
        </w:numPr>
      </w:pPr>
      <w:r>
        <w:t>Références</w:t>
      </w:r>
    </w:p>
    <w:p w14:paraId="13250755" w14:textId="02E4FBC3" w:rsidR="00D54D28" w:rsidRDefault="00D54D28" w:rsidP="00D54D28"/>
    <w:p w14:paraId="259B171F" w14:textId="03C1A321" w:rsidR="006F3F59" w:rsidRDefault="006F3F59" w:rsidP="00D54D28">
      <w:pPr>
        <w:rPr>
          <w:rFonts w:ascii="TimesNewRomanPSMT" w:hAnsi="TimesNewRomanPSMT"/>
          <w:color w:val="000000"/>
          <w:szCs w:val="24"/>
          <w:lang w:val="en-US"/>
        </w:rPr>
      </w:pPr>
      <w:r w:rsidRPr="003D5706">
        <w:rPr>
          <w:rFonts w:ascii="TimesNewRomanPSMT" w:hAnsi="TimesNewRomanPSMT"/>
          <w:color w:val="000000"/>
          <w:szCs w:val="24"/>
        </w:rPr>
        <w:t xml:space="preserve">Trevor Hastie, Robert Tibshirani, Jerome Friedman. </w:t>
      </w:r>
      <w:r w:rsidRPr="006F3F59">
        <w:rPr>
          <w:rFonts w:ascii="TimesNewRomanPSMT" w:hAnsi="TimesNewRomanPSMT"/>
          <w:color w:val="000000"/>
          <w:szCs w:val="24"/>
          <w:lang w:val="en-US"/>
        </w:rPr>
        <w:t>2009,The Elements of Statistical Learning. 2nd</w:t>
      </w:r>
      <w:r w:rsidRPr="006F3F59">
        <w:rPr>
          <w:rFonts w:ascii="TimesNewRomanPSMT" w:hAnsi="TimesNewRomanPSMT"/>
          <w:color w:val="000000"/>
          <w:lang w:val="en-US"/>
        </w:rPr>
        <w:br/>
      </w:r>
      <w:r w:rsidRPr="006F3F59">
        <w:rPr>
          <w:rFonts w:ascii="TimesNewRomanPSMT" w:hAnsi="TimesNewRomanPSMT"/>
          <w:color w:val="000000"/>
          <w:szCs w:val="24"/>
          <w:lang w:val="en-US"/>
        </w:rPr>
        <w:t>edition. Springer. Chap 4.</w:t>
      </w:r>
    </w:p>
    <w:p w14:paraId="369BD293" w14:textId="55B0324C" w:rsidR="00461B01" w:rsidRPr="006F3F59" w:rsidRDefault="00461B01" w:rsidP="00461B01">
      <w:pPr>
        <w:rPr>
          <w:rFonts w:ascii="TimesNewRomanPSMT" w:hAnsi="TimesNewRomanPSMT"/>
          <w:color w:val="000000"/>
          <w:szCs w:val="24"/>
          <w:lang w:val="en-US"/>
        </w:rPr>
      </w:pPr>
      <w:r w:rsidRPr="00461B01">
        <w:rPr>
          <w:rFonts w:ascii="TimesNewRomanPSMT" w:hAnsi="TimesNewRomanPSMT"/>
          <w:color w:val="000000"/>
          <w:szCs w:val="24"/>
          <w:lang w:val="en-US"/>
        </w:rPr>
        <w:t>Jerome H.   Friedman</w:t>
      </w:r>
      <w:r>
        <w:rPr>
          <w:rFonts w:ascii="TimesNewRomanPSMT" w:hAnsi="TimesNewRomanPSMT"/>
          <w:color w:val="000000"/>
          <w:szCs w:val="24"/>
          <w:lang w:val="en-US"/>
        </w:rPr>
        <w:t xml:space="preserve">. 1989, </w:t>
      </w:r>
      <w:r w:rsidRPr="00461B01">
        <w:rPr>
          <w:rFonts w:ascii="TimesNewRomanPSMT" w:hAnsi="TimesNewRomanPSMT"/>
          <w:color w:val="000000"/>
          <w:szCs w:val="24"/>
          <w:lang w:val="en-US"/>
        </w:rPr>
        <w:t>Regularized Discriminant Analysis</w:t>
      </w:r>
      <w:r>
        <w:rPr>
          <w:rFonts w:ascii="TimesNewRomanPSMT" w:hAnsi="TimesNewRomanPSMT"/>
          <w:color w:val="000000"/>
          <w:szCs w:val="24"/>
          <w:lang w:val="en-US"/>
        </w:rPr>
        <w:t>.</w:t>
      </w:r>
      <w:r w:rsidRPr="00461B01">
        <w:rPr>
          <w:rFonts w:ascii="TimesNewRomanPSMT" w:hAnsi="TimesNewRomanPSMT"/>
          <w:color w:val="000000"/>
          <w:szCs w:val="24"/>
          <w:lang w:val="en-US"/>
        </w:rPr>
        <w:t xml:space="preserve"> Journal of the American Statistical Association</w:t>
      </w:r>
      <w:r>
        <w:rPr>
          <w:rFonts w:ascii="TimesNewRomanPSMT" w:hAnsi="TimesNewRomanPSMT"/>
          <w:color w:val="000000"/>
          <w:szCs w:val="24"/>
          <w:lang w:val="en-US"/>
        </w:rPr>
        <w:t>.</w:t>
      </w:r>
    </w:p>
    <w:p w14:paraId="4C59D2B4" w14:textId="7B81A4A5" w:rsidR="006F3F59" w:rsidRDefault="006F3F59" w:rsidP="00D54D28">
      <w:pPr>
        <w:rPr>
          <w:rFonts w:ascii="TimesNewRomanPSMT" w:hAnsi="TimesNewRomanPSMT"/>
          <w:color w:val="000000"/>
          <w:szCs w:val="24"/>
          <w:lang w:val="en-US"/>
        </w:rPr>
      </w:pPr>
      <w:r w:rsidRPr="006F3F59">
        <w:rPr>
          <w:rFonts w:ascii="TimesNewRomanPSMT" w:hAnsi="TimesNewRomanPSMT"/>
          <w:color w:val="000000"/>
          <w:szCs w:val="24"/>
          <w:lang w:val="en-US"/>
        </w:rPr>
        <w:t>Christopher Bishop</w:t>
      </w:r>
      <w:r>
        <w:rPr>
          <w:rFonts w:ascii="TimesNewRomanPSMT" w:hAnsi="TimesNewRomanPSMT"/>
          <w:color w:val="000000"/>
          <w:szCs w:val="24"/>
          <w:lang w:val="en-US"/>
        </w:rPr>
        <w:t>. 2006,</w:t>
      </w:r>
      <w:r w:rsidRPr="006F3F59">
        <w:rPr>
          <w:rFonts w:ascii="TimesNewRomanPSMT" w:hAnsi="TimesNewRomanPSMT"/>
          <w:color w:val="000000"/>
          <w:szCs w:val="24"/>
          <w:lang w:val="en-US"/>
        </w:rPr>
        <w:t xml:space="preserve"> Pattern Recognition and Machine Learning</w:t>
      </w:r>
      <w:r>
        <w:rPr>
          <w:rFonts w:ascii="TimesNewRomanPSMT" w:hAnsi="TimesNewRomanPSMT"/>
          <w:color w:val="000000"/>
          <w:szCs w:val="24"/>
          <w:lang w:val="en-US"/>
        </w:rPr>
        <w:t>. Springer. Chap 4.</w:t>
      </w:r>
    </w:p>
    <w:p w14:paraId="204617A2" w14:textId="64A268C0" w:rsidR="006F3F59" w:rsidRDefault="006F3F59" w:rsidP="00D54D28">
      <w:pPr>
        <w:rPr>
          <w:rFonts w:ascii="TimesNewRomanPSMT" w:hAnsi="TimesNewRomanPSMT"/>
          <w:color w:val="000000"/>
          <w:szCs w:val="24"/>
          <w:lang w:val="en-US"/>
        </w:rPr>
      </w:pPr>
      <w:r w:rsidRPr="006F3F59">
        <w:rPr>
          <w:rFonts w:ascii="TimesNewRomanPSMT" w:hAnsi="TimesNewRomanPSMT"/>
          <w:color w:val="000000"/>
          <w:szCs w:val="24"/>
          <w:lang w:val="en-US"/>
        </w:rPr>
        <w:t>M. Kuhn and K. Johnson</w:t>
      </w:r>
      <w:r>
        <w:rPr>
          <w:rFonts w:ascii="TimesNewRomanPSMT" w:hAnsi="TimesNewRomanPSMT"/>
          <w:color w:val="000000"/>
          <w:szCs w:val="24"/>
          <w:lang w:val="en-US"/>
        </w:rPr>
        <w:t>. 2013,</w:t>
      </w:r>
      <w:r w:rsidRPr="006F3F59">
        <w:rPr>
          <w:rFonts w:ascii="TimesNewRomanPSMT" w:hAnsi="TimesNewRomanPSMT"/>
          <w:color w:val="000000"/>
          <w:szCs w:val="24"/>
          <w:lang w:val="en-US"/>
        </w:rPr>
        <w:t xml:space="preserve"> Applied Predictive Modeling</w:t>
      </w:r>
      <w:r>
        <w:rPr>
          <w:rFonts w:ascii="TimesNewRomanPSMT" w:hAnsi="TimesNewRomanPSMT"/>
          <w:color w:val="000000"/>
          <w:szCs w:val="24"/>
          <w:lang w:val="en-US"/>
        </w:rPr>
        <w:t>. Springer. Chap 13.</w:t>
      </w:r>
    </w:p>
    <w:p w14:paraId="45997D65" w14:textId="079B9775" w:rsidR="009E432F" w:rsidRPr="009E432F" w:rsidRDefault="009E432F" w:rsidP="00D54D28">
      <w:pPr>
        <w:rPr>
          <w:rFonts w:ascii="TimesNewRomanPSMT" w:hAnsi="TimesNewRomanPSMT"/>
          <w:color w:val="000000"/>
          <w:szCs w:val="24"/>
          <w:lang w:val="en-US"/>
        </w:rPr>
      </w:pPr>
      <w:r w:rsidRPr="009E432F">
        <w:rPr>
          <w:rFonts w:ascii="TimesNewRomanPSMT" w:hAnsi="TimesNewRomanPSMT"/>
          <w:color w:val="000000"/>
          <w:szCs w:val="24"/>
          <w:lang w:val="en-US"/>
        </w:rPr>
        <w:t>Kevin P. Murphy</w:t>
      </w:r>
      <w:r>
        <w:rPr>
          <w:rFonts w:ascii="TimesNewRomanPSMT" w:hAnsi="TimesNewRomanPSMT"/>
          <w:color w:val="000000"/>
          <w:szCs w:val="24"/>
          <w:lang w:val="en-US"/>
        </w:rPr>
        <w:t>. 2012,</w:t>
      </w:r>
      <w:r w:rsidRPr="009E432F">
        <w:rPr>
          <w:rFonts w:ascii="TimesNewRomanPSMT" w:hAnsi="TimesNewRomanPSMT"/>
          <w:color w:val="000000"/>
          <w:szCs w:val="24"/>
          <w:lang w:val="en-US"/>
        </w:rPr>
        <w:t xml:space="preserve"> Machine Learning: A Probabilistic Perspective</w:t>
      </w:r>
      <w:r>
        <w:rPr>
          <w:rFonts w:ascii="TimesNewRomanPSMT" w:hAnsi="TimesNewRomanPSMT"/>
          <w:color w:val="000000"/>
          <w:szCs w:val="24"/>
          <w:lang w:val="en-US"/>
        </w:rPr>
        <w:t>. The MIT press. Chap 4.</w:t>
      </w:r>
    </w:p>
    <w:p w14:paraId="7057B7D7" w14:textId="77777777" w:rsidR="006F3F59" w:rsidRPr="006F3F59" w:rsidRDefault="006F3F59" w:rsidP="00D54D28">
      <w:pPr>
        <w:rPr>
          <w:lang w:val="en-US"/>
        </w:rPr>
      </w:pPr>
    </w:p>
    <w:p w14:paraId="4A75033A" w14:textId="77777777" w:rsidR="00A71E7C" w:rsidRPr="006F3F59" w:rsidRDefault="00A71E7C" w:rsidP="00A71E7C">
      <w:pPr>
        <w:rPr>
          <w:lang w:val="en-US"/>
        </w:rPr>
      </w:pPr>
    </w:p>
    <w:p w14:paraId="7FA8B27A" w14:textId="77777777" w:rsidR="00A71E7C" w:rsidRPr="006F3F59" w:rsidRDefault="00A71E7C" w:rsidP="00A71E7C">
      <w:pPr>
        <w:rPr>
          <w:lang w:val="en-US"/>
        </w:rPr>
      </w:pPr>
    </w:p>
    <w:p w14:paraId="54EB332D" w14:textId="77777777" w:rsidR="005819D2" w:rsidRPr="006F3F59" w:rsidRDefault="005819D2" w:rsidP="00C05A01">
      <w:pPr>
        <w:rPr>
          <w:lang w:val="en-US"/>
        </w:rPr>
      </w:pPr>
    </w:p>
    <w:p w14:paraId="7D3C65A7" w14:textId="77777777" w:rsidR="008A34B2" w:rsidRPr="006F3F59" w:rsidRDefault="008A34B2" w:rsidP="00C353C5">
      <w:pPr>
        <w:rPr>
          <w:lang w:val="en-US"/>
        </w:rPr>
      </w:pPr>
    </w:p>
    <w:sectPr w:rsidR="008A34B2" w:rsidRPr="006F3F59" w:rsidSect="00D45260">
      <w:pgSz w:w="11906" w:h="16838" w:code="9"/>
      <w:pgMar w:top="720" w:right="836" w:bottom="72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C9042" w14:textId="77777777" w:rsidR="001A3279" w:rsidRDefault="001A3279" w:rsidP="00C05A01">
      <w:pPr>
        <w:spacing w:after="0" w:line="240" w:lineRule="auto"/>
      </w:pPr>
      <w:r>
        <w:separator/>
      </w:r>
    </w:p>
  </w:endnote>
  <w:endnote w:type="continuationSeparator" w:id="0">
    <w:p w14:paraId="146D4527" w14:textId="77777777" w:rsidR="001A3279" w:rsidRDefault="001A3279" w:rsidP="00C05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76ACF" w14:textId="77777777" w:rsidR="001A3279" w:rsidRDefault="001A3279" w:rsidP="00C05A01">
      <w:pPr>
        <w:spacing w:after="0" w:line="240" w:lineRule="auto"/>
      </w:pPr>
      <w:r>
        <w:separator/>
      </w:r>
    </w:p>
  </w:footnote>
  <w:footnote w:type="continuationSeparator" w:id="0">
    <w:p w14:paraId="0AB997CF" w14:textId="77777777" w:rsidR="001A3279" w:rsidRDefault="001A3279" w:rsidP="00C05A01">
      <w:pPr>
        <w:spacing w:after="0" w:line="240" w:lineRule="auto"/>
      </w:pPr>
      <w:r>
        <w:continuationSeparator/>
      </w:r>
    </w:p>
  </w:footnote>
  <w:footnote w:id="1">
    <w:p w14:paraId="2DA82835" w14:textId="53D576A2" w:rsidR="00857F10" w:rsidRPr="00857F10" w:rsidRDefault="00857F10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857F10">
        <w:rPr>
          <w:lang w:val="en-US"/>
        </w:rPr>
        <w:t xml:space="preserve"> F. Wang, Q. Wang, F. Nie, Z. Li, W. Yu and R. Wang, "Unsupervised Linear Discriminant Analysis for Jointly Clustering and Subspace Learning," in IEEE Transactions on Knowledge and Data Engineering, vol. 33, no. 3, pp. 1276-1290, 1 March 2021, doi: 10.1109/TKDE.2019.2939524.</w:t>
      </w:r>
      <w:r>
        <w:rPr>
          <w:lang w:val="en-US"/>
        </w:rPr>
        <w:t xml:space="preserve"> </w:t>
      </w:r>
    </w:p>
  </w:footnote>
  <w:footnote w:id="2">
    <w:p w14:paraId="3CE68311" w14:textId="5ECD8766" w:rsidR="00255BF6" w:rsidRDefault="00255BF6">
      <w:pPr>
        <w:pStyle w:val="Notedebasdepage"/>
      </w:pPr>
      <w:r>
        <w:rPr>
          <w:rStyle w:val="Appelnotedebasdep"/>
        </w:rPr>
        <w:footnoteRef/>
      </w:r>
      <w:r>
        <w:t xml:space="preserve"> Il faudra plutôt utiliser un traitement particulier, avec le One Hot Encoding</w:t>
      </w:r>
      <w:r w:rsidR="007D3E0D">
        <w:t>, créer autant de variables binaires qu’il y’a de modalités pour chaque variable catégorielle.</w:t>
      </w:r>
    </w:p>
  </w:footnote>
  <w:footnote w:id="3">
    <w:p w14:paraId="543964DF" w14:textId="0A86D2D5" w:rsidR="003E42C6" w:rsidRDefault="003E42C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3E42C6">
        <w:t xml:space="preserve">La fonction de pédiatrie du diabète </w:t>
      </w:r>
      <w:r w:rsidR="00653340" w:rsidRPr="00653340">
        <w:t>évalue la probabilité d</w:t>
      </w:r>
      <w:r w:rsidR="00653340">
        <w:t>’avoir le</w:t>
      </w:r>
      <w:r w:rsidR="00653340" w:rsidRPr="00653340">
        <w:t xml:space="preserve"> diabète en fonction des antécédents familiaux</w:t>
      </w:r>
      <w:r w:rsidR="00653340">
        <w:t xml:space="preserve"> du diabète</w:t>
      </w:r>
      <w:r w:rsidR="00653340" w:rsidRPr="00653340">
        <w:t>.</w:t>
      </w:r>
    </w:p>
  </w:footnote>
  <w:footnote w:id="4">
    <w:p w14:paraId="65B1721B" w14:textId="609DE9E3" w:rsidR="00B605E1" w:rsidRPr="00B605E1" w:rsidRDefault="00B605E1">
      <w:pPr>
        <w:pStyle w:val="Notedebasdepage"/>
      </w:pPr>
      <w:r>
        <w:rPr>
          <w:rStyle w:val="Appelnotedebasdep"/>
        </w:rPr>
        <w:footnoteRef/>
      </w:r>
      <w:r w:rsidRPr="00B605E1">
        <w:t xml:space="preserve"> </w:t>
      </w:r>
      <w:hyperlink r:id="rId1" w:history="1">
        <w:r w:rsidRPr="00B605E1">
          <w:rPr>
            <w:rStyle w:val="Lienhypertexte"/>
          </w:rPr>
          <w:t>https://leandeep.com/evaluer-ses-mod%C3%A8les-de-classification/</w:t>
        </w:r>
      </w:hyperlink>
      <w:r w:rsidRPr="00B605E1">
        <w:t xml:space="preserve"> [Consulté</w:t>
      </w:r>
      <w:r>
        <w:t xml:space="preserve"> le 2/19/2023]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2436"/>
    <w:multiLevelType w:val="multilevel"/>
    <w:tmpl w:val="462A2A5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suff w:val="space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itre3"/>
      <w:suff w:val="space"/>
      <w:lvlText w:val="%1. %2. 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itre4"/>
      <w:suff w:val="space"/>
      <w:lvlText w:val="%1. %2. %3. 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71147A8"/>
    <w:multiLevelType w:val="hybridMultilevel"/>
    <w:tmpl w:val="015C8F3C"/>
    <w:lvl w:ilvl="0" w:tplc="D2E664AA">
      <w:start w:val="1"/>
      <w:numFmt w:val="lowerLetter"/>
      <w:lvlText w:val="%1."/>
      <w:lvlJc w:val="left"/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</w:rPr>
    </w:lvl>
    <w:lvl w:ilvl="1" w:tplc="94D684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E2CF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1C19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102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64D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26B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98C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00F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6B154E"/>
    <w:multiLevelType w:val="hybridMultilevel"/>
    <w:tmpl w:val="177C54E2"/>
    <w:lvl w:ilvl="0" w:tplc="A2004ADA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73EA0"/>
    <w:multiLevelType w:val="multilevel"/>
    <w:tmpl w:val="AB6012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2C7DF8"/>
    <w:multiLevelType w:val="multilevel"/>
    <w:tmpl w:val="AF387F86"/>
    <w:lvl w:ilvl="0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37A2113F"/>
    <w:multiLevelType w:val="hybridMultilevel"/>
    <w:tmpl w:val="8584BC8C"/>
    <w:lvl w:ilvl="0" w:tplc="BD4E131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C15DA"/>
    <w:multiLevelType w:val="singleLevel"/>
    <w:tmpl w:val="07384F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3EC37BC5"/>
    <w:multiLevelType w:val="hybridMultilevel"/>
    <w:tmpl w:val="8818A3F4"/>
    <w:lvl w:ilvl="0" w:tplc="5C60691E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63D77"/>
    <w:multiLevelType w:val="multilevel"/>
    <w:tmpl w:val="37225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8C60F92"/>
    <w:multiLevelType w:val="multilevel"/>
    <w:tmpl w:val="E7962B84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A950127"/>
    <w:multiLevelType w:val="multilevel"/>
    <w:tmpl w:val="EFAE98BC"/>
    <w:styleLink w:val="STYL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1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C5F127A"/>
    <w:multiLevelType w:val="hybridMultilevel"/>
    <w:tmpl w:val="F2D6BB74"/>
    <w:lvl w:ilvl="0" w:tplc="A3D6C6F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B490E"/>
    <w:multiLevelType w:val="hybridMultilevel"/>
    <w:tmpl w:val="A41C7316"/>
    <w:lvl w:ilvl="0" w:tplc="C5A031F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95477"/>
    <w:multiLevelType w:val="multilevel"/>
    <w:tmpl w:val="C240B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4E74DCE"/>
    <w:multiLevelType w:val="multilevel"/>
    <w:tmpl w:val="C44A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673B1360"/>
    <w:multiLevelType w:val="multilevel"/>
    <w:tmpl w:val="4B5EE8DA"/>
    <w:styleLink w:val="Style1"/>
    <w:lvl w:ilvl="0">
      <w:start w:val="1"/>
      <w:numFmt w:val="upperRoman"/>
      <w:lvlText w:val="%1-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16" w15:restartNumberingAfterBreak="0">
    <w:nsid w:val="69302F23"/>
    <w:multiLevelType w:val="hybridMultilevel"/>
    <w:tmpl w:val="0DFCEE14"/>
    <w:lvl w:ilvl="0" w:tplc="FA60D6AA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FD33227"/>
    <w:multiLevelType w:val="multilevel"/>
    <w:tmpl w:val="5C9C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7D49CA"/>
    <w:multiLevelType w:val="multilevel"/>
    <w:tmpl w:val="2DC09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8A35D85"/>
    <w:multiLevelType w:val="multilevel"/>
    <w:tmpl w:val="1CB0E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73356047">
    <w:abstractNumId w:val="1"/>
  </w:num>
  <w:num w:numId="2" w16cid:durableId="203912091">
    <w:abstractNumId w:val="18"/>
  </w:num>
  <w:num w:numId="3" w16cid:durableId="82800848">
    <w:abstractNumId w:val="3"/>
    <w:lvlOverride w:ilvl="0">
      <w:lvl w:ilvl="0">
        <w:start w:val="1"/>
        <w:numFmt w:val="upperLetter"/>
        <w:lvlText w:val="%1."/>
        <w:lvlJc w:val="left"/>
        <w:pPr>
          <w:ind w:left="36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4" w16cid:durableId="958800089">
    <w:abstractNumId w:val="14"/>
  </w:num>
  <w:num w:numId="5" w16cid:durableId="428280393">
    <w:abstractNumId w:val="14"/>
  </w:num>
  <w:num w:numId="6" w16cid:durableId="976446796">
    <w:abstractNumId w:val="18"/>
  </w:num>
  <w:num w:numId="7" w16cid:durableId="1820145027">
    <w:abstractNumId w:val="15"/>
  </w:num>
  <w:num w:numId="8" w16cid:durableId="218713442">
    <w:abstractNumId w:val="10"/>
  </w:num>
  <w:num w:numId="9" w16cid:durableId="1267032289">
    <w:abstractNumId w:val="4"/>
  </w:num>
  <w:num w:numId="10" w16cid:durableId="833566605">
    <w:abstractNumId w:val="4"/>
  </w:num>
  <w:num w:numId="11" w16cid:durableId="2100826324">
    <w:abstractNumId w:val="4"/>
  </w:num>
  <w:num w:numId="12" w16cid:durableId="1372463720">
    <w:abstractNumId w:val="4"/>
  </w:num>
  <w:num w:numId="13" w16cid:durableId="1751847030">
    <w:abstractNumId w:val="7"/>
  </w:num>
  <w:num w:numId="14" w16cid:durableId="1690720534">
    <w:abstractNumId w:val="19"/>
  </w:num>
  <w:num w:numId="15" w16cid:durableId="1050108292">
    <w:abstractNumId w:val="6"/>
  </w:num>
  <w:num w:numId="16" w16cid:durableId="1111165687">
    <w:abstractNumId w:val="16"/>
  </w:num>
  <w:num w:numId="17" w16cid:durableId="1342928129">
    <w:abstractNumId w:val="4"/>
  </w:num>
  <w:num w:numId="18" w16cid:durableId="800004020">
    <w:abstractNumId w:val="5"/>
  </w:num>
  <w:num w:numId="19" w16cid:durableId="790975582">
    <w:abstractNumId w:val="5"/>
  </w:num>
  <w:num w:numId="20" w16cid:durableId="1709572286">
    <w:abstractNumId w:val="11"/>
  </w:num>
  <w:num w:numId="21" w16cid:durableId="1339845383">
    <w:abstractNumId w:val="12"/>
  </w:num>
  <w:num w:numId="22" w16cid:durableId="441195374">
    <w:abstractNumId w:val="7"/>
  </w:num>
  <w:num w:numId="23" w16cid:durableId="347610077">
    <w:abstractNumId w:val="13"/>
  </w:num>
  <w:num w:numId="24" w16cid:durableId="3778098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42549724">
    <w:abstractNumId w:val="0"/>
  </w:num>
  <w:num w:numId="26" w16cid:durableId="1688287509">
    <w:abstractNumId w:val="0"/>
  </w:num>
  <w:num w:numId="27" w16cid:durableId="724446287">
    <w:abstractNumId w:val="0"/>
  </w:num>
  <w:num w:numId="28" w16cid:durableId="546141430">
    <w:abstractNumId w:val="8"/>
  </w:num>
  <w:num w:numId="29" w16cid:durableId="276766125">
    <w:abstractNumId w:val="0"/>
  </w:num>
  <w:num w:numId="30" w16cid:durableId="678234500">
    <w:abstractNumId w:val="9"/>
  </w:num>
  <w:num w:numId="31" w16cid:durableId="1023018291">
    <w:abstractNumId w:val="17"/>
  </w:num>
  <w:num w:numId="32" w16cid:durableId="1258171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190"/>
    <w:rsid w:val="00005AC0"/>
    <w:rsid w:val="00011842"/>
    <w:rsid w:val="00034541"/>
    <w:rsid w:val="000605AC"/>
    <w:rsid w:val="00073BF4"/>
    <w:rsid w:val="00077921"/>
    <w:rsid w:val="00082BE1"/>
    <w:rsid w:val="000979AE"/>
    <w:rsid w:val="000A088C"/>
    <w:rsid w:val="000B1F4C"/>
    <w:rsid w:val="000B5AE1"/>
    <w:rsid w:val="000C7A44"/>
    <w:rsid w:val="000E35FB"/>
    <w:rsid w:val="000F1F59"/>
    <w:rsid w:val="000F5E69"/>
    <w:rsid w:val="0010639D"/>
    <w:rsid w:val="00120FB0"/>
    <w:rsid w:val="001A3279"/>
    <w:rsid w:val="001A48FA"/>
    <w:rsid w:val="001B16EA"/>
    <w:rsid w:val="001B674A"/>
    <w:rsid w:val="001B67AE"/>
    <w:rsid w:val="001D4C03"/>
    <w:rsid w:val="001D75A6"/>
    <w:rsid w:val="001F2431"/>
    <w:rsid w:val="001F3675"/>
    <w:rsid w:val="0022781C"/>
    <w:rsid w:val="00235CB9"/>
    <w:rsid w:val="00255BF6"/>
    <w:rsid w:val="0028665F"/>
    <w:rsid w:val="002A59EA"/>
    <w:rsid w:val="002B7E80"/>
    <w:rsid w:val="002C1F2C"/>
    <w:rsid w:val="002D6E30"/>
    <w:rsid w:val="002E2144"/>
    <w:rsid w:val="002F377C"/>
    <w:rsid w:val="0034715C"/>
    <w:rsid w:val="00352B9E"/>
    <w:rsid w:val="00363190"/>
    <w:rsid w:val="003A61FC"/>
    <w:rsid w:val="003D31C1"/>
    <w:rsid w:val="003D5706"/>
    <w:rsid w:val="003E42C6"/>
    <w:rsid w:val="00421F06"/>
    <w:rsid w:val="004266F8"/>
    <w:rsid w:val="004532FE"/>
    <w:rsid w:val="00461B01"/>
    <w:rsid w:val="00492793"/>
    <w:rsid w:val="0049563F"/>
    <w:rsid w:val="004B5177"/>
    <w:rsid w:val="004C1E33"/>
    <w:rsid w:val="004D1029"/>
    <w:rsid w:val="004D2563"/>
    <w:rsid w:val="004E70BD"/>
    <w:rsid w:val="004F3845"/>
    <w:rsid w:val="005275BE"/>
    <w:rsid w:val="005536EB"/>
    <w:rsid w:val="005819D2"/>
    <w:rsid w:val="00582995"/>
    <w:rsid w:val="00595C4E"/>
    <w:rsid w:val="005F21FC"/>
    <w:rsid w:val="005F3BBC"/>
    <w:rsid w:val="005F79BC"/>
    <w:rsid w:val="0060728F"/>
    <w:rsid w:val="00625EC1"/>
    <w:rsid w:val="006446BC"/>
    <w:rsid w:val="00653340"/>
    <w:rsid w:val="00654CA2"/>
    <w:rsid w:val="00666F6B"/>
    <w:rsid w:val="00687582"/>
    <w:rsid w:val="00691A9E"/>
    <w:rsid w:val="006C1CB8"/>
    <w:rsid w:val="006C76CB"/>
    <w:rsid w:val="006D1B1B"/>
    <w:rsid w:val="006F1688"/>
    <w:rsid w:val="006F23A9"/>
    <w:rsid w:val="006F3F59"/>
    <w:rsid w:val="00707629"/>
    <w:rsid w:val="007224F7"/>
    <w:rsid w:val="00733FCA"/>
    <w:rsid w:val="00745906"/>
    <w:rsid w:val="00772A9A"/>
    <w:rsid w:val="00774E22"/>
    <w:rsid w:val="0078454E"/>
    <w:rsid w:val="00791291"/>
    <w:rsid w:val="00792C3C"/>
    <w:rsid w:val="007971EF"/>
    <w:rsid w:val="007B6A94"/>
    <w:rsid w:val="007C43F5"/>
    <w:rsid w:val="007C4ADC"/>
    <w:rsid w:val="007C7958"/>
    <w:rsid w:val="007D2711"/>
    <w:rsid w:val="007D3E0D"/>
    <w:rsid w:val="00857F10"/>
    <w:rsid w:val="00867186"/>
    <w:rsid w:val="008838BA"/>
    <w:rsid w:val="008A34B2"/>
    <w:rsid w:val="008C547D"/>
    <w:rsid w:val="008D04DE"/>
    <w:rsid w:val="008D270D"/>
    <w:rsid w:val="008E4975"/>
    <w:rsid w:val="008F55C0"/>
    <w:rsid w:val="008F5E17"/>
    <w:rsid w:val="00933EC8"/>
    <w:rsid w:val="00943D8F"/>
    <w:rsid w:val="00947DF5"/>
    <w:rsid w:val="00955E81"/>
    <w:rsid w:val="00956CB5"/>
    <w:rsid w:val="0096260E"/>
    <w:rsid w:val="00971B1C"/>
    <w:rsid w:val="0097629C"/>
    <w:rsid w:val="0099251D"/>
    <w:rsid w:val="009A640B"/>
    <w:rsid w:val="009E432F"/>
    <w:rsid w:val="00A34616"/>
    <w:rsid w:val="00A43366"/>
    <w:rsid w:val="00A65B3C"/>
    <w:rsid w:val="00A71E7C"/>
    <w:rsid w:val="00A92F9C"/>
    <w:rsid w:val="00AA40B2"/>
    <w:rsid w:val="00AD3A7B"/>
    <w:rsid w:val="00AF36A1"/>
    <w:rsid w:val="00B40478"/>
    <w:rsid w:val="00B47EAB"/>
    <w:rsid w:val="00B605E1"/>
    <w:rsid w:val="00B71F85"/>
    <w:rsid w:val="00B92FCE"/>
    <w:rsid w:val="00B95FD5"/>
    <w:rsid w:val="00BA4964"/>
    <w:rsid w:val="00BE577C"/>
    <w:rsid w:val="00BF5B5E"/>
    <w:rsid w:val="00C01381"/>
    <w:rsid w:val="00C05A01"/>
    <w:rsid w:val="00C34B24"/>
    <w:rsid w:val="00C353C5"/>
    <w:rsid w:val="00C70CA3"/>
    <w:rsid w:val="00C86E98"/>
    <w:rsid w:val="00C94481"/>
    <w:rsid w:val="00CE12B4"/>
    <w:rsid w:val="00CE4697"/>
    <w:rsid w:val="00D063AC"/>
    <w:rsid w:val="00D06415"/>
    <w:rsid w:val="00D30AA5"/>
    <w:rsid w:val="00D54D28"/>
    <w:rsid w:val="00D71BBE"/>
    <w:rsid w:val="00D80ED9"/>
    <w:rsid w:val="00D969B7"/>
    <w:rsid w:val="00DB1E4C"/>
    <w:rsid w:val="00DD2BA9"/>
    <w:rsid w:val="00E257F0"/>
    <w:rsid w:val="00E40FAC"/>
    <w:rsid w:val="00E64310"/>
    <w:rsid w:val="00E7332A"/>
    <w:rsid w:val="00E76C71"/>
    <w:rsid w:val="00E76E16"/>
    <w:rsid w:val="00E77368"/>
    <w:rsid w:val="00E84812"/>
    <w:rsid w:val="00E858BD"/>
    <w:rsid w:val="00E9083F"/>
    <w:rsid w:val="00EA606A"/>
    <w:rsid w:val="00EA7FD8"/>
    <w:rsid w:val="00ED128E"/>
    <w:rsid w:val="00ED76CD"/>
    <w:rsid w:val="00F049AE"/>
    <w:rsid w:val="00F0583B"/>
    <w:rsid w:val="00F45F07"/>
    <w:rsid w:val="00F67F60"/>
    <w:rsid w:val="00F7210F"/>
    <w:rsid w:val="00F83CDF"/>
    <w:rsid w:val="00F8499F"/>
    <w:rsid w:val="00FB4FEA"/>
    <w:rsid w:val="00FF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642C28C1"/>
  <w15:chartTrackingRefBased/>
  <w15:docId w15:val="{ED32B449-B0DB-489B-8923-297DD763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A01"/>
    <w:rPr>
      <w:rFonts w:asciiTheme="majorBidi" w:hAnsiTheme="majorBidi"/>
      <w:sz w:val="24"/>
      <w:lang w:val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B67AE"/>
    <w:pPr>
      <w:keepNext/>
      <w:keepLines/>
      <w:numPr>
        <w:numId w:val="30"/>
      </w:numPr>
      <w:spacing w:before="240" w:after="0"/>
      <w:ind w:left="360" w:hanging="360"/>
      <w:outlineLvl w:val="0"/>
    </w:pPr>
    <w:rPr>
      <w:rFonts w:ascii="Times New Roman" w:eastAsia="Times New Roman" w:hAnsi="Times New Roman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F55C0"/>
    <w:pPr>
      <w:keepNext/>
      <w:keepLines/>
      <w:numPr>
        <w:ilvl w:val="1"/>
        <w:numId w:val="29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A43366"/>
    <w:pPr>
      <w:keepNext/>
      <w:keepLines/>
      <w:numPr>
        <w:ilvl w:val="2"/>
        <w:numId w:val="29"/>
      </w:numPr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A43366"/>
    <w:pPr>
      <w:keepNext/>
      <w:keepLines/>
      <w:numPr>
        <w:ilvl w:val="3"/>
        <w:numId w:val="29"/>
      </w:numPr>
      <w:spacing w:before="40" w:after="0"/>
      <w:jc w:val="both"/>
      <w:outlineLvl w:val="3"/>
    </w:pPr>
    <w:rPr>
      <w:rFonts w:ascii="Times New Roman" w:eastAsiaTheme="majorEastAsia" w:hAnsi="Times New Roman" w:cstheme="majorBidi"/>
      <w:b/>
      <w:iCs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F55C0"/>
    <w:pPr>
      <w:keepNext/>
      <w:keepLines/>
      <w:spacing w:before="40" w:after="0"/>
      <w:jc w:val="center"/>
      <w:outlineLvl w:val="4"/>
    </w:pPr>
    <w:rPr>
      <w:rFonts w:eastAsiaTheme="majorEastAsia" w:cstheme="majorBidi"/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8F55C0"/>
    <w:rPr>
      <w:rFonts w:ascii="Times New Roman" w:eastAsiaTheme="majorEastAsia" w:hAnsi="Times New Roman" w:cstheme="majorBidi"/>
      <w:b/>
      <w:iCs/>
      <w:sz w:val="24"/>
      <w:szCs w:val="24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1B67AE"/>
    <w:rPr>
      <w:rFonts w:ascii="Times New Roman" w:eastAsia="Times New Roman" w:hAnsi="Times New Roman" w:cstheme="majorBidi"/>
      <w:b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8F55C0"/>
    <w:rPr>
      <w:rFonts w:asciiTheme="majorBidi" w:eastAsiaTheme="majorEastAsia" w:hAnsiTheme="majorBidi" w:cstheme="majorBidi"/>
      <w:b/>
      <w:color w:val="000000" w:themeColor="text1"/>
      <w:sz w:val="28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8F55C0"/>
    <w:rPr>
      <w:rFonts w:asciiTheme="majorBidi" w:eastAsiaTheme="majorEastAsia" w:hAnsiTheme="majorBidi" w:cstheme="majorBidi"/>
      <w:b/>
      <w:sz w:val="26"/>
      <w:szCs w:val="24"/>
      <w:lang w:val="fr-FR"/>
    </w:rPr>
  </w:style>
  <w:style w:type="numbering" w:customStyle="1" w:styleId="Style1">
    <w:name w:val="Style1"/>
    <w:uiPriority w:val="99"/>
    <w:rsid w:val="00956CB5"/>
    <w:pPr>
      <w:numPr>
        <w:numId w:val="7"/>
      </w:numPr>
    </w:pPr>
  </w:style>
  <w:style w:type="numbering" w:customStyle="1" w:styleId="STYLE">
    <w:name w:val="STYLE"/>
    <w:uiPriority w:val="99"/>
    <w:rsid w:val="00956CB5"/>
    <w:pPr>
      <w:numPr>
        <w:numId w:val="8"/>
      </w:numPr>
    </w:pPr>
  </w:style>
  <w:style w:type="character" w:customStyle="1" w:styleId="Titre5Car">
    <w:name w:val="Titre 5 Car"/>
    <w:basedOn w:val="Policepardfaut"/>
    <w:link w:val="Titre5"/>
    <w:uiPriority w:val="9"/>
    <w:semiHidden/>
    <w:rsid w:val="008F55C0"/>
    <w:rPr>
      <w:rFonts w:asciiTheme="majorBidi" w:eastAsiaTheme="majorEastAsia" w:hAnsiTheme="majorBidi" w:cstheme="majorBidi"/>
      <w:b/>
      <w:sz w:val="28"/>
      <w:lang w:val="fr-FR"/>
    </w:rPr>
  </w:style>
  <w:style w:type="character" w:customStyle="1" w:styleId="fontstyle01">
    <w:name w:val="fontstyle01"/>
    <w:basedOn w:val="Policepardfaut"/>
    <w:rsid w:val="0036319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05A0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05A01"/>
    <w:rPr>
      <w:rFonts w:asciiTheme="majorBidi" w:hAnsiTheme="majorBidi"/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C05A01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C05A0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05A01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C05A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C05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C05A0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05A01"/>
    <w:pPr>
      <w:spacing w:after="100"/>
      <w:ind w:left="240"/>
    </w:pPr>
  </w:style>
  <w:style w:type="character" w:styleId="Mentionnonrsolue">
    <w:name w:val="Unresolved Mention"/>
    <w:basedOn w:val="Policepardfaut"/>
    <w:uiPriority w:val="99"/>
    <w:semiHidden/>
    <w:unhideWhenUsed/>
    <w:rsid w:val="0070762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A61FC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6C1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normaltextrun">
    <w:name w:val="normaltextrun"/>
    <w:basedOn w:val="Policepardfaut"/>
    <w:rsid w:val="006C1CB8"/>
  </w:style>
  <w:style w:type="character" w:customStyle="1" w:styleId="eop">
    <w:name w:val="eop"/>
    <w:basedOn w:val="Policepardfaut"/>
    <w:rsid w:val="006C1CB8"/>
  </w:style>
  <w:style w:type="character" w:customStyle="1" w:styleId="scxw21168191">
    <w:name w:val="scxw21168191"/>
    <w:basedOn w:val="Policepardfaut"/>
    <w:rsid w:val="006C1CB8"/>
  </w:style>
  <w:style w:type="character" w:customStyle="1" w:styleId="mi">
    <w:name w:val="mi"/>
    <w:basedOn w:val="Policepardfaut"/>
    <w:rsid w:val="006C1CB8"/>
  </w:style>
  <w:style w:type="character" w:customStyle="1" w:styleId="mo">
    <w:name w:val="mo"/>
    <w:basedOn w:val="Policepardfaut"/>
    <w:rsid w:val="006C1CB8"/>
  </w:style>
  <w:style w:type="character" w:customStyle="1" w:styleId="mjxassistivemathml">
    <w:name w:val="mjx_assistive_mathml"/>
    <w:basedOn w:val="Policepardfaut"/>
    <w:rsid w:val="006C1CB8"/>
  </w:style>
  <w:style w:type="character" w:customStyle="1" w:styleId="mn">
    <w:name w:val="mn"/>
    <w:basedOn w:val="Policepardfaut"/>
    <w:rsid w:val="006C1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2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2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2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3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2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8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8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3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5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3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6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data.world/data-society/pima-indians-diabetes-database" TargetMode="External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eandeep.com/evaluer-ses-mod%C3%A8les-de-classificati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2A373-CE0C-47D6-80CD-D3E66B276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</TotalTime>
  <Pages>8</Pages>
  <Words>1655</Words>
  <Characters>9440</Characters>
  <Application>Microsoft Office Word</Application>
  <DocSecurity>0</DocSecurity>
  <Lines>78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14</vt:i4>
      </vt:variant>
    </vt:vector>
  </HeadingPairs>
  <TitlesOfParts>
    <vt:vector size="15" baseType="lpstr">
      <vt:lpstr/>
      <vt:lpstr>Présentation de l’analyse discriminante quadratique (the QDA)</vt:lpstr>
      <vt:lpstr/>
      <vt:lpstr/>
      <vt:lpstr/>
      <vt:lpstr>    </vt:lpstr>
      <vt:lpstr>    </vt:lpstr>
      <vt:lpstr>    </vt:lpstr>
      <vt:lpstr>    </vt:lpstr>
      <vt:lpstr>    </vt:lpstr>
      <vt:lpstr>    QDA vs Regularized discriminant analysis (RDA)</vt:lpstr>
      <vt:lpstr>        Vérification des hypothèses</vt:lpstr>
      <vt:lpstr>        Comparaison des résultats de la QDA et la RDA</vt:lpstr>
      <vt:lpstr>Annexe </vt:lpstr>
      <vt:lpstr>Références</vt:lpstr>
    </vt:vector>
  </TitlesOfParts>
  <Company/>
  <LinksUpToDate>false</LinksUpToDate>
  <CharactersWithSpaces>11073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DJOULDE DIALLO</dc:creator>
  <cp:keywords/>
  <dc:description/>
  <cp:lastModifiedBy>ISMAEL DJOULDE DIALLO</cp:lastModifiedBy>
  <cp:revision>91</cp:revision>
  <dcterms:created xsi:type="dcterms:W3CDTF">2023-02-17T13:10:00Z</dcterms:created>
  <dcterms:modified xsi:type="dcterms:W3CDTF">2023-02-19T19:53:00Z</dcterms:modified>
</cp:coreProperties>
</file>