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1C" w:rsidRDefault="009D3A1C" w:rsidP="00643A6F">
      <w:pPr>
        <w:pStyle w:val="1"/>
      </w:pPr>
      <w:bookmarkStart w:id="0" w:name="_GoBack"/>
      <w:r w:rsidRPr="00643A6F">
        <w:t xml:space="preserve">ГОСТ Р 51241-2008 </w:t>
      </w:r>
      <w:bookmarkEnd w:id="0"/>
      <w:r w:rsidRPr="00643A6F">
        <w:t>Средства и системы контроля и управления доступом. Классификация. Общие технические требования. Методы испытаний</w:t>
      </w:r>
    </w:p>
    <w:p w:rsidR="00643A6F" w:rsidRPr="00643A6F" w:rsidRDefault="00643A6F" w:rsidP="00643A6F"/>
    <w:p w:rsidR="00643A6F" w:rsidRDefault="00643A6F" w:rsidP="00643A6F">
      <w:pPr>
        <w:pStyle w:val="2"/>
      </w:pPr>
      <w:r>
        <w:t>Термины</w:t>
      </w:r>
    </w:p>
    <w:p w:rsidR="00643A6F" w:rsidRPr="00643A6F" w:rsidRDefault="00643A6F" w:rsidP="00643A6F">
      <w:pPr>
        <w:pStyle w:val="a3"/>
        <w:numPr>
          <w:ilvl w:val="0"/>
          <w:numId w:val="1"/>
        </w:numPr>
      </w:pPr>
      <w:r w:rsidRPr="00643A6F">
        <w:rPr>
          <w:b/>
          <w:bCs/>
          <w:shd w:val="clear" w:color="auto" w:fill="FFFFFF"/>
        </w:rPr>
        <w:t>Средства контроля и управления доступом (средства КУД):</w:t>
      </w:r>
      <w:r w:rsidRPr="00643A6F">
        <w:rPr>
          <w:shd w:val="clear" w:color="auto" w:fill="FFFFFF"/>
        </w:rPr>
        <w:t> Механические, электромеханические устройства и конструкции, электрические, электронные, электронные программируемые устройства, программные средства, обеспечивающие реализацию контроля и управления доступом.</w:t>
      </w:r>
    </w:p>
    <w:p w:rsidR="00F7344F" w:rsidRPr="00F7344F" w:rsidRDefault="00643A6F" w:rsidP="00F7344F">
      <w:pPr>
        <w:pStyle w:val="a3"/>
        <w:numPr>
          <w:ilvl w:val="0"/>
          <w:numId w:val="1"/>
        </w:numPr>
      </w:pPr>
      <w:r>
        <w:rPr>
          <w:b/>
        </w:rPr>
        <w:t>Н</w:t>
      </w:r>
      <w:r w:rsidRPr="00643A6F">
        <w:rPr>
          <w:b/>
        </w:rPr>
        <w:t>есанкционированные действия (НСД):</w:t>
      </w:r>
      <w:r w:rsidRPr="00643A6F">
        <w:t> Действия с целью несанкционированного проникновения в зону доступа через УПУ.</w:t>
      </w:r>
    </w:p>
    <w:p w:rsidR="00F7344F" w:rsidRPr="00F7344F" w:rsidRDefault="00F7344F" w:rsidP="00F7344F">
      <w:pPr>
        <w:pStyle w:val="a3"/>
        <w:numPr>
          <w:ilvl w:val="0"/>
          <w:numId w:val="1"/>
        </w:numPr>
      </w:pPr>
      <w:r w:rsidRPr="00F7344F">
        <w:rPr>
          <w:b/>
          <w:bCs/>
          <w:shd w:val="clear" w:color="auto" w:fill="FFFFFF"/>
        </w:rPr>
        <w:t>С</w:t>
      </w:r>
      <w:r w:rsidRPr="00F7344F">
        <w:rPr>
          <w:b/>
          <w:bCs/>
          <w:shd w:val="clear" w:color="auto" w:fill="FFFFFF"/>
        </w:rPr>
        <w:t>истема контроля и управления доступом (СКУД):</w:t>
      </w:r>
      <w:r w:rsidRPr="00F7344F">
        <w:rPr>
          <w:shd w:val="clear" w:color="auto" w:fill="FFFFFF"/>
        </w:rPr>
        <w:t> Совокупность средств контроля и управления доступом, обладающих технической, информационной, программной и эксплуатационной совместимостью.</w:t>
      </w:r>
    </w:p>
    <w:p w:rsidR="00863D80" w:rsidRPr="00863D80" w:rsidRDefault="00F7344F" w:rsidP="00863D80">
      <w:pPr>
        <w:pStyle w:val="a3"/>
        <w:numPr>
          <w:ilvl w:val="0"/>
          <w:numId w:val="1"/>
        </w:numPr>
      </w:pPr>
      <w:r w:rsidRPr="00F7344F">
        <w:rPr>
          <w:b/>
          <w:bCs/>
          <w:shd w:val="clear" w:color="auto" w:fill="FFFFFF"/>
        </w:rPr>
        <w:t>У</w:t>
      </w:r>
      <w:r w:rsidRPr="00F7344F">
        <w:rPr>
          <w:b/>
          <w:bCs/>
          <w:shd w:val="clear" w:color="auto" w:fill="FFFFFF"/>
        </w:rPr>
        <w:t>стройства преграждающие управляемые (УПУ):</w:t>
      </w:r>
      <w:r w:rsidRPr="00F7344F">
        <w:rPr>
          <w:shd w:val="clear" w:color="auto" w:fill="FFFFFF"/>
        </w:rPr>
        <w:t> Устройства, обеспечивающие физическое препятствие доступу и оборудованные исполнительными устройствами для управления их состоянием (турникеты, шлюзы, проходные кабины, двери и ворота, оборудованные исполнительными устройствами СКУД, а также другие подобные устройства).</w:t>
      </w:r>
    </w:p>
    <w:p w:rsidR="00863D80" w:rsidRDefault="00863D80" w:rsidP="00863D80">
      <w:pPr>
        <w:pStyle w:val="a3"/>
        <w:numPr>
          <w:ilvl w:val="0"/>
          <w:numId w:val="1"/>
        </w:numPr>
      </w:pPr>
      <w:r>
        <w:rPr>
          <w:b/>
          <w:bCs/>
          <w:shd w:val="clear" w:color="auto" w:fill="FFFFFF"/>
        </w:rPr>
        <w:t>У</w:t>
      </w:r>
      <w:r w:rsidRPr="00863D80">
        <w:rPr>
          <w:b/>
          <w:bCs/>
          <w:shd w:val="clear" w:color="auto" w:fill="FFFFFF"/>
        </w:rPr>
        <w:t>стройства исполнительные (УИ):</w:t>
      </w:r>
      <w:r w:rsidRPr="00863D80">
        <w:rPr>
          <w:shd w:val="clear" w:color="auto" w:fill="FFFFFF"/>
        </w:rPr>
        <w:t> Устройства или механизмы, обеспечивающие приведение в открытое или закрытое состояние УПУ (электромеханические, электромагнитные замки, электромагнитные защелки, механизмы привода шлюзов, ворот, турникетов и другие подобные устройства).</w:t>
      </w:r>
    </w:p>
    <w:p w:rsidR="00643A6F" w:rsidRPr="00643A6F" w:rsidRDefault="00643A6F" w:rsidP="00643A6F">
      <w:pPr>
        <w:pStyle w:val="a3"/>
        <w:numPr>
          <w:ilvl w:val="0"/>
          <w:numId w:val="1"/>
        </w:numPr>
      </w:pPr>
    </w:p>
    <w:p w:rsidR="00A74D8E" w:rsidRDefault="009D3A1C" w:rsidP="00643A6F">
      <w:pPr>
        <w:pStyle w:val="2"/>
      </w:pPr>
      <w:r>
        <w:t>Классификация</w:t>
      </w:r>
    </w:p>
    <w:p w:rsidR="00643A6F" w:rsidRDefault="00643A6F" w:rsidP="00643A6F">
      <w:pPr>
        <w:pStyle w:val="3"/>
      </w:pPr>
      <w:r>
        <w:t>Классификация средств КУД</w:t>
      </w:r>
    </w:p>
    <w:p w:rsidR="00643A6F" w:rsidRDefault="00643A6F" w:rsidP="00643A6F">
      <w:pPr>
        <w:pStyle w:val="a3"/>
        <w:numPr>
          <w:ilvl w:val="0"/>
          <w:numId w:val="2"/>
        </w:numPr>
      </w:pPr>
      <w:r w:rsidRPr="00643A6F">
        <w:rPr>
          <w:i/>
        </w:rPr>
        <w:t>Средства КУД подразделяют по:</w:t>
      </w:r>
      <w:r>
        <w:br/>
        <w:t>- функциональному назначению устройств;</w:t>
      </w:r>
      <w:r>
        <w:br/>
        <w:t>- функциональным характеристикам;</w:t>
      </w:r>
      <w:r>
        <w:br/>
        <w:t>- устойчивости к НСД.</w:t>
      </w:r>
      <w:r>
        <w:br/>
      </w:r>
    </w:p>
    <w:p w:rsidR="00F7344F" w:rsidRDefault="00643A6F" w:rsidP="00F7344F">
      <w:pPr>
        <w:pStyle w:val="a3"/>
        <w:numPr>
          <w:ilvl w:val="0"/>
          <w:numId w:val="2"/>
        </w:numPr>
      </w:pPr>
      <w:r w:rsidRPr="00643A6F">
        <w:rPr>
          <w:i/>
        </w:rPr>
        <w:t>Средства КУД по функциональному назначению устройств подразделяют на следующие основные средства:</w:t>
      </w:r>
      <w:r>
        <w:br/>
        <w:t>- устройства преграждающие управляемые;</w:t>
      </w:r>
      <w:r>
        <w:br/>
        <w:t>- устройства исполнительные;</w:t>
      </w:r>
      <w:r>
        <w:br/>
        <w:t>- устройства считывающие;</w:t>
      </w:r>
      <w:r>
        <w:br/>
        <w:t>- идентификаторы (ИД);</w:t>
      </w:r>
      <w:r>
        <w:br/>
        <w:t>- средства управления в составе аппаратных устройств и программных средств.</w:t>
      </w:r>
      <w:r w:rsidR="00F7344F">
        <w:br/>
      </w:r>
    </w:p>
    <w:p w:rsidR="00F7344F" w:rsidRPr="00F7344F" w:rsidRDefault="00643A6F" w:rsidP="00F7344F">
      <w:pPr>
        <w:pStyle w:val="a3"/>
        <w:numPr>
          <w:ilvl w:val="0"/>
          <w:numId w:val="2"/>
        </w:numPr>
        <w:rPr>
          <w:rFonts w:eastAsiaTheme="minorHAnsi" w:cstheme="minorBidi"/>
          <w:lang w:eastAsia="en-US"/>
        </w:rPr>
      </w:pPr>
      <w:r w:rsidRPr="00F7344F">
        <w:rPr>
          <w:i/>
        </w:rPr>
        <w:t xml:space="preserve"> </w:t>
      </w:r>
      <w:r w:rsidRPr="00F7344F">
        <w:rPr>
          <w:i/>
        </w:rPr>
        <w:t>Средства КУД по функциональным характеристикам подразделяют на следующие группы:</w:t>
      </w:r>
      <w:r w:rsidR="00F7344F">
        <w:rPr>
          <w:i/>
        </w:rPr>
        <w:br/>
      </w:r>
      <w:r w:rsidRPr="00F7344F">
        <w:rPr>
          <w:i/>
        </w:rPr>
        <w:br/>
      </w:r>
      <w:r>
        <w:t>УПУ - по виду перекрытия проема прохода:</w:t>
      </w:r>
      <w:r>
        <w:br/>
        <w:t>- с частичным перекрытием (турникеты, шлагбаумы);</w:t>
      </w:r>
      <w:r>
        <w:br/>
        <w:t>- с полным перекрытием (</w:t>
      </w:r>
      <w:proofErr w:type="spellStart"/>
      <w:r>
        <w:t>полноростовые</w:t>
      </w:r>
      <w:proofErr w:type="spellEnd"/>
      <w:r>
        <w:t xml:space="preserve"> турникеты, специализированные ворота);</w:t>
      </w:r>
      <w:r>
        <w:br/>
        <w:t>- со сплошным перекрытием проема (сплошные двери, ворота);</w:t>
      </w:r>
      <w:r>
        <w:br/>
        <w:t>- с блокированием объекта в проеме (шлюзы, кабины проходные).</w:t>
      </w:r>
      <w:r>
        <w:br/>
      </w:r>
      <w:r>
        <w:br/>
      </w:r>
      <w:r>
        <w:t>УИ - по способу запирания:</w:t>
      </w:r>
      <w:r>
        <w:br/>
        <w:t>- электромеханические замки;</w:t>
      </w:r>
      <w:r>
        <w:br/>
        <w:t>- электромагнитные замки;</w:t>
      </w:r>
      <w:r>
        <w:br/>
        <w:t>- электромагнитные защелки;</w:t>
      </w:r>
      <w:r>
        <w:br/>
        <w:t>- механизмы привода дверей, ворот.</w:t>
      </w:r>
      <w:r>
        <w:br/>
      </w:r>
      <w:r>
        <w:br/>
      </w:r>
      <w:r>
        <w:t>Идентификаторы и считыватели - по следующим признакам:</w:t>
      </w:r>
      <w:r>
        <w:br/>
        <w:t>- виду используемых идентификационных признаков (идентификаторы и считыватели);</w:t>
      </w:r>
      <w:r>
        <w:br/>
        <w:t>- способу считывания идентификационных признаков (считыватели).</w:t>
      </w:r>
      <w:r w:rsidR="00F7344F">
        <w:br/>
      </w:r>
      <w:r w:rsidR="00F7344F">
        <w:br/>
      </w:r>
      <w:r w:rsidR="00F7344F" w:rsidRPr="00F7344F">
        <w:t>По способу считывания идентификационных признаков считыватели могут быть:</w:t>
      </w:r>
      <w:r w:rsidR="00F7344F" w:rsidRPr="00F7344F">
        <w:br/>
        <w:t>- с ручным вводом - ввод осуществляется с помощью нажатия клавиш, поворотом переключателей или других подобных элементов;</w:t>
      </w:r>
      <w:r w:rsidR="00F7344F" w:rsidRPr="00F7344F">
        <w:br/>
        <w:t>- контактными - ввод происходит при непосредственном, в том числе и при электрическом, контакте между считывателем и идентификатором;</w:t>
      </w:r>
      <w:r w:rsidR="00F7344F" w:rsidRPr="00F7344F">
        <w:br/>
        <w:t>- бесконтактными - считывание кода происходит при поднесении идентификатора на определенное расстояние к считывателю;</w:t>
      </w:r>
      <w:r w:rsidR="00F7344F" w:rsidRPr="00F7344F">
        <w:br/>
        <w:t>- комбинированными.</w:t>
      </w:r>
      <w:r w:rsidR="00F7344F">
        <w:br/>
      </w:r>
    </w:p>
    <w:p w:rsidR="00643A6F" w:rsidRPr="00F7344F" w:rsidRDefault="00F7344F" w:rsidP="00F7344F">
      <w:pPr>
        <w:pStyle w:val="a3"/>
        <w:numPr>
          <w:ilvl w:val="0"/>
          <w:numId w:val="2"/>
        </w:numPr>
        <w:rPr>
          <w:i/>
        </w:rPr>
      </w:pPr>
      <w:r w:rsidRPr="00F7344F">
        <w:rPr>
          <w:i/>
          <w:shd w:val="clear" w:color="auto" w:fill="FFFFFF"/>
        </w:rPr>
        <w:t>Классификация средств управления СКУД включает в себя:</w:t>
      </w:r>
      <w:r w:rsidRPr="00F7344F">
        <w:br/>
      </w:r>
      <w:r w:rsidRPr="00F7344F">
        <w:rPr>
          <w:shd w:val="clear" w:color="auto" w:fill="FFFFFF"/>
        </w:rPr>
        <w:t>- аппаратные средства (устройства) - контроллеры доступа, приборы приемно-контрольные доступа (ППКД);</w:t>
      </w:r>
      <w:r w:rsidRPr="00F7344F">
        <w:br/>
      </w:r>
      <w:r w:rsidRPr="00F7344F">
        <w:rPr>
          <w:shd w:val="clear" w:color="auto" w:fill="FFFFFF"/>
        </w:rPr>
        <w:t>- программные средства - программное обеспечение СКУД.</w:t>
      </w:r>
    </w:p>
    <w:p w:rsidR="00643A6F" w:rsidRDefault="00643A6F" w:rsidP="00643A6F"/>
    <w:p w:rsidR="00F7344F" w:rsidRDefault="00F7344F" w:rsidP="00F7344F">
      <w:pPr>
        <w:pStyle w:val="3"/>
      </w:pPr>
      <w:r>
        <w:t xml:space="preserve">Классификация </w:t>
      </w:r>
      <w:r>
        <w:t>С</w:t>
      </w:r>
      <w:r>
        <w:t>КУД</w:t>
      </w:r>
    </w:p>
    <w:p w:rsidR="00F7344F" w:rsidRPr="00F7344F" w:rsidRDefault="00F7344F" w:rsidP="00F7344F"/>
    <w:p w:rsidR="00F7344F" w:rsidRDefault="00F7344F" w:rsidP="00F7344F">
      <w:pPr>
        <w:pStyle w:val="a3"/>
        <w:numPr>
          <w:ilvl w:val="0"/>
          <w:numId w:val="3"/>
        </w:numPr>
      </w:pPr>
      <w:r>
        <w:t>СКУД классифицируют по:</w:t>
      </w:r>
      <w:r>
        <w:br/>
        <w:t>- способу управления;</w:t>
      </w:r>
      <w:r>
        <w:br/>
        <w:t>- числу контролируемых точек доступа;</w:t>
      </w:r>
      <w:r>
        <w:br/>
        <w:t>- функциональным характеристикам;</w:t>
      </w:r>
      <w:r>
        <w:br/>
        <w:t>- уровню защищенности системы от несанкционированного доступа к информации.</w:t>
      </w:r>
      <w:r>
        <w:br/>
      </w:r>
    </w:p>
    <w:p w:rsidR="00F7344F" w:rsidRDefault="00F7344F" w:rsidP="00F7344F">
      <w:pPr>
        <w:pStyle w:val="a3"/>
        <w:numPr>
          <w:ilvl w:val="0"/>
          <w:numId w:val="3"/>
        </w:numPr>
      </w:pPr>
      <w:r>
        <w:t>По способу управления СКУД подразделяют на:</w:t>
      </w:r>
      <w:r>
        <w:br/>
      </w:r>
      <w:r>
        <w:br/>
        <w:t>- автономные - для управления одним или несколькими УПУ без передачи информации на центральное устройство управления и контроля со стороны оператора;</w:t>
      </w:r>
      <w:r>
        <w:br/>
      </w:r>
      <w:r>
        <w:br/>
        <w:t>- централизованные (сетевые) - для управления УПУ с обменом информацией с центральным пультом и контролем и управлением системой со стороны центрального устройства управления;</w:t>
      </w:r>
      <w:r>
        <w:br/>
      </w:r>
      <w:r>
        <w:br/>
        <w:t>- универсальные (сетевые) - включающие в себя функции как автономных, так и сетевых систем, работающие в сетевом режиме под управлением центрального устройства управления и переходящие в автономный режим при возникновении отказов в сетевом оборудовании, центральном устройстве или обрыве связи.</w:t>
      </w:r>
      <w:r>
        <w:br/>
      </w:r>
    </w:p>
    <w:p w:rsidR="00F7344F" w:rsidRDefault="00F7344F" w:rsidP="00F7344F">
      <w:pPr>
        <w:pStyle w:val="a3"/>
        <w:numPr>
          <w:ilvl w:val="0"/>
          <w:numId w:val="3"/>
        </w:numPr>
      </w:pPr>
      <w:r>
        <w:t>По числу контролируемых точек доступа:</w:t>
      </w:r>
      <w:r>
        <w:br/>
        <w:t>- малой емкости (не более 64 точек);</w:t>
      </w:r>
      <w:r>
        <w:br/>
        <w:t>- средней емкости (от 64 до 256 точек);</w:t>
      </w:r>
      <w:r>
        <w:br/>
        <w:t>- большой емкости (более 256 точек).</w:t>
      </w:r>
      <w:r>
        <w:br/>
      </w:r>
    </w:p>
    <w:p w:rsidR="00F7344F" w:rsidRDefault="00F7344F" w:rsidP="00F7344F">
      <w:pPr>
        <w:pStyle w:val="a3"/>
        <w:numPr>
          <w:ilvl w:val="0"/>
          <w:numId w:val="3"/>
        </w:numPr>
      </w:pPr>
      <w:r>
        <w:t>По функциональным характеристикам СКУД подразделяют на три класса:</w:t>
      </w:r>
      <w:r>
        <w:br/>
        <w:t>1-й - системы с ограниченными функциями;</w:t>
      </w:r>
      <w:r>
        <w:br/>
        <w:t>2-й - системы с расширенными функциями;</w:t>
      </w:r>
      <w:r>
        <w:br/>
        <w:t>3-й - многофункциональные системы.</w:t>
      </w:r>
    </w:p>
    <w:p w:rsidR="00F7344F" w:rsidRDefault="00F7344F" w:rsidP="00643A6F"/>
    <w:p w:rsidR="00F7344F" w:rsidRPr="00F7344F" w:rsidRDefault="00F7344F" w:rsidP="00F7344F">
      <w:pPr>
        <w:pStyle w:val="3"/>
      </w:pPr>
      <w:r w:rsidRPr="00F7344F">
        <w:t>Классификация средств и систем КУД по устойчивости к НСД</w:t>
      </w:r>
    </w:p>
    <w:p w:rsidR="00F7344F" w:rsidRPr="00643A6F" w:rsidRDefault="00F7344F" w:rsidP="00643A6F"/>
    <w:p w:rsidR="00F7344F" w:rsidRDefault="00F7344F" w:rsidP="00F7344F">
      <w:pPr>
        <w:pStyle w:val="a3"/>
      </w:pPr>
      <w:r>
        <w:t xml:space="preserve">1. </w:t>
      </w:r>
      <w:r>
        <w:t>Классификация средств КУД по устойчивости к НСД основана на устойчивости к разрушающим и неразрушающим воздействиям по уровням устойчивости:</w:t>
      </w:r>
      <w:r>
        <w:br/>
      </w:r>
      <w:r>
        <w:t>1) нормальной;</w:t>
      </w:r>
      <w:r>
        <w:br/>
      </w:r>
      <w:r>
        <w:t>2) повышенной;</w:t>
      </w:r>
      <w:r>
        <w:br/>
      </w:r>
      <w:r>
        <w:t>3) высокой.</w:t>
      </w:r>
      <w:r>
        <w:br/>
      </w:r>
    </w:p>
    <w:p w:rsidR="00F7344F" w:rsidRDefault="00F7344F" w:rsidP="00F7344F">
      <w:pPr>
        <w:pStyle w:val="a3"/>
      </w:pPr>
      <w:r>
        <w:t xml:space="preserve">2. </w:t>
      </w:r>
      <w:r>
        <w:t>УПУ классифицируют по устойчивости к разрушающим воздействиям.</w:t>
      </w:r>
      <w:r>
        <w:br/>
      </w:r>
      <w:r>
        <w:t>Устойчивость УПУ устанавливают по:</w:t>
      </w:r>
      <w:r>
        <w:br/>
        <w:t>1) устойчивости к взлому;</w:t>
      </w:r>
      <w:r>
        <w:br/>
        <w:t xml:space="preserve">2) </w:t>
      </w:r>
      <w:proofErr w:type="spellStart"/>
      <w:r>
        <w:t>пулестойкости</w:t>
      </w:r>
      <w:proofErr w:type="spellEnd"/>
      <w:r>
        <w:t xml:space="preserve"> (только для УПУ со сплошным перекрытием проема);</w:t>
      </w:r>
      <w:r>
        <w:br/>
        <w:t>3) устойчивости к взрыву.</w:t>
      </w:r>
      <w:r>
        <w:br/>
      </w:r>
      <w:r>
        <w:br/>
        <w:t>Нормальная устойчивость УПУ обеспечивается механической прочностью конструкции без оценки по показателям устойчивости к разрушающим воздействиям.</w:t>
      </w:r>
      <w:r>
        <w:br/>
      </w:r>
      <w:r>
        <w:br/>
      </w:r>
    </w:p>
    <w:p w:rsidR="00F7344F" w:rsidRDefault="00F7344F" w:rsidP="00F7344F">
      <w:pPr>
        <w:pStyle w:val="a3"/>
      </w:pPr>
      <w:r>
        <w:t xml:space="preserve">3. </w:t>
      </w:r>
      <w:r>
        <w:t xml:space="preserve"> Классификация устройств исполнительных (замки, защелки) по устойчивости к разрушающим воздействиям в зависимости от конструкции - по </w:t>
      </w:r>
      <w:hyperlink r:id="rId7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Р 52582</w:t>
        </w:r>
      </w:hyperlink>
      <w:r>
        <w:t>, </w:t>
      </w:r>
      <w:hyperlink r:id="rId8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Р 51053</w:t>
        </w:r>
      </w:hyperlink>
      <w:r>
        <w:t>, </w:t>
      </w:r>
      <w:hyperlink r:id="rId9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19091</w:t>
        </w:r>
      </w:hyperlink>
      <w:r>
        <w:t>, </w:t>
      </w:r>
      <w:hyperlink r:id="rId10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5089</w:t>
        </w:r>
      </w:hyperlink>
      <w:r>
        <w:t>.</w:t>
      </w:r>
      <w:r>
        <w:br/>
      </w:r>
    </w:p>
    <w:p w:rsidR="00F7344F" w:rsidRDefault="00F7344F" w:rsidP="00F7344F">
      <w:pPr>
        <w:pStyle w:val="a3"/>
      </w:pPr>
      <w:r>
        <w:t>4.</w:t>
      </w:r>
      <w:r>
        <w:t xml:space="preserve"> По устойчивости к неразрушающим воздействиям средства КУД в зависимости от их функционального назначения классифицируют по следующим показателям:</w:t>
      </w:r>
      <w:r>
        <w:br/>
      </w:r>
      <w:r>
        <w:br/>
        <w:t>- устойчивости к вскрытию - для УПУ и исполнительных устройств (замков и запорных механизмов);</w:t>
      </w:r>
      <w:r>
        <w:br/>
      </w:r>
      <w:r>
        <w:br/>
        <w:t>- устойчивости к манипулированию;</w:t>
      </w:r>
      <w:r>
        <w:br/>
      </w:r>
      <w:r>
        <w:br/>
        <w:t>- устойчивости к наблюдению для считывателей ввода запоминаемого кода (клавиатуры, кодовые переключатели и т.п.);</w:t>
      </w:r>
      <w:r>
        <w:br/>
      </w:r>
      <w:r>
        <w:br/>
        <w:t>- устойчивость к копированию (для идентификаторов);</w:t>
      </w:r>
      <w:r>
        <w:br/>
      </w:r>
      <w:r>
        <w:br/>
        <w:t>- устойчивости защиты средств вычислительной техники (СВТ) средств управления СКУД от несанкционированного доступа к информации.</w:t>
      </w:r>
      <w:r>
        <w:br/>
      </w:r>
      <w:r>
        <w:br/>
      </w:r>
    </w:p>
    <w:p w:rsidR="00F7344F" w:rsidRDefault="00F7344F" w:rsidP="00F7344F">
      <w:pPr>
        <w:pStyle w:val="a3"/>
      </w:pPr>
      <w:r>
        <w:t xml:space="preserve">5. </w:t>
      </w:r>
      <w:r>
        <w:t xml:space="preserve"> Классификацию СКУД к НСД определяют как для систем с централизованным управлением по защищенности от несанкционированного доступа к информации ПО СКУД и средств СВТ, входящих в состав сетевых СКУД.</w:t>
      </w:r>
      <w:r>
        <w:br/>
      </w:r>
    </w:p>
    <w:p w:rsidR="00F7344F" w:rsidRDefault="00F7344F" w:rsidP="00F7344F">
      <w:pPr>
        <w:pStyle w:val="a3"/>
      </w:pPr>
    </w:p>
    <w:p w:rsidR="00DA3C75" w:rsidRDefault="00DA3C75" w:rsidP="00DA3C75">
      <w:pPr>
        <w:pStyle w:val="2"/>
      </w:pPr>
      <w:r w:rsidRPr="00DA3C75">
        <w:t> Технические требования</w:t>
      </w:r>
    </w:p>
    <w:p w:rsidR="00DA3C75" w:rsidRDefault="00DA3C75" w:rsidP="00DA3C75">
      <w:r>
        <w:t xml:space="preserve">1. </w:t>
      </w:r>
      <w:r>
        <w:t>Разработка и постановка на производство средств и систем контроля управления доступом должны проводиться в соответствии с </w:t>
      </w:r>
      <w:hyperlink r:id="rId11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Р 15.201</w:t>
        </w:r>
      </w:hyperlink>
      <w:r>
        <w:t>.</w:t>
      </w:r>
      <w:r>
        <w:br/>
      </w:r>
    </w:p>
    <w:p w:rsidR="00DA3C75" w:rsidRDefault="00DA3C75" w:rsidP="00DA3C75">
      <w:r>
        <w:t xml:space="preserve">2. </w:t>
      </w:r>
      <w:r>
        <w:t xml:space="preserve"> Конструкторская документация на средства и системы КУД должна соответствовать требованиям ЕСКД. Эксплуатационные документы должны быть выполнены в соответствии с </w:t>
      </w:r>
      <w:hyperlink r:id="rId12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2.601</w:t>
        </w:r>
      </w:hyperlink>
      <w:r>
        <w:t> и </w:t>
      </w:r>
      <w:hyperlink r:id="rId13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2.610</w:t>
        </w:r>
      </w:hyperlink>
      <w:r>
        <w:t>.</w:t>
      </w:r>
      <w:r>
        <w:br/>
      </w:r>
    </w:p>
    <w:p w:rsidR="00DA3C75" w:rsidRDefault="00DA3C75" w:rsidP="00DA3C75">
      <w:r>
        <w:t>3.</w:t>
      </w:r>
      <w:r>
        <w:t xml:space="preserve"> Средства и системы КУД должны изготовляться в соответствии с требованиями настоящего стандарта, а также нормативных документов на средства и системы КУД конкретного типа.</w:t>
      </w:r>
      <w:r>
        <w:br/>
      </w:r>
    </w:p>
    <w:p w:rsidR="00DA3C75" w:rsidRDefault="00DA3C75" w:rsidP="00DA3C75">
      <w:r>
        <w:t>4.</w:t>
      </w:r>
      <w:r>
        <w:t xml:space="preserve"> Средства и системы КУД должны обеспечивать возможность непрерывной работы с учетом проведения регламентного технического обслуживания.</w:t>
      </w:r>
      <w:r>
        <w:br/>
      </w:r>
    </w:p>
    <w:p w:rsidR="00DA3C75" w:rsidRDefault="00DA3C75" w:rsidP="00DA3C75">
      <w:r>
        <w:t>5</w:t>
      </w:r>
      <w:r>
        <w:t>.</w:t>
      </w:r>
      <w:r>
        <w:t xml:space="preserve"> Системы КУД в рабочем режиме должны обеспечивать автоматическую работу. Режим ручного или автоматизированного управления (с участием оператора) должен обеспечиваться только при возникновении чрезвычайных, аварийных или тревожных ситуаций, а также по требованию заказчика.</w:t>
      </w:r>
      <w:r>
        <w:br/>
      </w:r>
    </w:p>
    <w:p w:rsidR="00DA3C75" w:rsidRDefault="00DA3C75" w:rsidP="00DA3C75">
      <w:r>
        <w:t>6</w:t>
      </w:r>
      <w:r>
        <w:t>.</w:t>
      </w:r>
      <w:r>
        <w:t xml:space="preserve"> Параметры и требования, определяющие совместимость средств КУД, предназначенных для поставки в качестве самостоятельных изделий, должны быть установлены в нормативных документах на средства КУД конкретного типа.</w:t>
      </w:r>
      <w:r>
        <w:br/>
      </w:r>
    </w:p>
    <w:p w:rsidR="00DA3C75" w:rsidRDefault="00DA3C75" w:rsidP="00DA3C75">
      <w:r>
        <w:t>7</w:t>
      </w:r>
      <w:r>
        <w:t>.</w:t>
      </w:r>
      <w:r>
        <w:t xml:space="preserve"> Средства и системы КУД в составе систем </w:t>
      </w:r>
      <w:proofErr w:type="spellStart"/>
      <w:r>
        <w:t>противокриминальной</w:t>
      </w:r>
      <w:proofErr w:type="spellEnd"/>
      <w:r>
        <w:t xml:space="preserve"> защиты объектов должны обеспечивать:</w:t>
      </w:r>
      <w:r>
        <w:br/>
      </w:r>
      <w:r>
        <w:br/>
        <w:t>- защиту от несанкционированного доступа на охраняемый объект (помещение, зону) в режиме снятия их с охраны;</w:t>
      </w:r>
      <w:r>
        <w:br/>
      </w:r>
      <w:r>
        <w:br/>
        <w:t>- контроль и учет доступа персонала (посетителей) на охраняемый объект (помещение, зону) в режиме снятия их с охраны;</w:t>
      </w:r>
      <w:r>
        <w:br/>
      </w:r>
      <w:r>
        <w:br/>
        <w:t>- автоматизацию процессов взятия/снятия охраняемого объекта (помещения, зоны) с помощью средств идентификации СКУД в составе устройств и приборов охранной сигнализации;</w:t>
      </w:r>
      <w:r>
        <w:br/>
      </w:r>
      <w:r>
        <w:br/>
        <w:t>- защиту и контроль доступа к компьютерам автоматизированных рабочих мест (АРМ) пультового оборудования систем охранной сигнализации;</w:t>
      </w:r>
      <w:r>
        <w:br/>
      </w:r>
      <w:r>
        <w:br/>
        <w:t>- защиту от НСД к информации.</w:t>
      </w:r>
    </w:p>
    <w:p w:rsidR="00DA3C75" w:rsidRPr="00DA3C75" w:rsidRDefault="00DA3C75" w:rsidP="00DA3C75"/>
    <w:p w:rsidR="00F7344F" w:rsidRDefault="00F7344F" w:rsidP="00F7344F">
      <w:pPr>
        <w:pStyle w:val="a3"/>
      </w:pPr>
    </w:p>
    <w:p w:rsidR="00DA3C75" w:rsidRPr="00DA3C75" w:rsidRDefault="00DA3C75" w:rsidP="00DA3C75">
      <w:pPr>
        <w:pStyle w:val="2"/>
      </w:pPr>
      <w:r w:rsidRPr="00DA3C75">
        <w:t>Методы испытаний</w:t>
      </w:r>
    </w:p>
    <w:p w:rsidR="00DA3C75" w:rsidRDefault="00DA3C75" w:rsidP="00DA3C75">
      <w:r>
        <w:t>1</w:t>
      </w:r>
      <w:r>
        <w:t xml:space="preserve">. </w:t>
      </w:r>
      <w:r>
        <w:t>Испытания средств и систем КУД проводят методами, приведенными в настоящем стандарте, а также по методикам испытаний в соответствии с действующими нормативными документами на конкретные типы испытаний и ТУ на конкретные средства и системы КУД.</w:t>
      </w:r>
      <w:r>
        <w:br/>
      </w:r>
      <w:r>
        <w:br/>
        <w:t>Объем и последовательность испытаний устанавливают в программе испытаний на конкретные средства и системы контроля и управления доступом.</w:t>
      </w:r>
      <w:r>
        <w:br/>
      </w:r>
    </w:p>
    <w:p w:rsidR="00DA3C75" w:rsidRDefault="00DA3C75" w:rsidP="00DA3C75">
      <w:r>
        <w:t>2</w:t>
      </w:r>
      <w:r>
        <w:t>.</w:t>
      </w:r>
      <w:r>
        <w:t xml:space="preserve"> Приборы и оборудование, применяемые при проведении испытаний, должны быть </w:t>
      </w:r>
      <w:proofErr w:type="spellStart"/>
      <w:r>
        <w:t>поверены</w:t>
      </w:r>
      <w:proofErr w:type="spellEnd"/>
      <w:r>
        <w:t xml:space="preserve"> и аттестованы в соответствии с </w:t>
      </w:r>
      <w:hyperlink r:id="rId14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Р 8.568</w:t>
        </w:r>
      </w:hyperlink>
      <w:r>
        <w:t> и обеспечивать требуемую точность измерений.</w:t>
      </w:r>
      <w:r>
        <w:br/>
      </w:r>
    </w:p>
    <w:p w:rsidR="00DA3C75" w:rsidRDefault="00DA3C75" w:rsidP="00DA3C75">
      <w:r>
        <w:t>3</w:t>
      </w:r>
      <w:r>
        <w:t>.</w:t>
      </w:r>
      <w:r>
        <w:t xml:space="preserve"> При проведении испытаний средств и систем контроля и управления доступом должны быть обеспечены требования техники безопасности и другие условия в соответствии с требованиями используемых нормативных документов.</w:t>
      </w:r>
      <w:r>
        <w:br/>
      </w:r>
      <w:r>
        <w:br/>
        <w:t>Безопасность проведения работ, использования приборов, инструментов и оборудования должна обеспечиваться выполнением требований </w:t>
      </w:r>
      <w:hyperlink r:id="rId15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12.1.006</w:t>
        </w:r>
      </w:hyperlink>
      <w:r>
        <w:t>, </w:t>
      </w:r>
      <w:hyperlink r:id="rId16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12.1.019</w:t>
        </w:r>
      </w:hyperlink>
      <w:r>
        <w:t>, [</w:t>
      </w:r>
      <w:hyperlink r:id="rId17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3</w:t>
        </w:r>
      </w:hyperlink>
      <w:r>
        <w:t>]-[</w:t>
      </w:r>
      <w:hyperlink r:id="rId18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5</w:t>
        </w:r>
      </w:hyperlink>
      <w:r>
        <w:t>].</w:t>
      </w:r>
      <w:r>
        <w:br/>
      </w:r>
      <w:r>
        <w:br/>
        <w:t>Помещения для проведения испытаний должны соответствовать необходимому уровню безопасности работ, а приборы и оборудование - использоваться в соответствии с предусмотренными инструкциями.</w:t>
      </w:r>
      <w:r>
        <w:br/>
      </w:r>
    </w:p>
    <w:p w:rsidR="00DA3C75" w:rsidRDefault="00DA3C75" w:rsidP="00DA3C75">
      <w:r>
        <w:t>4</w:t>
      </w:r>
      <w:r>
        <w:t>.</w:t>
      </w:r>
      <w:r>
        <w:t xml:space="preserve"> Образцы средств и систем контроля и управления доступом, предназначенные для проведения испытаний, должны иметь техническую документацию в объеме, необходимом для проведения испытаний, и быть полностью ею укомплектованы.</w:t>
      </w:r>
      <w:r>
        <w:br/>
      </w:r>
    </w:p>
    <w:p w:rsidR="00DA3C75" w:rsidRDefault="00DA3C75" w:rsidP="00DA3C75">
      <w:r>
        <w:t xml:space="preserve">5. </w:t>
      </w:r>
      <w:r>
        <w:t>Все испытания средств и систем контроля и управления доступом, кроме климатических, проводят в нормальных климатических условиях испытаний по </w:t>
      </w:r>
      <w:hyperlink r:id="rId19" w:history="1">
        <w:r>
          <w:rPr>
            <w:rStyle w:val="a4"/>
            <w:rFonts w:ascii="Arial" w:eastAsiaTheme="majorEastAsia" w:hAnsi="Arial" w:cs="Arial"/>
            <w:color w:val="00466E"/>
            <w:spacing w:val="2"/>
            <w:sz w:val="21"/>
            <w:szCs w:val="21"/>
          </w:rPr>
          <w:t>ГОСТ 15150</w:t>
        </w:r>
      </w:hyperlink>
      <w:r>
        <w:t>.</w:t>
      </w:r>
    </w:p>
    <w:p w:rsidR="009D3A1C" w:rsidRDefault="009D3A1C" w:rsidP="00643A6F"/>
    <w:sectPr w:rsidR="009D3A1C" w:rsidSect="006931A4">
      <w:footerReference w:type="even" r:id="rId20"/>
      <w:footerReference w:type="default" r:id="rId2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44F" w:rsidRDefault="00F7344F" w:rsidP="00F7344F">
      <w:r>
        <w:separator/>
      </w:r>
    </w:p>
  </w:endnote>
  <w:endnote w:type="continuationSeparator" w:id="0">
    <w:p w:rsidR="00F7344F" w:rsidRDefault="00F7344F" w:rsidP="00F7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423993943"/>
      <w:docPartObj>
        <w:docPartGallery w:val="Page Numbers (Bottom of Page)"/>
        <w:docPartUnique/>
      </w:docPartObj>
    </w:sdtPr>
    <w:sdtContent>
      <w:p w:rsidR="00F7344F" w:rsidRDefault="00F7344F" w:rsidP="00F21DF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7344F" w:rsidRDefault="00F7344F" w:rsidP="00F734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13100665"/>
      <w:docPartObj>
        <w:docPartGallery w:val="Page Numbers (Bottom of Page)"/>
        <w:docPartUnique/>
      </w:docPartObj>
    </w:sdtPr>
    <w:sdtContent>
      <w:p w:rsidR="00F7344F" w:rsidRDefault="00F7344F" w:rsidP="00F21DF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7344F" w:rsidRDefault="00F7344F" w:rsidP="00F7344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44F" w:rsidRDefault="00F7344F" w:rsidP="00F7344F">
      <w:r>
        <w:separator/>
      </w:r>
    </w:p>
  </w:footnote>
  <w:footnote w:type="continuationSeparator" w:id="0">
    <w:p w:rsidR="00F7344F" w:rsidRDefault="00F7344F" w:rsidP="00F73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1203C"/>
    <w:multiLevelType w:val="hybridMultilevel"/>
    <w:tmpl w:val="A0B8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7F48"/>
    <w:multiLevelType w:val="hybridMultilevel"/>
    <w:tmpl w:val="B6B8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D4E8A"/>
    <w:multiLevelType w:val="hybridMultilevel"/>
    <w:tmpl w:val="A94AE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1C"/>
    <w:rsid w:val="00512A81"/>
    <w:rsid w:val="00643A6F"/>
    <w:rsid w:val="006931A4"/>
    <w:rsid w:val="007819D0"/>
    <w:rsid w:val="00863D80"/>
    <w:rsid w:val="008A085A"/>
    <w:rsid w:val="008E6255"/>
    <w:rsid w:val="009A4806"/>
    <w:rsid w:val="009D3A1C"/>
    <w:rsid w:val="00A00F55"/>
    <w:rsid w:val="00D80FBF"/>
    <w:rsid w:val="00D9216C"/>
    <w:rsid w:val="00DA3C75"/>
    <w:rsid w:val="00E0488B"/>
    <w:rsid w:val="00F7344F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0901D"/>
  <w15:chartTrackingRefBased/>
  <w15:docId w15:val="{ABC78535-8AA1-3441-9C46-89D7D51E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44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3A6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A6F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3A6F"/>
    <w:pPr>
      <w:keepNext/>
      <w:keepLines/>
      <w:spacing w:before="40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A6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3A6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3A6F"/>
    <w:rPr>
      <w:rFonts w:ascii="Times New Roman" w:eastAsiaTheme="majorEastAsia" w:hAnsi="Times New Roman" w:cstheme="majorBidi"/>
      <w:color w:val="000000" w:themeColor="text1"/>
    </w:rPr>
  </w:style>
  <w:style w:type="paragraph" w:customStyle="1" w:styleId="formattext">
    <w:name w:val="formattext"/>
    <w:basedOn w:val="a"/>
    <w:rsid w:val="00643A6F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643A6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7344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F734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344F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F7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00871" TargetMode="External"/><Relationship Id="rId13" Type="http://schemas.openxmlformats.org/officeDocument/2006/relationships/hyperlink" Target="http://docs.cntd.ru/document/1200045483" TargetMode="External"/><Relationship Id="rId18" Type="http://schemas.openxmlformats.org/officeDocument/2006/relationships/hyperlink" Target="http://docs.cntd.ru/document/901781441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docs.cntd.ru/document/1200046903" TargetMode="External"/><Relationship Id="rId12" Type="http://schemas.openxmlformats.org/officeDocument/2006/relationships/hyperlink" Target="http://docs.cntd.ru/document/1200045398" TargetMode="External"/><Relationship Id="rId17" Type="http://schemas.openxmlformats.org/officeDocument/2006/relationships/hyperlink" Target="http://docs.cntd.ru/document/1200003114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ntd.ru/document/520030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cntd.ru/document/12000071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cntd.ru/document/520027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cntd.ru/document/1200031988" TargetMode="External"/><Relationship Id="rId19" Type="http://schemas.openxmlformats.org/officeDocument/2006/relationships/hyperlink" Target="http://docs.cntd.ru/document/1200003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1200010594" TargetMode="External"/><Relationship Id="rId14" Type="http://schemas.openxmlformats.org/officeDocument/2006/relationships/hyperlink" Target="http://docs.cntd.ru/document/12000035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4</cp:revision>
  <dcterms:created xsi:type="dcterms:W3CDTF">2020-11-21T11:05:00Z</dcterms:created>
  <dcterms:modified xsi:type="dcterms:W3CDTF">2020-11-21T11:52:00Z</dcterms:modified>
</cp:coreProperties>
</file>