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0"/>
          <w:numId w:val="0"/>
        </w:numPr>
        <w:bidi w:val="0"/>
        <w:spacing w:before="200" w:after="120"/>
        <w:jc w:val="start"/>
        <w:rPr/>
      </w:pPr>
      <w:r>
        <w:rPr/>
        <w:t xml:space="preserve">1. </w:t>
      </w:r>
      <w:r>
        <w:rPr>
          <w:rStyle w:val="Strong"/>
          <w:b/>
          <w:bCs/>
        </w:rPr>
        <w:t>Objectifs Généraux et Spécifiques</w:t>
      </w:r>
    </w:p>
    <w:p>
      <w:pPr>
        <w:pStyle w:val="BodyText"/>
        <w:bidi w:val="0"/>
        <w:spacing w:lineRule="auto" w:line="276" w:before="0" w:after="140"/>
        <w:jc w:val="start"/>
        <w:rPr/>
      </w:pPr>
      <w:r>
        <w:rPr/>
        <w:t xml:space="preserve">Le </w:t>
      </w:r>
      <w:r>
        <w:rPr>
          <w:rStyle w:val="Strong"/>
        </w:rPr>
        <w:t>Cadre de Concertation Communale d’Abéché (CCCA)</w:t>
      </w:r>
      <w:r>
        <w:rPr/>
        <w:t xml:space="preserve"> constitue un dispositif stratégique et participatif mis en place pour renforcer la gouvernance locale et promouvoir un développement harmonieux, inclusif et durable de la commune. Ses objectifs principaux sont les suivants :</w:t>
      </w:r>
    </w:p>
    <w:p>
      <w:pPr>
        <w:pStyle w:val="BodyText"/>
        <w:numPr>
          <w:ilvl w:val="0"/>
          <w:numId w:val="2"/>
        </w:numPr>
        <w:tabs>
          <w:tab w:val="clear" w:pos="709"/>
          <w:tab w:val="left" w:pos="709" w:leader="none"/>
        </w:tabs>
        <w:bidi w:val="0"/>
        <w:ind w:hanging="283" w:start="709"/>
        <w:jc w:val="start"/>
        <w:rPr/>
      </w:pPr>
      <w:r>
        <w:rPr>
          <w:rStyle w:val="Strong"/>
        </w:rPr>
        <w:t>Renforcer la participation citoyenne et la transparence</w:t>
      </w:r>
      <w:r>
        <w:rPr/>
        <w:br/>
        <w:t>Mettre en place des mécanismes permanents qui permettent aux citoyens, organisations communautaires et acteurs locaux de participer activement à l’identification des besoins, la planification, la mise en œuvre et le suivi des actions de développement communal.</w:t>
      </w:r>
    </w:p>
    <w:p>
      <w:pPr>
        <w:pStyle w:val="BodyText"/>
        <w:numPr>
          <w:ilvl w:val="0"/>
          <w:numId w:val="2"/>
        </w:numPr>
        <w:tabs>
          <w:tab w:val="clear" w:pos="709"/>
          <w:tab w:val="left" w:pos="709" w:leader="none"/>
        </w:tabs>
        <w:bidi w:val="0"/>
        <w:ind w:hanging="283" w:start="709"/>
        <w:jc w:val="start"/>
        <w:rPr/>
      </w:pPr>
      <w:r>
        <w:rPr>
          <w:rStyle w:val="Strong"/>
        </w:rPr>
        <w:t>Favoriser le dialogue et la coordination multisectorielle</w:t>
      </w:r>
      <w:r>
        <w:rPr/>
        <w:br/>
        <w:t>Créer un espace régulier d’échanges entre les autorités locales, les services techniques déconcentrés de l’État, la société civile, les leaders communautaires et les partenaires techniques et financiers afin d’assurer la cohérence et la complémentarité des interventions.</w:t>
      </w:r>
    </w:p>
    <w:p>
      <w:pPr>
        <w:pStyle w:val="BodyText"/>
        <w:numPr>
          <w:ilvl w:val="0"/>
          <w:numId w:val="2"/>
        </w:numPr>
        <w:tabs>
          <w:tab w:val="clear" w:pos="709"/>
          <w:tab w:val="left" w:pos="709" w:leader="none"/>
        </w:tabs>
        <w:bidi w:val="0"/>
        <w:ind w:hanging="283" w:start="709"/>
        <w:jc w:val="start"/>
        <w:rPr/>
      </w:pPr>
      <w:r>
        <w:rPr>
          <w:rStyle w:val="Strong"/>
        </w:rPr>
        <w:t>Appuyer l’élaboration, la mise en œuvre et le suivi des politiques locales</w:t>
      </w:r>
      <w:r>
        <w:rPr/>
        <w:br/>
        <w:t>Contribuer efficacement à la préparation des plans communaux de développement, à leur exécution concertée, ainsi qu’à l’évaluation participative de leurs impacts sur la population.</w:t>
      </w:r>
    </w:p>
    <w:p>
      <w:pPr>
        <w:pStyle w:val="BodyText"/>
        <w:numPr>
          <w:ilvl w:val="0"/>
          <w:numId w:val="2"/>
        </w:numPr>
        <w:tabs>
          <w:tab w:val="clear" w:pos="709"/>
          <w:tab w:val="left" w:pos="709" w:leader="none"/>
        </w:tabs>
        <w:bidi w:val="0"/>
        <w:ind w:hanging="283" w:start="709"/>
        <w:jc w:val="start"/>
        <w:rPr/>
      </w:pPr>
      <w:r>
        <w:rPr>
          <w:rStyle w:val="Strong"/>
        </w:rPr>
        <w:t>Promouvoir la bonne gouvernance locale</w:t>
      </w:r>
      <w:r>
        <w:rPr/>
        <w:br/>
        <w:t>Instaurer une culture de transparence, de redevabilité et de gestion inclusive des affaires publiques, en veillant au respect des principes de légalité, d’efficacité et d’équité.</w:t>
      </w:r>
    </w:p>
    <w:p>
      <w:pPr>
        <w:pStyle w:val="BodyText"/>
        <w:numPr>
          <w:ilvl w:val="0"/>
          <w:numId w:val="2"/>
        </w:numPr>
        <w:tabs>
          <w:tab w:val="clear" w:pos="709"/>
          <w:tab w:val="left" w:pos="709" w:leader="none"/>
        </w:tabs>
        <w:bidi w:val="0"/>
        <w:ind w:hanging="283" w:start="709"/>
        <w:jc w:val="start"/>
        <w:rPr/>
      </w:pPr>
      <w:r>
        <w:rPr>
          <w:rStyle w:val="Strong"/>
        </w:rPr>
        <w:t>Renforcer la cohésion sociale et l’inclusion</w:t>
      </w:r>
      <w:r>
        <w:rPr/>
        <w:br/>
        <w:t>Impliquer activement les groupes vulnérables — femmes, jeunes, personnes vivant avec handicap, déplacés internes — dans tous les processus décisionnels afin de réduire les inégalités et renforcer la paix sociale.</w:t>
      </w:r>
    </w:p>
    <w:p>
      <w:pPr>
        <w:pStyle w:val="BodyText"/>
        <w:numPr>
          <w:ilvl w:val="0"/>
          <w:numId w:val="2"/>
        </w:numPr>
        <w:tabs>
          <w:tab w:val="clear" w:pos="709"/>
          <w:tab w:val="left" w:pos="709" w:leader="none"/>
        </w:tabs>
        <w:bidi w:val="0"/>
        <w:ind w:hanging="283" w:start="709"/>
        <w:jc w:val="start"/>
        <w:rPr/>
      </w:pPr>
      <w:r>
        <w:rPr>
          <w:rStyle w:val="Strong"/>
        </w:rPr>
        <w:t>Prévenir et gérer pacifiquement les conflits locaux</w:t>
      </w:r>
      <w:r>
        <w:rPr/>
        <w:br/>
        <w:t>Mettre en place des mécanismes de concertation, de médiation et d’arbitrage permettant d’anticiper les tensions communautaires et de résoudre les différends dans un cadre pacifique et consensuel.</w:t>
      </w:r>
    </w:p>
    <w:p>
      <w:pPr>
        <w:pStyle w:val="BodyText"/>
        <w:numPr>
          <w:ilvl w:val="0"/>
          <w:numId w:val="2"/>
        </w:numPr>
        <w:tabs>
          <w:tab w:val="clear" w:pos="709"/>
          <w:tab w:val="left" w:pos="709" w:leader="none"/>
        </w:tabs>
        <w:bidi w:val="0"/>
        <w:ind w:hanging="283" w:start="709"/>
        <w:jc w:val="start"/>
        <w:rPr/>
      </w:pPr>
      <w:r>
        <w:rPr>
          <w:rStyle w:val="Strong"/>
        </w:rPr>
        <w:t>Mobiliser et coordonner les ressources</w:t>
      </w:r>
      <w:r>
        <w:rPr/>
        <w:br/>
        <w:t>Appuyer la commune dans la recherche et la mobilisation de financements additionnels, ainsi que dans la coordination efficace des actions menées par les partenaires au niveau territorial.</w:t>
      </w:r>
    </w:p>
    <w:p>
      <w:pPr>
        <w:pStyle w:val="BodyText"/>
        <w:numPr>
          <w:ilvl w:val="0"/>
          <w:numId w:val="2"/>
        </w:numPr>
        <w:tabs>
          <w:tab w:val="clear" w:pos="709"/>
          <w:tab w:val="left" w:pos="709" w:leader="none"/>
        </w:tabs>
        <w:bidi w:val="0"/>
        <w:ind w:hanging="283" w:start="709"/>
        <w:jc w:val="start"/>
        <w:rPr/>
      </w:pPr>
      <w:r>
        <w:rPr>
          <w:rStyle w:val="Strong"/>
        </w:rPr>
        <w:t>Intégrer les enjeux de durabilité et de résilience climatique</w:t>
      </w:r>
      <w:r>
        <w:rPr/>
        <w:br/>
        <w:t>Veiller à ce que les politiques locales tiennent compte des défis environnementaux, climatiques et de résilience communautaire, afin d’assurer un développement durable à long terme.</w:t>
      </w:r>
    </w:p>
    <w:p>
      <w:pPr>
        <w:pStyle w:val="BodyText"/>
        <w:numPr>
          <w:ilvl w:val="0"/>
          <w:numId w:val="2"/>
        </w:numPr>
        <w:tabs>
          <w:tab w:val="clear" w:pos="709"/>
          <w:tab w:val="left" w:pos="709" w:leader="none"/>
        </w:tabs>
        <w:bidi w:val="0"/>
        <w:ind w:hanging="283" w:start="709"/>
        <w:jc w:val="start"/>
        <w:rPr/>
      </w:pPr>
      <w:r>
        <w:rPr>
          <w:rStyle w:val="Strong"/>
        </w:rPr>
        <w:t>Assurer un suivi-évaluation structuré</w:t>
      </w:r>
      <w:r>
        <w:rPr/>
        <w:br/>
        <w:t>Mettre en place un système de suivi-évaluation participatif permettant d’apprécier l’efficacité des interventions, d’identifier les bonnes pratiques et d’ajuster les stratégies en conséquence.</w:t>
      </w:r>
    </w:p>
    <w:p>
      <w:pPr>
        <w:pStyle w:val="Lignehorizontal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2. </w:t>
      </w:r>
      <w:r>
        <w:rPr>
          <w:rStyle w:val="Strong"/>
          <w:b/>
          <w:bCs/>
        </w:rPr>
        <w:t>Structure et Composition</w:t>
      </w:r>
    </w:p>
    <w:p>
      <w:pPr>
        <w:pStyle w:val="BodyText"/>
        <w:bidi w:val="0"/>
        <w:spacing w:lineRule="auto" w:line="276" w:before="0" w:after="140"/>
        <w:jc w:val="start"/>
        <w:rPr/>
      </w:pPr>
      <w:r>
        <w:rPr/>
        <w:t xml:space="preserve">Le </w:t>
      </w:r>
      <w:r>
        <w:rPr>
          <w:rStyle w:val="Strong"/>
        </w:rPr>
        <w:t>CCCA</w:t>
      </w:r>
      <w:r>
        <w:rPr/>
        <w:t xml:space="preserve"> est une plateforme inclusive, structurée en plusieurs organes complémentaires afin d’assurer son bon fonctionnement :</w:t>
      </w:r>
    </w:p>
    <w:p>
      <w:pPr>
        <w:pStyle w:val="Heading3"/>
        <w:numPr>
          <w:ilvl w:val="0"/>
          <w:numId w:val="0"/>
        </w:numPr>
        <w:bidi w:val="0"/>
        <w:spacing w:before="140" w:after="120"/>
        <w:jc w:val="start"/>
        <w:rPr/>
      </w:pPr>
      <w:r>
        <w:rPr/>
        <w:t xml:space="preserve">🔸 </w:t>
      </w:r>
      <w:r>
        <w:rPr>
          <w:rStyle w:val="Strong"/>
          <w:b/>
          <w:bCs/>
        </w:rPr>
        <w:t>Bureau Exécutif</w:t>
      </w:r>
    </w:p>
    <w:p>
      <w:pPr>
        <w:pStyle w:val="BodyText"/>
        <w:numPr>
          <w:ilvl w:val="0"/>
          <w:numId w:val="3"/>
        </w:numPr>
        <w:tabs>
          <w:tab w:val="clear" w:pos="709"/>
          <w:tab w:val="left" w:pos="709" w:leader="none"/>
        </w:tabs>
        <w:bidi w:val="0"/>
        <w:ind w:hanging="283" w:start="709"/>
        <w:jc w:val="start"/>
        <w:rPr/>
      </w:pPr>
      <w:r>
        <w:rPr>
          <w:rStyle w:val="Strong"/>
        </w:rPr>
        <w:t>Président</w:t>
      </w:r>
      <w:r>
        <w:rPr/>
        <w:t xml:space="preserve"> : le Maire de la Commune d’Abéché — responsable de la coordination globale et garant de l’intégration des orientations stratégiques dans la politique communale.</w:t>
      </w:r>
    </w:p>
    <w:p>
      <w:pPr>
        <w:pStyle w:val="BodyText"/>
        <w:numPr>
          <w:ilvl w:val="0"/>
          <w:numId w:val="3"/>
        </w:numPr>
        <w:tabs>
          <w:tab w:val="clear" w:pos="709"/>
          <w:tab w:val="left" w:pos="709" w:leader="none"/>
        </w:tabs>
        <w:bidi w:val="0"/>
        <w:ind w:hanging="283" w:start="709"/>
        <w:jc w:val="start"/>
        <w:rPr/>
      </w:pPr>
      <w:r>
        <w:rPr>
          <w:rStyle w:val="Strong"/>
        </w:rPr>
        <w:t>Vice-président</w:t>
      </w:r>
      <w:r>
        <w:rPr/>
        <w:t xml:space="preserve"> : assure l’intérim en cas d’absence et soutient le président dans la supervision des activités.</w:t>
      </w:r>
    </w:p>
    <w:p>
      <w:pPr>
        <w:pStyle w:val="BodyText"/>
        <w:numPr>
          <w:ilvl w:val="0"/>
          <w:numId w:val="3"/>
        </w:numPr>
        <w:tabs>
          <w:tab w:val="clear" w:pos="709"/>
          <w:tab w:val="left" w:pos="709" w:leader="none"/>
        </w:tabs>
        <w:bidi w:val="0"/>
        <w:ind w:hanging="283" w:start="709"/>
        <w:jc w:val="start"/>
        <w:rPr/>
      </w:pPr>
      <w:r>
        <w:rPr>
          <w:rStyle w:val="Strong"/>
        </w:rPr>
        <w:t>Rapporteur général et adjoints</w:t>
      </w:r>
      <w:r>
        <w:rPr/>
        <w:t xml:space="preserve"> : chargés de la rédaction des procès-verbaux, de la gestion des archives et des convocations.</w:t>
      </w:r>
    </w:p>
    <w:p>
      <w:pPr>
        <w:pStyle w:val="BodyText"/>
        <w:numPr>
          <w:ilvl w:val="0"/>
          <w:numId w:val="3"/>
        </w:numPr>
        <w:tabs>
          <w:tab w:val="clear" w:pos="709"/>
          <w:tab w:val="left" w:pos="709" w:leader="none"/>
        </w:tabs>
        <w:bidi w:val="0"/>
        <w:ind w:hanging="283" w:start="709"/>
        <w:jc w:val="start"/>
        <w:rPr/>
      </w:pPr>
      <w:r>
        <w:rPr>
          <w:rStyle w:val="Strong"/>
        </w:rPr>
        <w:t>Chargé de communication</w:t>
      </w:r>
      <w:r>
        <w:rPr/>
        <w:t xml:space="preserve"> : responsable de la diffusion des informations, de la sensibilisation publique et de la visibilité des activités du CCCA.</w:t>
      </w:r>
    </w:p>
    <w:p>
      <w:pPr>
        <w:pStyle w:val="Heading3"/>
        <w:numPr>
          <w:ilvl w:val="0"/>
          <w:numId w:val="0"/>
        </w:numPr>
        <w:bidi w:val="0"/>
        <w:spacing w:before="140" w:after="120"/>
        <w:jc w:val="start"/>
        <w:rPr/>
      </w:pPr>
      <w:r>
        <w:rPr/>
        <w:t xml:space="preserve">🔸 </w:t>
      </w:r>
      <w:r>
        <w:rPr>
          <w:rStyle w:val="Strong"/>
          <w:b/>
          <w:bCs/>
        </w:rPr>
        <w:t>Membres</w:t>
      </w:r>
    </w:p>
    <w:p>
      <w:pPr>
        <w:pStyle w:val="BodyText"/>
        <w:numPr>
          <w:ilvl w:val="0"/>
          <w:numId w:val="4"/>
        </w:numPr>
        <w:tabs>
          <w:tab w:val="clear" w:pos="709"/>
          <w:tab w:val="left" w:pos="709" w:leader="none"/>
        </w:tabs>
        <w:bidi w:val="0"/>
        <w:ind w:hanging="283" w:start="709"/>
        <w:jc w:val="start"/>
        <w:rPr/>
      </w:pPr>
      <w:r>
        <w:rPr/>
        <w:t>Représentants d’associations locales : organisations de jeunesse, associations de femmes, syndicats, confessions religieuses, chefferies traditionnelles, etc.</w:t>
      </w:r>
    </w:p>
    <w:p>
      <w:pPr>
        <w:pStyle w:val="BodyText"/>
        <w:numPr>
          <w:ilvl w:val="0"/>
          <w:numId w:val="4"/>
        </w:numPr>
        <w:tabs>
          <w:tab w:val="clear" w:pos="709"/>
          <w:tab w:val="left" w:pos="709" w:leader="none"/>
        </w:tabs>
        <w:bidi w:val="0"/>
        <w:ind w:hanging="283" w:start="709"/>
        <w:jc w:val="start"/>
        <w:rPr/>
      </w:pPr>
      <w:r>
        <w:rPr/>
        <w:t>Représentants des institutions locales et services déconcentrés de l’État.</w:t>
      </w:r>
    </w:p>
    <w:p>
      <w:pPr>
        <w:pStyle w:val="BodyText"/>
        <w:numPr>
          <w:ilvl w:val="0"/>
          <w:numId w:val="4"/>
        </w:numPr>
        <w:tabs>
          <w:tab w:val="clear" w:pos="709"/>
          <w:tab w:val="left" w:pos="709" w:leader="none"/>
        </w:tabs>
        <w:bidi w:val="0"/>
        <w:ind w:hanging="283" w:start="709"/>
        <w:jc w:val="start"/>
        <w:rPr/>
      </w:pPr>
      <w:r>
        <w:rPr/>
        <w:t>Représentants de la société civile et des partenaires techniques et financiers.</w:t>
      </w:r>
    </w:p>
    <w:p>
      <w:pPr>
        <w:pStyle w:val="BodyText"/>
        <w:numPr>
          <w:ilvl w:val="0"/>
          <w:numId w:val="4"/>
        </w:numPr>
        <w:tabs>
          <w:tab w:val="clear" w:pos="709"/>
          <w:tab w:val="left" w:pos="709" w:leader="none"/>
        </w:tabs>
        <w:bidi w:val="0"/>
        <w:ind w:hanging="283" w:start="709"/>
        <w:jc w:val="start"/>
        <w:rPr/>
      </w:pPr>
      <w:r>
        <w:rPr/>
        <w:t>Personnes ressources et experts invités à titre consultatif (sans droit de vote).</w:t>
      </w:r>
    </w:p>
    <w:p>
      <w:pPr>
        <w:pStyle w:val="BodyText"/>
        <w:bidi w:val="0"/>
        <w:spacing w:lineRule="auto" w:line="276" w:before="0" w:after="140"/>
        <w:jc w:val="start"/>
        <w:rPr/>
      </w:pPr>
      <w:r>
        <w:rPr/>
        <w:t xml:space="preserve">Le mandat des membres est de </w:t>
      </w:r>
      <w:r>
        <w:rPr>
          <w:rStyle w:val="Strong"/>
        </w:rPr>
        <w:t>trois (3) ans</w:t>
      </w:r>
      <w:r>
        <w:rPr/>
        <w:t xml:space="preserve">, renouvelable </w:t>
      </w:r>
      <w:r>
        <w:rPr>
          <w:rStyle w:val="Strong"/>
        </w:rPr>
        <w:t>une seule fois</w:t>
      </w:r>
      <w:r>
        <w:rPr/>
        <w:t xml:space="preserve">, validé par le </w:t>
      </w:r>
      <w:r>
        <w:rPr>
          <w:rStyle w:val="Strong"/>
        </w:rPr>
        <w:t>Conseil municipal</w:t>
      </w:r>
      <w:r>
        <w:rPr/>
        <w:t>.</w:t>
      </w:r>
    </w:p>
    <w:p>
      <w:pPr>
        <w:pStyle w:val="Heading2"/>
        <w:numPr>
          <w:ilvl w:val="0"/>
          <w:numId w:val="0"/>
        </w:numPr>
        <w:bidi w:val="0"/>
        <w:spacing w:before="200" w:after="120"/>
        <w:jc w:val="start"/>
        <w:rPr/>
      </w:pPr>
      <w:r>
        <w:rPr/>
        <w:t xml:space="preserve">3. </w:t>
      </w:r>
      <w:r>
        <w:rPr>
          <w:rStyle w:val="Strong"/>
          <w:b/>
          <w:bCs/>
        </w:rPr>
        <w:t>Mécanismes et Fonctionnement</w:t>
      </w:r>
    </w:p>
    <w:p>
      <w:pPr>
        <w:pStyle w:val="BodyText"/>
        <w:bidi w:val="0"/>
        <w:spacing w:lineRule="auto" w:line="276" w:before="0" w:after="140"/>
        <w:jc w:val="start"/>
        <w:rPr/>
      </w:pPr>
      <w:r>
        <w:rPr/>
        <w:t xml:space="preserve">Le </w:t>
      </w:r>
      <w:r>
        <w:rPr>
          <w:rStyle w:val="Strong"/>
        </w:rPr>
        <w:t>CCCA</w:t>
      </w:r>
      <w:r>
        <w:rPr/>
        <w:t xml:space="preserve"> repose sur des principes de régularité, de transparence et de décision collective :</w:t>
      </w:r>
    </w:p>
    <w:p>
      <w:pPr>
        <w:pStyle w:val="BodyText"/>
        <w:numPr>
          <w:ilvl w:val="0"/>
          <w:numId w:val="5"/>
        </w:numPr>
        <w:tabs>
          <w:tab w:val="clear" w:pos="709"/>
          <w:tab w:val="left" w:pos="709" w:leader="none"/>
        </w:tabs>
        <w:bidi w:val="0"/>
        <w:ind w:hanging="283" w:start="709"/>
        <w:jc w:val="start"/>
        <w:rPr/>
      </w:pPr>
      <w:r>
        <w:rPr>
          <w:rStyle w:val="Strong"/>
        </w:rPr>
        <w:t>Sessions ordinaires</w:t>
      </w:r>
      <w:r>
        <w:rPr/>
        <w:t xml:space="preserve"> : organisées chaque trimestre pour examiner les progrès, discuter des priorités et prendre des décisions collectives.</w:t>
      </w:r>
    </w:p>
    <w:p>
      <w:pPr>
        <w:pStyle w:val="BodyText"/>
        <w:numPr>
          <w:ilvl w:val="0"/>
          <w:numId w:val="5"/>
        </w:numPr>
        <w:tabs>
          <w:tab w:val="clear" w:pos="709"/>
          <w:tab w:val="left" w:pos="709" w:leader="none"/>
        </w:tabs>
        <w:bidi w:val="0"/>
        <w:ind w:hanging="283" w:start="709"/>
        <w:jc w:val="start"/>
        <w:rPr/>
      </w:pPr>
      <w:r>
        <w:rPr>
          <w:rStyle w:val="Strong"/>
        </w:rPr>
        <w:t>Sessions extraordinaires</w:t>
      </w:r>
      <w:r>
        <w:rPr/>
        <w:t xml:space="preserve"> : convoquées en cas de besoin urgent.</w:t>
      </w:r>
    </w:p>
    <w:p>
      <w:pPr>
        <w:pStyle w:val="BodyText"/>
        <w:numPr>
          <w:ilvl w:val="0"/>
          <w:numId w:val="5"/>
        </w:numPr>
        <w:tabs>
          <w:tab w:val="clear" w:pos="709"/>
          <w:tab w:val="left" w:pos="709" w:leader="none"/>
        </w:tabs>
        <w:bidi w:val="0"/>
        <w:ind w:hanging="283" w:start="709"/>
        <w:jc w:val="start"/>
        <w:rPr/>
      </w:pPr>
      <w:r>
        <w:rPr>
          <w:rStyle w:val="Strong"/>
        </w:rPr>
        <w:t>Convocations</w:t>
      </w:r>
      <w:r>
        <w:rPr/>
        <w:t xml:space="preserve"> : envoyées au moins 5 jours avant une session ordinaire et 48 heures avant une session extraordinaire.</w:t>
      </w:r>
    </w:p>
    <w:p>
      <w:pPr>
        <w:pStyle w:val="BodyText"/>
        <w:numPr>
          <w:ilvl w:val="0"/>
          <w:numId w:val="5"/>
        </w:numPr>
        <w:tabs>
          <w:tab w:val="clear" w:pos="709"/>
          <w:tab w:val="left" w:pos="709" w:leader="none"/>
        </w:tabs>
        <w:bidi w:val="0"/>
        <w:ind w:hanging="283" w:start="709"/>
        <w:jc w:val="start"/>
        <w:rPr/>
      </w:pPr>
      <w:r>
        <w:rPr>
          <w:rStyle w:val="Strong"/>
        </w:rPr>
        <w:t>Quorum</w:t>
      </w:r>
      <w:r>
        <w:rPr/>
        <w:t xml:space="preserve"> : atteint lorsque la moitié des membres plus un sont présents.</w:t>
      </w:r>
    </w:p>
    <w:p>
      <w:pPr>
        <w:pStyle w:val="BodyText"/>
        <w:numPr>
          <w:ilvl w:val="0"/>
          <w:numId w:val="5"/>
        </w:numPr>
        <w:tabs>
          <w:tab w:val="clear" w:pos="709"/>
          <w:tab w:val="left" w:pos="709" w:leader="none"/>
        </w:tabs>
        <w:bidi w:val="0"/>
        <w:ind w:hanging="283" w:start="709"/>
        <w:jc w:val="start"/>
        <w:rPr/>
      </w:pPr>
      <w:r>
        <w:rPr>
          <w:rStyle w:val="Strong"/>
        </w:rPr>
        <w:t>Prise de décision</w:t>
      </w:r>
      <w:r>
        <w:rPr/>
        <w:t xml:space="preserve"> : les résolutions sont adoptées à la majorité simple et consignées dans des procès-verbaux bilingues (français–arabe).</w:t>
      </w:r>
    </w:p>
    <w:p>
      <w:pPr>
        <w:pStyle w:val="BodyText"/>
        <w:bidi w:val="0"/>
        <w:spacing w:lineRule="auto" w:line="276" w:before="0" w:after="140"/>
        <w:jc w:val="start"/>
        <w:rPr/>
      </w:pPr>
      <w:r>
        <w:rPr/>
        <w:t xml:space="preserve">Des </w:t>
      </w:r>
      <w:r>
        <w:rPr>
          <w:rStyle w:val="Strong"/>
        </w:rPr>
        <w:t>sous-comités thématiques</w:t>
      </w:r>
      <w:r>
        <w:rPr/>
        <w:t xml:space="preserve"> peuvent être créés pour approfondir certaines thématiques clés (par exemple : hygiène et assainissement, infrastructures, jeunesse, genre, climat, développement économique local…).</w:t>
      </w:r>
    </w:p>
    <w:p>
      <w:pPr>
        <w:pStyle w:val="Heading3"/>
        <w:numPr>
          <w:ilvl w:val="0"/>
          <w:numId w:val="0"/>
        </w:numPr>
        <w:bidi w:val="0"/>
        <w:spacing w:before="140" w:after="120"/>
        <w:jc w:val="start"/>
        <w:rPr/>
      </w:pPr>
      <w:r>
        <w:rPr/>
        <w:t>Secrétariats</w:t>
      </w:r>
    </w:p>
    <w:p>
      <w:pPr>
        <w:pStyle w:val="BodyText"/>
        <w:numPr>
          <w:ilvl w:val="0"/>
          <w:numId w:val="6"/>
        </w:numPr>
        <w:tabs>
          <w:tab w:val="clear" w:pos="709"/>
          <w:tab w:val="left" w:pos="709" w:leader="none"/>
        </w:tabs>
        <w:bidi w:val="0"/>
        <w:ind w:hanging="283" w:start="709"/>
        <w:jc w:val="start"/>
        <w:rPr/>
      </w:pPr>
      <w:r>
        <w:rPr>
          <w:rStyle w:val="Strong"/>
        </w:rPr>
        <w:t>Secrétariat Permanent</w:t>
      </w:r>
      <w:r>
        <w:rPr/>
        <w:t xml:space="preserve"> : assuré par le Secrétaire Général de la Mairie, garant de la continuité administrative.</w:t>
      </w:r>
    </w:p>
    <w:p>
      <w:pPr>
        <w:pStyle w:val="BodyText"/>
        <w:numPr>
          <w:ilvl w:val="0"/>
          <w:numId w:val="6"/>
        </w:numPr>
        <w:tabs>
          <w:tab w:val="clear" w:pos="709"/>
          <w:tab w:val="left" w:pos="709" w:leader="none"/>
        </w:tabs>
        <w:bidi w:val="0"/>
        <w:ind w:hanging="283" w:start="709"/>
        <w:jc w:val="start"/>
        <w:rPr/>
      </w:pPr>
      <w:r>
        <w:rPr>
          <w:rStyle w:val="Strong"/>
        </w:rPr>
        <w:t>Secrétariat Technique</w:t>
      </w:r>
      <w:r>
        <w:rPr/>
        <w:t xml:space="preserve"> : prépare les ordres du jour, rédige les PV et coordonne les activités quotidiennes.</w:t>
      </w:r>
    </w:p>
    <w:p>
      <w:pPr>
        <w:pStyle w:val="BodyText"/>
        <w:bidi w:val="0"/>
        <w:spacing w:lineRule="auto" w:line="276" w:before="0" w:after="140"/>
        <w:jc w:val="start"/>
        <w:rPr/>
      </w:pPr>
      <w:r>
        <w:rPr/>
        <w:t xml:space="preserve">Un </w:t>
      </w:r>
      <w:r>
        <w:rPr>
          <w:rStyle w:val="Strong"/>
        </w:rPr>
        <w:t>Règlement Intérieur</w:t>
      </w:r>
      <w:r>
        <w:rPr/>
        <w:t xml:space="preserve"> détaille les procédures de travail, les règles disciplinaires, les mécanismes de révision et de dissolution.</w:t>
      </w:r>
    </w:p>
    <w:p>
      <w:pPr>
        <w:pStyle w:val="Heading2"/>
        <w:numPr>
          <w:ilvl w:val="0"/>
          <w:numId w:val="0"/>
        </w:numPr>
        <w:bidi w:val="0"/>
        <w:spacing w:before="200" w:after="120"/>
        <w:jc w:val="start"/>
        <w:rPr/>
      </w:pPr>
      <w:r>
        <w:rPr>
          <w:rStyle w:val="Strong"/>
          <w:b/>
          <w:bCs/>
        </w:rPr>
        <w:t>4. Partage et Gestion des Ressources</w:t>
      </w:r>
    </w:p>
    <w:p>
      <w:pPr>
        <w:pStyle w:val="BodyText"/>
        <w:bidi w:val="0"/>
        <w:spacing w:lineRule="auto" w:line="276" w:before="0" w:after="140"/>
        <w:jc w:val="start"/>
        <w:rPr/>
      </w:pPr>
      <w:r>
        <w:rPr/>
        <w:t>Le bon fonctionnement du Cadre de Concertation Communale d’Abéché (CCCA) repose sur une mobilisation efficace, transparente et coordonnée des ressources financières, matérielles et techniques. Cette approche vise à garantir la pérennité du cadre, la qualité de ses activités et sa capacité à contribuer réellement au développement local.</w:t>
      </w:r>
    </w:p>
    <w:p>
      <w:pPr>
        <w:pStyle w:val="Heading3"/>
        <w:numPr>
          <w:ilvl w:val="0"/>
          <w:numId w:val="0"/>
        </w:numPr>
        <w:bidi w:val="0"/>
        <w:spacing w:before="140" w:after="120"/>
        <w:jc w:val="start"/>
        <w:rPr/>
      </w:pPr>
      <w:r>
        <w:rPr/>
        <w:t>a) Dotation Communale</w:t>
      </w:r>
    </w:p>
    <w:p>
      <w:pPr>
        <w:pStyle w:val="BodyText"/>
        <w:bidi w:val="0"/>
        <w:spacing w:lineRule="auto" w:line="276" w:before="0" w:after="140"/>
        <w:jc w:val="start"/>
        <w:rPr/>
      </w:pPr>
      <w:r>
        <w:rPr/>
        <w:t xml:space="preserve">La Commune d’Abéché inscrit chaque année, dans son budget, une </w:t>
      </w:r>
      <w:r>
        <w:rPr>
          <w:rStyle w:val="Strong"/>
        </w:rPr>
        <w:t>dotation financière minimale dédiée spécifiquement au fonctionnement du CCCA</w:t>
      </w:r>
      <w:r>
        <w:rPr/>
        <w:t>.</w:t>
        <w:br/>
        <w:t>Cette dotation couvre notamment :</w:t>
      </w:r>
    </w:p>
    <w:p>
      <w:pPr>
        <w:pStyle w:val="BodyText"/>
        <w:numPr>
          <w:ilvl w:val="0"/>
          <w:numId w:val="7"/>
        </w:numPr>
        <w:tabs>
          <w:tab w:val="clear" w:pos="709"/>
          <w:tab w:val="left" w:pos="709" w:leader="none"/>
        </w:tabs>
        <w:bidi w:val="0"/>
        <w:ind w:hanging="283" w:start="709"/>
        <w:jc w:val="start"/>
        <w:rPr/>
      </w:pPr>
      <w:r>
        <w:rPr/>
        <w:t>Les coûts liés à l’organisation des réunions ordinaires et extraordinaires (logistique, location de salles, restauration, équipements audiovisuels, etc.) ;</w:t>
      </w:r>
    </w:p>
    <w:p>
      <w:pPr>
        <w:pStyle w:val="BodyText"/>
        <w:numPr>
          <w:ilvl w:val="0"/>
          <w:numId w:val="7"/>
        </w:numPr>
        <w:tabs>
          <w:tab w:val="clear" w:pos="709"/>
          <w:tab w:val="left" w:pos="709" w:leader="none"/>
        </w:tabs>
        <w:bidi w:val="0"/>
        <w:ind w:hanging="283" w:start="709"/>
        <w:jc w:val="start"/>
        <w:rPr/>
      </w:pPr>
      <w:r>
        <w:rPr/>
        <w:t>Les dépenses liées à la communication et à la visibilité des activités (supports, affiches, spots radios, réseaux sociaux…) ;</w:t>
      </w:r>
    </w:p>
    <w:p>
      <w:pPr>
        <w:pStyle w:val="BodyText"/>
        <w:numPr>
          <w:ilvl w:val="0"/>
          <w:numId w:val="7"/>
        </w:numPr>
        <w:tabs>
          <w:tab w:val="clear" w:pos="709"/>
          <w:tab w:val="left" w:pos="709" w:leader="none"/>
        </w:tabs>
        <w:bidi w:val="0"/>
        <w:ind w:hanging="283" w:start="709"/>
        <w:jc w:val="start"/>
        <w:rPr/>
      </w:pPr>
      <w:r>
        <w:rPr/>
        <w:t>Les frais de fonctionnement du Secrétariat Permanent et du Secrétariat Technique ;</w:t>
      </w:r>
    </w:p>
    <w:p>
      <w:pPr>
        <w:pStyle w:val="BodyText"/>
        <w:numPr>
          <w:ilvl w:val="0"/>
          <w:numId w:val="7"/>
        </w:numPr>
        <w:tabs>
          <w:tab w:val="clear" w:pos="709"/>
          <w:tab w:val="left" w:pos="709" w:leader="none"/>
        </w:tabs>
        <w:bidi w:val="0"/>
        <w:ind w:hanging="283" w:start="709"/>
        <w:jc w:val="start"/>
        <w:rPr/>
      </w:pPr>
      <w:r>
        <w:rPr/>
        <w:t>Les activités de formation et de renforcement de capacités des membres et partenaires ;</w:t>
      </w:r>
    </w:p>
    <w:p>
      <w:pPr>
        <w:pStyle w:val="BodyText"/>
        <w:numPr>
          <w:ilvl w:val="0"/>
          <w:numId w:val="7"/>
        </w:numPr>
        <w:tabs>
          <w:tab w:val="clear" w:pos="709"/>
          <w:tab w:val="left" w:pos="709" w:leader="none"/>
        </w:tabs>
        <w:bidi w:val="0"/>
        <w:ind w:hanging="283" w:start="709"/>
        <w:jc w:val="start"/>
        <w:rPr/>
      </w:pPr>
      <w:r>
        <w:rPr/>
        <w:t>Les actions de suivi-évaluation et d’appui technique aux sous-comités thématiques.</w:t>
      </w:r>
    </w:p>
    <w:p>
      <w:pPr>
        <w:pStyle w:val="BodyText"/>
        <w:bidi w:val="0"/>
        <w:spacing w:lineRule="auto" w:line="276" w:before="0" w:after="140"/>
        <w:jc w:val="start"/>
        <w:rPr/>
      </w:pPr>
      <w:r>
        <w:rPr/>
        <w:t xml:space="preserve">Cette contribution communale constitue la </w:t>
      </w:r>
      <w:r>
        <w:rPr>
          <w:rStyle w:val="Strong"/>
        </w:rPr>
        <w:t>base stable</w:t>
      </w:r>
      <w:r>
        <w:rPr/>
        <w:t xml:space="preserve"> du financement, garantissant l’autonomie minimale du cadre et réduisant la dépendance exclusive vis-à-vis de partenaires extérieurs.</w:t>
      </w:r>
    </w:p>
    <w:p>
      <w:pPr>
        <w:pStyle w:val="Heading3"/>
        <w:numPr>
          <w:ilvl w:val="0"/>
          <w:numId w:val="0"/>
        </w:numPr>
        <w:bidi w:val="0"/>
        <w:spacing w:before="140" w:after="120"/>
        <w:jc w:val="start"/>
        <w:rPr/>
      </w:pPr>
      <w:r>
        <w:rPr/>
        <w:t xml:space="preserve"> </w:t>
      </w:r>
      <w:r>
        <w:rPr/>
        <w:t>b) Mobilisation des Ressources Additionnelles</w:t>
      </w:r>
    </w:p>
    <w:p>
      <w:pPr>
        <w:pStyle w:val="BodyText"/>
        <w:bidi w:val="0"/>
        <w:spacing w:lineRule="auto" w:line="276" w:before="0" w:after="140"/>
        <w:jc w:val="start"/>
        <w:rPr/>
      </w:pPr>
      <w:r>
        <w:rPr/>
        <w:t xml:space="preserve">En complément de la dotation communale, le CCCA est habilité à </w:t>
      </w:r>
      <w:r>
        <w:rPr>
          <w:rStyle w:val="Strong"/>
        </w:rPr>
        <w:t>mobiliser des ressources supplémentaires</w:t>
      </w:r>
      <w:r>
        <w:rPr/>
        <w:t xml:space="preserve"> auprès de divers acteurs :</w:t>
      </w:r>
    </w:p>
    <w:p>
      <w:pPr>
        <w:pStyle w:val="BodyText"/>
        <w:numPr>
          <w:ilvl w:val="0"/>
          <w:numId w:val="8"/>
        </w:numPr>
        <w:tabs>
          <w:tab w:val="clear" w:pos="709"/>
          <w:tab w:val="left" w:pos="709" w:leader="none"/>
        </w:tabs>
        <w:bidi w:val="0"/>
        <w:ind w:hanging="283" w:start="709"/>
        <w:jc w:val="start"/>
        <w:rPr/>
      </w:pPr>
      <w:r>
        <w:rPr>
          <w:rStyle w:val="Strong"/>
        </w:rPr>
        <w:t>Partenaires techniques et financiers</w:t>
      </w:r>
      <w:r>
        <w:rPr/>
        <w:t xml:space="preserve"> : agences du Système des Nations Unies, ONG nationales et internationales, bailleurs de fonds, institutions de coopération, etc. ;</w:t>
      </w:r>
    </w:p>
    <w:p>
      <w:pPr>
        <w:pStyle w:val="BodyText"/>
        <w:numPr>
          <w:ilvl w:val="0"/>
          <w:numId w:val="8"/>
        </w:numPr>
        <w:tabs>
          <w:tab w:val="clear" w:pos="709"/>
          <w:tab w:val="left" w:pos="709" w:leader="none"/>
        </w:tabs>
        <w:bidi w:val="0"/>
        <w:ind w:hanging="283" w:start="709"/>
        <w:jc w:val="start"/>
        <w:rPr/>
      </w:pPr>
      <w:r>
        <w:rPr>
          <w:rStyle w:val="Strong"/>
        </w:rPr>
        <w:t>Secteur privé local et national</w:t>
      </w:r>
      <w:r>
        <w:rPr/>
        <w:t xml:space="preserve"> : entreprises souhaitant contribuer au développement communal dans le cadre de leur responsabilité sociétale (RSE) ;</w:t>
      </w:r>
    </w:p>
    <w:p>
      <w:pPr>
        <w:pStyle w:val="BodyText"/>
        <w:numPr>
          <w:ilvl w:val="0"/>
          <w:numId w:val="8"/>
        </w:numPr>
        <w:tabs>
          <w:tab w:val="clear" w:pos="709"/>
          <w:tab w:val="left" w:pos="709" w:leader="none"/>
        </w:tabs>
        <w:bidi w:val="0"/>
        <w:ind w:hanging="283" w:start="709"/>
        <w:jc w:val="start"/>
        <w:rPr/>
      </w:pPr>
      <w:r>
        <w:rPr>
          <w:rStyle w:val="Strong"/>
        </w:rPr>
        <w:t>Projets et programmes de développement</w:t>
      </w:r>
      <w:r>
        <w:rPr/>
        <w:t xml:space="preserve"> : à travers des conventions de partenariat ou des appels à projets ;</w:t>
      </w:r>
    </w:p>
    <w:p>
      <w:pPr>
        <w:pStyle w:val="BodyText"/>
        <w:numPr>
          <w:ilvl w:val="0"/>
          <w:numId w:val="8"/>
        </w:numPr>
        <w:tabs>
          <w:tab w:val="clear" w:pos="709"/>
          <w:tab w:val="left" w:pos="709" w:leader="none"/>
        </w:tabs>
        <w:bidi w:val="0"/>
        <w:ind w:hanging="283" w:start="709"/>
        <w:jc w:val="start"/>
        <w:rPr/>
      </w:pPr>
      <w:r>
        <w:rPr>
          <w:rStyle w:val="Strong"/>
        </w:rPr>
        <w:t>Contributions en nature</w:t>
      </w:r>
      <w:r>
        <w:rPr/>
        <w:t xml:space="preserve"> : mise à disposition de salles, équipements, expertises techniques, services logistiques ou personnels.</w:t>
      </w:r>
    </w:p>
    <w:p>
      <w:pPr>
        <w:pStyle w:val="BodyText"/>
        <w:bidi w:val="0"/>
        <w:spacing w:lineRule="auto" w:line="276" w:before="0" w:after="140"/>
        <w:jc w:val="start"/>
        <w:rPr/>
      </w:pPr>
      <w:r>
        <w:rPr/>
        <w:t xml:space="preserve">Un </w:t>
      </w:r>
      <w:r>
        <w:rPr>
          <w:rStyle w:val="Strong"/>
        </w:rPr>
        <w:t>plan de mobilisation des ressources</w:t>
      </w:r>
      <w:r>
        <w:rPr/>
        <w:t xml:space="preserve"> peut être élaboré par le Bureau Exécutif et validé par l’Assemblée Générale, afin de diversifier les sources de financement, d’anticiper les besoins futurs et de renforcer la capacité financière du CCCA.</w:t>
      </w:r>
    </w:p>
    <w:p>
      <w:pPr>
        <w:pStyle w:val="Heading3"/>
        <w:numPr>
          <w:ilvl w:val="0"/>
          <w:numId w:val="0"/>
        </w:numPr>
        <w:bidi w:val="0"/>
        <w:spacing w:before="140" w:after="120"/>
        <w:jc w:val="start"/>
        <w:rPr/>
      </w:pPr>
      <w:r>
        <w:rPr/>
        <w:t xml:space="preserve"> </w:t>
      </w:r>
      <w:r>
        <w:rPr/>
        <w:t>c) Gestion Financière et Transparence</w:t>
      </w:r>
    </w:p>
    <w:p>
      <w:pPr>
        <w:pStyle w:val="BodyText"/>
        <w:bidi w:val="0"/>
        <w:spacing w:lineRule="auto" w:line="276" w:before="0" w:after="140"/>
        <w:jc w:val="start"/>
        <w:rPr/>
      </w:pPr>
      <w:r>
        <w:rPr/>
        <w:t xml:space="preserve">La gestion financière est assurée selon les </w:t>
      </w:r>
      <w:r>
        <w:rPr>
          <w:rStyle w:val="Strong"/>
        </w:rPr>
        <w:t>procédures administratives et comptables en vigueur dans la Commune d’Abéché</w:t>
      </w:r>
      <w:r>
        <w:rPr/>
        <w:t>. Elle obéit aux principes de bonne gouvernance, à savoir :</w:t>
      </w:r>
    </w:p>
    <w:p>
      <w:pPr>
        <w:pStyle w:val="BodyText"/>
        <w:numPr>
          <w:ilvl w:val="0"/>
          <w:numId w:val="9"/>
        </w:numPr>
        <w:tabs>
          <w:tab w:val="clear" w:pos="709"/>
          <w:tab w:val="left" w:pos="709" w:leader="none"/>
        </w:tabs>
        <w:bidi w:val="0"/>
        <w:ind w:hanging="283" w:start="709"/>
        <w:jc w:val="start"/>
        <w:rPr/>
      </w:pPr>
      <w:r>
        <w:rPr>
          <w:rStyle w:val="Strong"/>
        </w:rPr>
        <w:t>Traçabilité</w:t>
      </w:r>
      <w:r>
        <w:rPr/>
        <w:t xml:space="preserve"> de toutes les transactions financières ;</w:t>
      </w:r>
    </w:p>
    <w:p>
      <w:pPr>
        <w:pStyle w:val="BodyText"/>
        <w:numPr>
          <w:ilvl w:val="0"/>
          <w:numId w:val="9"/>
        </w:numPr>
        <w:tabs>
          <w:tab w:val="clear" w:pos="709"/>
          <w:tab w:val="left" w:pos="709" w:leader="none"/>
        </w:tabs>
        <w:bidi w:val="0"/>
        <w:ind w:hanging="283" w:start="709"/>
        <w:jc w:val="start"/>
        <w:rPr/>
      </w:pPr>
      <w:r>
        <w:rPr>
          <w:rStyle w:val="Strong"/>
        </w:rPr>
        <w:t>Double signature</w:t>
      </w:r>
      <w:r>
        <w:rPr/>
        <w:t xml:space="preserve"> pour les décaissements (Président + Rapporteur ou Secrétaire Général) ;</w:t>
      </w:r>
    </w:p>
    <w:p>
      <w:pPr>
        <w:pStyle w:val="BodyText"/>
        <w:numPr>
          <w:ilvl w:val="0"/>
          <w:numId w:val="9"/>
        </w:numPr>
        <w:tabs>
          <w:tab w:val="clear" w:pos="709"/>
          <w:tab w:val="left" w:pos="709" w:leader="none"/>
        </w:tabs>
        <w:bidi w:val="0"/>
        <w:ind w:hanging="283" w:start="709"/>
        <w:jc w:val="start"/>
        <w:rPr/>
      </w:pPr>
      <w:r>
        <w:rPr>
          <w:rStyle w:val="Strong"/>
        </w:rPr>
        <w:t>Tenue rigoureuse des registres comptables</w:t>
      </w:r>
      <w:r>
        <w:rPr/>
        <w:t xml:space="preserve"> et archivage sécurisé ;</w:t>
      </w:r>
    </w:p>
    <w:p>
      <w:pPr>
        <w:pStyle w:val="BodyText"/>
        <w:numPr>
          <w:ilvl w:val="0"/>
          <w:numId w:val="9"/>
        </w:numPr>
        <w:tabs>
          <w:tab w:val="clear" w:pos="709"/>
          <w:tab w:val="left" w:pos="709" w:leader="none"/>
        </w:tabs>
        <w:bidi w:val="0"/>
        <w:ind w:hanging="283" w:start="709"/>
        <w:jc w:val="start"/>
        <w:rPr/>
      </w:pPr>
      <w:r>
        <w:rPr>
          <w:rStyle w:val="Strong"/>
        </w:rPr>
        <w:t>Audit interne et externe</w:t>
      </w:r>
      <w:r>
        <w:rPr/>
        <w:t xml:space="preserve"> périodique si nécessaire, notamment pour les fonds provenant de partenaires.</w:t>
      </w:r>
    </w:p>
    <w:p>
      <w:pPr>
        <w:pStyle w:val="BodyText"/>
        <w:bidi w:val="0"/>
        <w:spacing w:lineRule="auto" w:line="276" w:before="0" w:after="140"/>
        <w:jc w:val="start"/>
        <w:rPr/>
      </w:pPr>
      <w:r>
        <w:rPr/>
        <w:t xml:space="preserve">Chaque année, un </w:t>
      </w:r>
      <w:r>
        <w:rPr>
          <w:rStyle w:val="Strong"/>
        </w:rPr>
        <w:t>rapport financier détaillé</w:t>
      </w:r>
      <w:r>
        <w:rPr/>
        <w:t xml:space="preserve"> est produit, incluant les sources de financement, les dépenses par poste budgétaire, les soldes, ainsi que les recommandations pour améliorer la gestion. Ce rapport est présenté à l’Assemblée Générale et partagé avec la Commune et les partenaires.</w:t>
      </w:r>
    </w:p>
    <w:p>
      <w:pPr>
        <w:pStyle w:val="Heading3"/>
        <w:numPr>
          <w:ilvl w:val="0"/>
          <w:numId w:val="0"/>
        </w:numPr>
        <w:bidi w:val="0"/>
        <w:spacing w:before="140" w:after="120"/>
        <w:jc w:val="start"/>
        <w:rPr/>
      </w:pPr>
      <w:r>
        <w:rPr/>
        <w:t xml:space="preserve"> </w:t>
      </w:r>
      <w:r>
        <w:rPr/>
        <w:t>d) Suivi-Évaluation et Redevabilité</w:t>
      </w:r>
    </w:p>
    <w:p>
      <w:pPr>
        <w:pStyle w:val="BodyText"/>
        <w:bidi w:val="0"/>
        <w:spacing w:lineRule="auto" w:line="276" w:before="0" w:after="140"/>
        <w:jc w:val="start"/>
        <w:rPr/>
      </w:pPr>
      <w:r>
        <w:rPr/>
        <w:t xml:space="preserve">Pour garantir l’efficacité des interventions et la bonne utilisation des ressources, le CCCA met en place un </w:t>
      </w:r>
      <w:r>
        <w:rPr>
          <w:rStyle w:val="Strong"/>
        </w:rPr>
        <w:t>système de suivi-évaluation participatif</w:t>
      </w:r>
      <w:r>
        <w:rPr/>
        <w:t>, comprenant :</w:t>
      </w:r>
    </w:p>
    <w:p>
      <w:pPr>
        <w:pStyle w:val="BodyText"/>
        <w:numPr>
          <w:ilvl w:val="0"/>
          <w:numId w:val="10"/>
        </w:numPr>
        <w:tabs>
          <w:tab w:val="clear" w:pos="709"/>
          <w:tab w:val="left" w:pos="709" w:leader="none"/>
        </w:tabs>
        <w:bidi w:val="0"/>
        <w:ind w:hanging="283" w:start="709"/>
        <w:jc w:val="start"/>
        <w:rPr/>
      </w:pPr>
      <w:r>
        <w:rPr/>
        <w:t xml:space="preserve">Un </w:t>
      </w:r>
      <w:r>
        <w:rPr>
          <w:rStyle w:val="Strong"/>
        </w:rPr>
        <w:t>rapport annuel d’activités</w:t>
      </w:r>
      <w:r>
        <w:rPr/>
        <w:t>, présentant les réalisations, les défis rencontrés et les perspectives ;</w:t>
      </w:r>
    </w:p>
    <w:p>
      <w:pPr>
        <w:pStyle w:val="BodyText"/>
        <w:numPr>
          <w:ilvl w:val="0"/>
          <w:numId w:val="10"/>
        </w:numPr>
        <w:tabs>
          <w:tab w:val="clear" w:pos="709"/>
          <w:tab w:val="left" w:pos="709" w:leader="none"/>
        </w:tabs>
        <w:bidi w:val="0"/>
        <w:ind w:hanging="283" w:start="709"/>
        <w:jc w:val="start"/>
        <w:rPr/>
      </w:pPr>
      <w:r>
        <w:rPr/>
        <w:t xml:space="preserve">Une </w:t>
      </w:r>
      <w:r>
        <w:rPr>
          <w:rStyle w:val="Strong"/>
        </w:rPr>
        <w:t>évaluation à mi-mandat</w:t>
      </w:r>
      <w:r>
        <w:rPr/>
        <w:t>, permettant d’ajuster les stratégies et d’améliorer la planification ;</w:t>
      </w:r>
    </w:p>
    <w:p>
      <w:pPr>
        <w:pStyle w:val="BodyText"/>
        <w:numPr>
          <w:ilvl w:val="0"/>
          <w:numId w:val="10"/>
        </w:numPr>
        <w:tabs>
          <w:tab w:val="clear" w:pos="709"/>
          <w:tab w:val="left" w:pos="709" w:leader="none"/>
        </w:tabs>
        <w:bidi w:val="0"/>
        <w:ind w:hanging="283" w:start="709"/>
        <w:jc w:val="start"/>
        <w:rPr/>
      </w:pPr>
      <w:r>
        <w:rPr/>
        <w:t xml:space="preserve">Des </w:t>
      </w:r>
      <w:r>
        <w:rPr>
          <w:rStyle w:val="Strong"/>
        </w:rPr>
        <w:t>indicateurs de performance</w:t>
      </w:r>
      <w:r>
        <w:rPr/>
        <w:t xml:space="preserve"> clairs (ex. nombre de réunions tenues, taux de participation, volume de ressources mobilisées, nombre d’actions réalisées, etc.) ;</w:t>
      </w:r>
    </w:p>
    <w:p>
      <w:pPr>
        <w:pStyle w:val="BodyText"/>
        <w:numPr>
          <w:ilvl w:val="0"/>
          <w:numId w:val="10"/>
        </w:numPr>
        <w:tabs>
          <w:tab w:val="clear" w:pos="709"/>
          <w:tab w:val="left" w:pos="709" w:leader="none"/>
        </w:tabs>
        <w:bidi w:val="0"/>
        <w:ind w:hanging="283" w:start="709"/>
        <w:jc w:val="start"/>
        <w:rPr/>
      </w:pPr>
      <w:r>
        <w:rPr/>
        <w:t xml:space="preserve">Des </w:t>
      </w:r>
      <w:r>
        <w:rPr>
          <w:rStyle w:val="Strong"/>
        </w:rPr>
        <w:t>mécanismes de feedback</w:t>
      </w:r>
      <w:r>
        <w:rPr/>
        <w:t xml:space="preserve"> avec les populations locales et les partenaires afin de renforcer la transparence et la confiance.</w:t>
      </w:r>
    </w:p>
    <w:p>
      <w:pPr>
        <w:pStyle w:val="Heading2"/>
        <w:numPr>
          <w:ilvl w:val="0"/>
          <w:numId w:val="0"/>
        </w:numPr>
        <w:bidi w:val="0"/>
        <w:spacing w:before="200" w:after="120"/>
        <w:jc w:val="start"/>
        <w:rPr/>
      </w:pPr>
      <w:r>
        <w:rPr/>
        <w:t>5. Gouvernance</w:t>
      </w:r>
    </w:p>
    <w:p>
      <w:pPr>
        <w:pStyle w:val="BodyText"/>
        <w:bidi w:val="0"/>
        <w:spacing w:lineRule="auto" w:line="276" w:before="0" w:after="140"/>
        <w:jc w:val="start"/>
        <w:rPr/>
      </w:pPr>
      <w:r>
        <w:rPr/>
        <w:t xml:space="preserve">Le dispositif de gouvernance du CCCA repose sur une </w:t>
      </w:r>
      <w:r>
        <w:rPr>
          <w:rStyle w:val="Strong"/>
        </w:rPr>
        <w:t>organisation structurée</w:t>
      </w:r>
      <w:r>
        <w:rPr/>
        <w:t xml:space="preserve">, des </w:t>
      </w:r>
      <w:r>
        <w:rPr>
          <w:rStyle w:val="Strong"/>
        </w:rPr>
        <w:t>rôles clairement définis</w:t>
      </w:r>
      <w:r>
        <w:rPr/>
        <w:t xml:space="preserve"> et des </w:t>
      </w:r>
      <w:r>
        <w:rPr>
          <w:rStyle w:val="Strong"/>
        </w:rPr>
        <w:t>règles internes rigoureuses</w:t>
      </w:r>
      <w:r>
        <w:rPr/>
        <w:t xml:space="preserve"> afin de garantir la légitimité, la cohérence et la continuité de ses actions.</w:t>
      </w:r>
    </w:p>
    <w:p>
      <w:pPr>
        <w:pStyle w:val="Heading3"/>
        <w:numPr>
          <w:ilvl w:val="0"/>
          <w:numId w:val="0"/>
        </w:numPr>
        <w:bidi w:val="0"/>
        <w:spacing w:before="140" w:after="120"/>
        <w:jc w:val="start"/>
        <w:rPr/>
      </w:pPr>
      <w:r>
        <w:rPr/>
        <w:t>a) Organes de Gouvernance</w:t>
      </w:r>
    </w:p>
    <w:p>
      <w:pPr>
        <w:pStyle w:val="BodyText"/>
        <w:numPr>
          <w:ilvl w:val="0"/>
          <w:numId w:val="11"/>
        </w:numPr>
        <w:tabs>
          <w:tab w:val="clear" w:pos="709"/>
          <w:tab w:val="left" w:pos="709" w:leader="none"/>
        </w:tabs>
        <w:bidi w:val="0"/>
        <w:ind w:hanging="283" w:start="709"/>
        <w:jc w:val="start"/>
        <w:rPr/>
      </w:pPr>
      <w:r>
        <w:rPr>
          <w:rStyle w:val="Strong"/>
        </w:rPr>
        <w:t>Président</w:t>
      </w:r>
      <w:r>
        <w:rPr/>
        <w:t xml:space="preserve"> :</w:t>
      </w:r>
    </w:p>
    <w:p>
      <w:pPr>
        <w:pStyle w:val="BodyText"/>
        <w:numPr>
          <w:ilvl w:val="1"/>
          <w:numId w:val="11"/>
        </w:numPr>
        <w:tabs>
          <w:tab w:val="clear" w:pos="709"/>
          <w:tab w:val="left" w:pos="1418" w:leader="none"/>
        </w:tabs>
        <w:bidi w:val="0"/>
        <w:ind w:hanging="283" w:start="1418"/>
        <w:jc w:val="start"/>
        <w:rPr/>
      </w:pPr>
      <w:r>
        <w:rPr/>
        <w:t>Représente le CCCA auprès des autorités et partenaires ;</w:t>
      </w:r>
    </w:p>
    <w:p>
      <w:pPr>
        <w:pStyle w:val="BodyText"/>
        <w:numPr>
          <w:ilvl w:val="1"/>
          <w:numId w:val="11"/>
        </w:numPr>
        <w:tabs>
          <w:tab w:val="clear" w:pos="709"/>
          <w:tab w:val="left" w:pos="1418" w:leader="none"/>
        </w:tabs>
        <w:bidi w:val="0"/>
        <w:ind w:hanging="283" w:start="1418"/>
        <w:jc w:val="start"/>
        <w:rPr/>
      </w:pPr>
      <w:r>
        <w:rPr/>
        <w:t>Assure la coordination globale et veille à l’intégration des recommandations du cadre dans les politiques communales ;</w:t>
      </w:r>
    </w:p>
    <w:p>
      <w:pPr>
        <w:pStyle w:val="BodyText"/>
        <w:numPr>
          <w:ilvl w:val="1"/>
          <w:numId w:val="11"/>
        </w:numPr>
        <w:tabs>
          <w:tab w:val="clear" w:pos="709"/>
          <w:tab w:val="left" w:pos="1418" w:leader="none"/>
        </w:tabs>
        <w:bidi w:val="0"/>
        <w:ind w:hanging="283" w:start="1418"/>
        <w:jc w:val="start"/>
        <w:rPr/>
      </w:pPr>
      <w:r>
        <w:rPr/>
        <w:t>Préside les sessions et valide les rapports.</w:t>
      </w:r>
    </w:p>
    <w:p>
      <w:pPr>
        <w:pStyle w:val="BodyText"/>
        <w:numPr>
          <w:ilvl w:val="0"/>
          <w:numId w:val="11"/>
        </w:numPr>
        <w:tabs>
          <w:tab w:val="clear" w:pos="709"/>
          <w:tab w:val="left" w:pos="709" w:leader="none"/>
        </w:tabs>
        <w:bidi w:val="0"/>
        <w:ind w:hanging="283" w:start="709"/>
        <w:jc w:val="start"/>
        <w:rPr/>
      </w:pPr>
      <w:r>
        <w:rPr>
          <w:rStyle w:val="Strong"/>
        </w:rPr>
        <w:t>Vice-président</w:t>
      </w:r>
      <w:r>
        <w:rPr/>
        <w:t xml:space="preserve"> :</w:t>
      </w:r>
    </w:p>
    <w:p>
      <w:pPr>
        <w:pStyle w:val="BodyText"/>
        <w:numPr>
          <w:ilvl w:val="1"/>
          <w:numId w:val="11"/>
        </w:numPr>
        <w:tabs>
          <w:tab w:val="clear" w:pos="709"/>
          <w:tab w:val="left" w:pos="1418" w:leader="none"/>
        </w:tabs>
        <w:bidi w:val="0"/>
        <w:ind w:hanging="283" w:start="1418"/>
        <w:jc w:val="start"/>
        <w:rPr/>
      </w:pPr>
      <w:r>
        <w:rPr/>
        <w:t>Supplée le Président en cas d’absence ;</w:t>
      </w:r>
    </w:p>
    <w:p>
      <w:pPr>
        <w:pStyle w:val="BodyText"/>
        <w:numPr>
          <w:ilvl w:val="1"/>
          <w:numId w:val="11"/>
        </w:numPr>
        <w:tabs>
          <w:tab w:val="clear" w:pos="709"/>
          <w:tab w:val="left" w:pos="1418" w:leader="none"/>
        </w:tabs>
        <w:bidi w:val="0"/>
        <w:ind w:hanging="283" w:start="1418"/>
        <w:jc w:val="start"/>
        <w:rPr/>
      </w:pPr>
      <w:r>
        <w:rPr/>
        <w:t>Joue un rôle actif dans la supervision opérationnelle et le suivi des activités.</w:t>
      </w:r>
    </w:p>
    <w:p>
      <w:pPr>
        <w:pStyle w:val="BodyText"/>
        <w:numPr>
          <w:ilvl w:val="0"/>
          <w:numId w:val="11"/>
        </w:numPr>
        <w:tabs>
          <w:tab w:val="clear" w:pos="709"/>
          <w:tab w:val="left" w:pos="709" w:leader="none"/>
        </w:tabs>
        <w:bidi w:val="0"/>
        <w:ind w:hanging="283" w:start="709"/>
        <w:jc w:val="start"/>
        <w:rPr/>
      </w:pPr>
      <w:r>
        <w:rPr>
          <w:rStyle w:val="Strong"/>
        </w:rPr>
        <w:t>Rapporteurs</w:t>
      </w:r>
      <w:r>
        <w:rPr/>
        <w:t xml:space="preserve"> :</w:t>
      </w:r>
    </w:p>
    <w:p>
      <w:pPr>
        <w:pStyle w:val="BodyText"/>
        <w:numPr>
          <w:ilvl w:val="1"/>
          <w:numId w:val="11"/>
        </w:numPr>
        <w:tabs>
          <w:tab w:val="clear" w:pos="709"/>
          <w:tab w:val="left" w:pos="1418" w:leader="none"/>
        </w:tabs>
        <w:bidi w:val="0"/>
        <w:ind w:hanging="283" w:start="1418"/>
        <w:jc w:val="start"/>
        <w:rPr/>
      </w:pPr>
      <w:r>
        <w:rPr/>
        <w:t>Responsables de la documentation officielle, des procès-verbaux, des convocations et de l’archivage ;</w:t>
      </w:r>
    </w:p>
    <w:p>
      <w:pPr>
        <w:pStyle w:val="BodyText"/>
        <w:numPr>
          <w:ilvl w:val="1"/>
          <w:numId w:val="11"/>
        </w:numPr>
        <w:tabs>
          <w:tab w:val="clear" w:pos="709"/>
          <w:tab w:val="left" w:pos="1418" w:leader="none"/>
        </w:tabs>
        <w:bidi w:val="0"/>
        <w:ind w:hanging="283" w:start="1418"/>
        <w:jc w:val="start"/>
        <w:rPr/>
      </w:pPr>
      <w:r>
        <w:rPr/>
        <w:t>Assurent la cohérence linguistique des documents (français–arabe).</w:t>
      </w:r>
    </w:p>
    <w:p>
      <w:pPr>
        <w:pStyle w:val="BodyText"/>
        <w:numPr>
          <w:ilvl w:val="0"/>
          <w:numId w:val="11"/>
        </w:numPr>
        <w:tabs>
          <w:tab w:val="clear" w:pos="709"/>
          <w:tab w:val="left" w:pos="709" w:leader="none"/>
        </w:tabs>
        <w:bidi w:val="0"/>
        <w:ind w:hanging="283" w:start="709"/>
        <w:jc w:val="start"/>
        <w:rPr/>
      </w:pPr>
      <w:r>
        <w:rPr>
          <w:rStyle w:val="Strong"/>
        </w:rPr>
        <w:t>Chargé de communication</w:t>
      </w:r>
      <w:r>
        <w:rPr/>
        <w:t xml:space="preserve"> :</w:t>
      </w:r>
    </w:p>
    <w:p>
      <w:pPr>
        <w:pStyle w:val="BodyText"/>
        <w:numPr>
          <w:ilvl w:val="1"/>
          <w:numId w:val="11"/>
        </w:numPr>
        <w:tabs>
          <w:tab w:val="clear" w:pos="709"/>
          <w:tab w:val="left" w:pos="1418" w:leader="none"/>
        </w:tabs>
        <w:bidi w:val="0"/>
        <w:ind w:hanging="283" w:start="1418"/>
        <w:jc w:val="start"/>
        <w:rPr/>
      </w:pPr>
      <w:r>
        <w:rPr/>
        <w:t>Développe la stratégie de communication interne et externe ;</w:t>
      </w:r>
    </w:p>
    <w:p>
      <w:pPr>
        <w:pStyle w:val="BodyText"/>
        <w:numPr>
          <w:ilvl w:val="1"/>
          <w:numId w:val="11"/>
        </w:numPr>
        <w:tabs>
          <w:tab w:val="clear" w:pos="709"/>
          <w:tab w:val="left" w:pos="1418" w:leader="none"/>
        </w:tabs>
        <w:bidi w:val="0"/>
        <w:ind w:hanging="283" w:start="1418"/>
        <w:jc w:val="start"/>
        <w:rPr/>
      </w:pPr>
      <w:r>
        <w:rPr/>
        <w:t>Assure la visibilité publique des activités ;</w:t>
      </w:r>
    </w:p>
    <w:p>
      <w:pPr>
        <w:pStyle w:val="BodyText"/>
        <w:numPr>
          <w:ilvl w:val="1"/>
          <w:numId w:val="11"/>
        </w:numPr>
        <w:tabs>
          <w:tab w:val="clear" w:pos="709"/>
          <w:tab w:val="left" w:pos="1418" w:leader="none"/>
        </w:tabs>
        <w:bidi w:val="0"/>
        <w:ind w:hanging="283" w:start="1418"/>
        <w:jc w:val="start"/>
        <w:rPr/>
      </w:pPr>
      <w:r>
        <w:rPr/>
        <w:t>Anime les canaux de diffusion d’informations (communiqués, réseaux sociaux, relations médias).</w:t>
      </w:r>
    </w:p>
    <w:p>
      <w:pPr>
        <w:pStyle w:val="BodyText"/>
        <w:numPr>
          <w:ilvl w:val="0"/>
          <w:numId w:val="11"/>
        </w:numPr>
        <w:tabs>
          <w:tab w:val="clear" w:pos="709"/>
          <w:tab w:val="left" w:pos="709" w:leader="none"/>
        </w:tabs>
        <w:bidi w:val="0"/>
        <w:ind w:hanging="283" w:start="709"/>
        <w:jc w:val="start"/>
        <w:rPr/>
      </w:pPr>
      <w:r>
        <w:rPr>
          <w:rStyle w:val="Strong"/>
        </w:rPr>
        <w:t>Membres</w:t>
      </w:r>
      <w:r>
        <w:rPr/>
        <w:t xml:space="preserve"> :</w:t>
      </w:r>
    </w:p>
    <w:p>
      <w:pPr>
        <w:pStyle w:val="BodyText"/>
        <w:numPr>
          <w:ilvl w:val="1"/>
          <w:numId w:val="11"/>
        </w:numPr>
        <w:tabs>
          <w:tab w:val="clear" w:pos="709"/>
          <w:tab w:val="left" w:pos="1418" w:leader="none"/>
        </w:tabs>
        <w:bidi w:val="0"/>
        <w:ind w:hanging="283" w:start="1418"/>
        <w:jc w:val="start"/>
        <w:rPr/>
      </w:pPr>
      <w:r>
        <w:rPr/>
        <w:t>Participent activement aux travaux et aux décisions ;</w:t>
      </w:r>
    </w:p>
    <w:p>
      <w:pPr>
        <w:pStyle w:val="BodyText"/>
        <w:numPr>
          <w:ilvl w:val="1"/>
          <w:numId w:val="11"/>
        </w:numPr>
        <w:tabs>
          <w:tab w:val="clear" w:pos="709"/>
          <w:tab w:val="left" w:pos="1418" w:leader="none"/>
        </w:tabs>
        <w:bidi w:val="0"/>
        <w:ind w:hanging="283" w:start="1418"/>
        <w:jc w:val="start"/>
        <w:rPr/>
      </w:pPr>
      <w:r>
        <w:rPr/>
        <w:t>Représentent leurs institutions respectives ;</w:t>
      </w:r>
    </w:p>
    <w:p>
      <w:pPr>
        <w:pStyle w:val="BodyText"/>
        <w:numPr>
          <w:ilvl w:val="1"/>
          <w:numId w:val="11"/>
        </w:numPr>
        <w:tabs>
          <w:tab w:val="clear" w:pos="709"/>
          <w:tab w:val="left" w:pos="1418" w:leader="none"/>
        </w:tabs>
        <w:bidi w:val="0"/>
        <w:ind w:hanging="283" w:start="1418"/>
        <w:jc w:val="start"/>
        <w:rPr/>
      </w:pPr>
      <w:r>
        <w:rPr/>
        <w:t>Rendent compte à leurs structures d’origine et soumettent des rapports trimestriels.</w:t>
      </w:r>
    </w:p>
    <w:p>
      <w:pPr>
        <w:pStyle w:val="Heading3"/>
        <w:numPr>
          <w:ilvl w:val="0"/>
          <w:numId w:val="0"/>
        </w:numPr>
        <w:bidi w:val="0"/>
        <w:spacing w:before="140" w:after="120"/>
        <w:jc w:val="start"/>
        <w:rPr/>
      </w:pPr>
      <w:r>
        <w:rPr/>
        <w:t>b) Discipline et Intégrité</w:t>
      </w:r>
    </w:p>
    <w:p>
      <w:pPr>
        <w:pStyle w:val="BodyText"/>
        <w:bidi w:val="0"/>
        <w:spacing w:lineRule="auto" w:line="276" w:before="0" w:after="140"/>
        <w:jc w:val="start"/>
        <w:rPr/>
      </w:pPr>
      <w:r>
        <w:rPr/>
        <w:t>La crédibilité du CCCA repose sur le respect strict des règles de conduite.</w:t>
        <w:br/>
        <w:t>À cet effet :</w:t>
      </w:r>
    </w:p>
    <w:p>
      <w:pPr>
        <w:pStyle w:val="BodyText"/>
        <w:numPr>
          <w:ilvl w:val="0"/>
          <w:numId w:val="12"/>
        </w:numPr>
        <w:tabs>
          <w:tab w:val="clear" w:pos="709"/>
          <w:tab w:val="left" w:pos="709" w:leader="none"/>
        </w:tabs>
        <w:bidi w:val="0"/>
        <w:ind w:hanging="283" w:start="709"/>
        <w:jc w:val="start"/>
        <w:rPr/>
      </w:pPr>
      <w:r>
        <w:rPr>
          <w:rStyle w:val="Strong"/>
        </w:rPr>
        <w:t>Trois absences non justifiées</w:t>
      </w:r>
      <w:r>
        <w:rPr/>
        <w:t xml:space="preserve"> entraînent un avertissement écrit ;</w:t>
      </w:r>
    </w:p>
    <w:p>
      <w:pPr>
        <w:pStyle w:val="BodyText"/>
        <w:numPr>
          <w:ilvl w:val="0"/>
          <w:numId w:val="12"/>
        </w:numPr>
        <w:tabs>
          <w:tab w:val="clear" w:pos="709"/>
          <w:tab w:val="left" w:pos="709" w:leader="none"/>
        </w:tabs>
        <w:bidi w:val="0"/>
        <w:ind w:hanging="283" w:start="709"/>
        <w:jc w:val="start"/>
        <w:rPr/>
      </w:pPr>
      <w:r>
        <w:rPr>
          <w:rStyle w:val="Strong"/>
        </w:rPr>
        <w:t>Tout manquement grave</w:t>
      </w:r>
      <w:r>
        <w:rPr/>
        <w:t xml:space="preserve"> (corruption, instrumentalisation politique ou religieuse, atteinte à l’image de l’institution) entraîne une révocation ;</w:t>
      </w:r>
    </w:p>
    <w:p>
      <w:pPr>
        <w:pStyle w:val="BodyText"/>
        <w:numPr>
          <w:ilvl w:val="0"/>
          <w:numId w:val="12"/>
        </w:numPr>
        <w:tabs>
          <w:tab w:val="clear" w:pos="709"/>
          <w:tab w:val="left" w:pos="709" w:leader="none"/>
        </w:tabs>
        <w:bidi w:val="0"/>
        <w:ind w:hanging="283" w:start="709"/>
        <w:jc w:val="start"/>
        <w:rPr/>
      </w:pPr>
      <w:r>
        <w:rPr/>
        <w:t xml:space="preserve">Le </w:t>
      </w:r>
      <w:r>
        <w:rPr>
          <w:rStyle w:val="Strong"/>
        </w:rPr>
        <w:t>remplacement</w:t>
      </w:r>
      <w:r>
        <w:rPr/>
        <w:t xml:space="preserve"> du membre révoqué est assuré par son organisation d’origine, selon ses procédures internes.</w:t>
      </w:r>
    </w:p>
    <w:p>
      <w:pPr>
        <w:pStyle w:val="BodyText"/>
        <w:bidi w:val="0"/>
        <w:spacing w:lineRule="auto" w:line="276" w:before="0" w:after="140"/>
        <w:jc w:val="start"/>
        <w:rPr/>
      </w:pPr>
      <w:r>
        <w:rPr/>
        <w:t>Ces mesures disciplinaires garantissent un engagement réel et une participation de qualité des membres.</w:t>
      </w:r>
    </w:p>
    <w:p>
      <w:pPr>
        <w:pStyle w:val="Heading3"/>
        <w:numPr>
          <w:ilvl w:val="0"/>
          <w:numId w:val="0"/>
        </w:numPr>
        <w:bidi w:val="0"/>
        <w:spacing w:before="140" w:after="120"/>
        <w:jc w:val="start"/>
        <w:rPr/>
      </w:pPr>
      <w:r>
        <w:rPr/>
        <w:t>c) Règles Institutionnelles</w:t>
      </w:r>
    </w:p>
    <w:p>
      <w:pPr>
        <w:pStyle w:val="BodyText"/>
        <w:numPr>
          <w:ilvl w:val="0"/>
          <w:numId w:val="13"/>
        </w:numPr>
        <w:tabs>
          <w:tab w:val="clear" w:pos="709"/>
          <w:tab w:val="left" w:pos="709" w:leader="none"/>
        </w:tabs>
        <w:bidi w:val="0"/>
        <w:ind w:hanging="283" w:start="709"/>
        <w:jc w:val="start"/>
        <w:rPr/>
      </w:pPr>
      <w:r>
        <w:rPr>
          <w:rStyle w:val="Strong"/>
        </w:rPr>
        <w:t>Modification du règlement intérieur</w:t>
      </w:r>
      <w:r>
        <w:rPr/>
        <w:t xml:space="preserve"> :</w:t>
      </w:r>
    </w:p>
    <w:p>
      <w:pPr>
        <w:pStyle w:val="BodyText"/>
        <w:numPr>
          <w:ilvl w:val="1"/>
          <w:numId w:val="13"/>
        </w:numPr>
        <w:tabs>
          <w:tab w:val="clear" w:pos="709"/>
          <w:tab w:val="left" w:pos="1418" w:leader="none"/>
        </w:tabs>
        <w:bidi w:val="0"/>
        <w:ind w:hanging="283" w:start="1418"/>
        <w:jc w:val="start"/>
        <w:rPr/>
      </w:pPr>
      <w:r>
        <w:rPr/>
        <w:t>Se fait en Assemblée Générale ;</w:t>
      </w:r>
    </w:p>
    <w:p>
      <w:pPr>
        <w:pStyle w:val="BodyText"/>
        <w:numPr>
          <w:ilvl w:val="1"/>
          <w:numId w:val="13"/>
        </w:numPr>
        <w:tabs>
          <w:tab w:val="clear" w:pos="709"/>
          <w:tab w:val="left" w:pos="1418" w:leader="none"/>
        </w:tabs>
        <w:bidi w:val="0"/>
        <w:ind w:hanging="283" w:start="1418"/>
        <w:jc w:val="start"/>
        <w:rPr/>
      </w:pPr>
      <w:r>
        <w:rPr/>
        <w:t>Nécessite une majorité simple des membres présents ;</w:t>
      </w:r>
    </w:p>
    <w:p>
      <w:pPr>
        <w:pStyle w:val="BodyText"/>
        <w:numPr>
          <w:ilvl w:val="1"/>
          <w:numId w:val="13"/>
        </w:numPr>
        <w:tabs>
          <w:tab w:val="clear" w:pos="709"/>
          <w:tab w:val="left" w:pos="1418" w:leader="none"/>
        </w:tabs>
        <w:bidi w:val="0"/>
        <w:ind w:hanging="283" w:start="1418"/>
        <w:jc w:val="start"/>
        <w:rPr/>
      </w:pPr>
      <w:r>
        <w:rPr/>
        <w:t>Toute modification est consignée officiellement et traduite dans les deux langues.</w:t>
      </w:r>
    </w:p>
    <w:p>
      <w:pPr>
        <w:pStyle w:val="BodyText"/>
        <w:numPr>
          <w:ilvl w:val="0"/>
          <w:numId w:val="13"/>
        </w:numPr>
        <w:tabs>
          <w:tab w:val="clear" w:pos="709"/>
          <w:tab w:val="left" w:pos="709" w:leader="none"/>
        </w:tabs>
        <w:bidi w:val="0"/>
        <w:ind w:hanging="283" w:start="709"/>
        <w:jc w:val="start"/>
        <w:rPr/>
      </w:pPr>
      <w:r>
        <w:rPr>
          <w:rStyle w:val="Strong"/>
        </w:rPr>
        <w:t>Dissolution éventuelle</w:t>
      </w:r>
      <w:r>
        <w:rPr/>
        <w:t xml:space="preserve"> :</w:t>
      </w:r>
    </w:p>
    <w:p>
      <w:pPr>
        <w:pStyle w:val="BodyText"/>
        <w:numPr>
          <w:ilvl w:val="1"/>
          <w:numId w:val="13"/>
        </w:numPr>
        <w:tabs>
          <w:tab w:val="clear" w:pos="709"/>
          <w:tab w:val="left" w:pos="1418" w:leader="none"/>
        </w:tabs>
        <w:bidi w:val="0"/>
        <w:ind w:hanging="283" w:start="1418"/>
        <w:jc w:val="start"/>
        <w:rPr/>
      </w:pPr>
      <w:r>
        <w:rPr/>
        <w:t xml:space="preserve">Décidée uniquement par </w:t>
      </w:r>
      <w:r>
        <w:rPr>
          <w:rStyle w:val="Strong"/>
        </w:rPr>
        <w:t>majorité absolue</w:t>
      </w:r>
      <w:r>
        <w:rPr/>
        <w:t xml:space="preserve"> du Conseil Municipal ;</w:t>
      </w:r>
    </w:p>
    <w:p>
      <w:pPr>
        <w:pStyle w:val="BodyText"/>
        <w:numPr>
          <w:ilvl w:val="1"/>
          <w:numId w:val="13"/>
        </w:numPr>
        <w:tabs>
          <w:tab w:val="clear" w:pos="709"/>
          <w:tab w:val="left" w:pos="1418" w:leader="none"/>
        </w:tabs>
        <w:bidi w:val="0"/>
        <w:ind w:hanging="283" w:start="1418"/>
        <w:jc w:val="start"/>
        <w:rPr/>
      </w:pPr>
      <w:r>
        <w:rPr/>
        <w:t xml:space="preserve">Accompagnée de la </w:t>
      </w:r>
      <w:r>
        <w:rPr>
          <w:rStyle w:val="Strong"/>
        </w:rPr>
        <w:t>mise en place d’un comité ad hoc</w:t>
      </w:r>
      <w:r>
        <w:rPr/>
        <w:t xml:space="preserve"> chargé de la transition et de la liquidation des affaires courantes ;</w:t>
      </w:r>
    </w:p>
    <w:p>
      <w:pPr>
        <w:pStyle w:val="BodyText"/>
        <w:numPr>
          <w:ilvl w:val="1"/>
          <w:numId w:val="13"/>
        </w:numPr>
        <w:tabs>
          <w:tab w:val="clear" w:pos="709"/>
          <w:tab w:val="left" w:pos="1418" w:leader="none"/>
        </w:tabs>
        <w:bidi w:val="0"/>
        <w:ind w:hanging="283" w:start="1418"/>
        <w:jc w:val="start"/>
        <w:rPr/>
      </w:pPr>
      <w:r>
        <w:rPr/>
        <w:t>Un rapport de clôture est établi afin d’assurer une traçabilité complète.</w:t>
      </w:r>
    </w:p>
    <w:p>
      <w:pPr>
        <w:pStyle w:val="BodyText"/>
        <w:bidi w:val="0"/>
        <w:spacing w:lineRule="auto" w:line="276" w:before="0" w:after="140"/>
        <w:jc w:val="start"/>
        <w:rPr>
          <w:rStyle w:val="Strong"/>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96"/>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fr-FR" w:eastAsia="zh-CN" w:bidi="hi-IN"/>
    </w:rPr>
  </w:style>
  <w:style w:type="paragraph" w:styleId="Heading2">
    <w:name w:val="Heading 2"/>
    <w:basedOn w:val="Titre"/>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itre"/>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6</Pages>
  <Words>1630</Words>
  <Characters>9678</Characters>
  <CharactersWithSpaces>11141</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2025-10-07T18:43:11Z</dcterms:created>
  <dc:creator/>
  <dc:description/>
  <dc:language>fr-FR</dc:language>
  <cp:lastModifiedBy/>
  <dcterms:modified xsi:type="dcterms:W3CDTF">2025-10-07T18:59:34Z</dcterms:modified>
  <cp:revision>1</cp:revision>
  <dc:subject/>
  <dc:title/>
</cp:coreProperties>
</file>