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&lt;!- SGM - removed "symbols and conventions from title and renumbered from [3.1.x] to [3.x] –&gt;</w:t>
      </w:r>
    </w:p>
    <w:p>
      <w:pPr>
        <w:pStyle w:val="BodyText"/>
      </w:pPr>
      <w:r>
        <w:t xml:space="preserve">For the purposes of this document, the terms and definitions given in</w:t>
      </w:r>
      <w:r>
        <w:t xml:space="preserve"> </w:t>
      </w:r>
      <w:r>
        <w:t xml:space="preserve">ISO/IEC 2382, in TR 24772–1, in 14882:2014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rPr>
        <w:t xml:space="preserve">access protection</w:t>
      </w:r>
      <w:r>
        <w:t xml:space="preserve">:</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w:t>
      </w:r>
      <w:r>
        <w:t xml:space="preserve"> </w:t>
      </w:r>
      <w:r>
        <w:t xml:space="preserve">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1"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contains NaNs.</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members.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avoid assigning integer values that are outside the range of the enumeration’s underlying type.</w:t>
      </w:r>
    </w:p>
    <w:p>
      <w:pPr>
        <w:numPr>
          <w:ilvl w:val="1"/>
          <w:numId w:val="1018"/>
        </w:numPr>
      </w:pPr>
      <w:r>
        <w:t xml:space="preserve">For an enumeration type with no fixed underlying type, avoid assigning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r>
        <w:t xml:space="preserve"> </w:t>
      </w: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This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clause 6.8 exists</w:t>
      </w:r>
      <w:r>
        <w:t xml:space="preserve"> </w:t>
      </w:r>
      <w:r>
        <w:t xml:space="preserve">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a container, one need to ensure that those iterators are and remain valid.</w:t>
      </w:r>
      <w:r>
        <w:t xml:space="preserve"> </w:t>
      </w:r>
      <w:r>
        <w:t xml:space="preserve">For example, for a container</w:t>
      </w:r>
      <w:r>
        <w:t xml:space="preserve"> </w:t>
      </w:r>
      <w:r>
        <w:rPr>
          <w:rStyle w:val="VerbatimChar"/>
        </w:rPr>
        <w:t xml:space="preserve">c</w:t>
      </w:r>
      <w:r>
        <w:t xml:space="preserve"> </w:t>
      </w:r>
      <w:r>
        <w:t xml:space="preserve">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 transform algorithm.</w:t>
      </w:r>
      <w:r>
        <w:t xml:space="preserve"> </w:t>
      </w:r>
      <w:r>
        <w:t xml:space="preserve">Potential errors due to a boundary violation could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problem occurs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Another way that overflows can occur is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can make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w:t>
      </w:r>
      <w:r>
        <w:t xml:space="preserve"> </w:t>
      </w:r>
      <w:r>
        <w:t xml:space="preserve">C++ provides several means of keeping the array dimension available to the called function:</w:t>
      </w:r>
    </w:p>
    <w:p>
      <w:pPr>
        <w:numPr>
          <w:ilvl w:val="0"/>
          <w:numId w:val="1026"/>
        </w:numPr>
        <w:pStyle w:val="Compact"/>
      </w:pPr>
      <w:r>
        <w:t xml:space="preserve">use</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use</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use</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use</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Use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 for loop construct to iterate within the defined bounds of a range.</w:t>
      </w:r>
    </w:p>
    <w:p>
      <w:pPr>
        <w:numPr>
          <w:ilvl w:val="0"/>
          <w:numId w:val="1028"/>
        </w:numPr>
      </w:pPr>
      <w:r>
        <w:t xml:space="preserve">Ensure that ranges and iterators used by range-for or passed to algorithms are and remain valid.</w:t>
      </w:r>
    </w:p>
    <w:p>
      <w:pPr>
        <w:numPr>
          <w:ilvl w:val="0"/>
          <w:numId w:val="1028"/>
        </w:numPr>
      </w:pPr>
      <w:r>
        <w:t xml:space="preserve">When performing random access by indexing, use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ISO/IEC TR 24772-1:2019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However, 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 The call in question then changes its</w:t>
      </w:r>
      <w:r>
        <w:t xml:space="preserve"> </w:t>
      </w:r>
      <w:r>
        <w:t xml:space="preserve">binding without warning upon its next compilation. For cases, where the preference</w:t>
      </w:r>
      <w:r>
        <w:t xml:space="preserve"> </w:t>
      </w:r>
      <w:r>
        <w:t xml:space="preserve">rules do not resolve the ambiguity, the resulting error message by the compiler</w:t>
      </w:r>
      <w:r>
        <w:t xml:space="preserve"> </w:t>
      </w:r>
      <w:r>
        <w:t xml:space="preserve">avoids the vulnerability.</w:t>
      </w:r>
      <w:r>
        <w:t xml:space="preserve"> </w:t>
      </w:r>
      <w:r>
        <w:t xml:space="preserve">Function template specializations are not considered during overload resolution, only the base template</w:t>
      </w:r>
      <w:r>
        <w:t xml:space="preserve"> </w:t>
      </w:r>
      <w:r>
        <w:t xml:space="preserve">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requires implicitly conversion</w:t>
      </w:r>
      <w:r>
        <w:br/>
      </w:r>
      <w:r>
        <w:rPr>
          <w:rStyle w:val="NormalTok"/>
        </w:rPr>
        <w:t xml:space="preserve">                   </w:t>
      </w:r>
      <w:r>
        <w:rPr>
          <w:rStyle w:val="CommentTok"/>
        </w:rPr>
        <w:t xml:space="preserve">// from 'int' to 'long'.   The function 'foo(int)' </w:t>
      </w:r>
      <w:r>
        <w:br/>
      </w:r>
      <w:r>
        <w:rPr>
          <w:rStyle w:val="NormalTok"/>
        </w:rPr>
        <w:t xml:space="preserve">                   </w:t>
      </w:r>
      <w:r>
        <w:rPr>
          <w:rStyle w:val="CommentTok"/>
        </w:rPr>
        <w:t xml:space="preserve">// would be a "better match" and so would silently</w:t>
      </w:r>
      <w:r>
        <w:br/>
      </w:r>
      <w:r>
        <w:rPr>
          <w:rStyle w:val="NormalTok"/>
        </w:rPr>
        <w:t xml:space="preserve">                   </w:t>
      </w:r>
      <w:r>
        <w:rPr>
          <w:rStyle w:val="CommentTok"/>
        </w:rPr>
        <w:t xml:space="preserve">// be chosen when subsequently introduced</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 Where lookup searches</w:t>
      </w:r>
      <w:r>
        <w:t xml:space="preserve"> </w:t>
      </w:r>
      <w:r>
        <w:t xml:space="preserve">a namespace referred to by a</w:t>
      </w:r>
      <w:r>
        <w:t xml:space="preserve"> </w:t>
      </w:r>
      <w:r>
        <w:rPr>
          <w:rStyle w:val="KeywordTok"/>
        </w:rPr>
        <w:t xml:space="preserve">using</w:t>
      </w:r>
      <w:r>
        <w:t xml:space="preserve"> </w:t>
      </w:r>
      <w:r>
        <w:t xml:space="preserve">directive, all names in that namespace</w:t>
      </w:r>
      <w:r>
        <w:t xml:space="preserve"> </w:t>
      </w:r>
      <w:r>
        <w:t xml:space="preserve">will be visible some of which may be</w:t>
      </w:r>
      <w:r>
        <w:t xml:space="preserve"> </w:t>
      </w:r>
      <w:r>
        <w:t xml:space="preserve">unwanted. A using 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Arguments to called functions should not be subject to implicit conversions.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w:t>
      </w:r>
    </w:p>
    <w:p>
      <w:pPr>
        <w:pStyle w:val="BodyText"/>
      </w:pPr>
      <w:r>
        <w:t xml:space="preserve">An instantiated template follows the same reachability rules as would be followed for the non-template case.</w:t>
      </w:r>
    </w:p>
    <w:p>
      <w:pPr>
        <w:pStyle w:val="BodyText"/>
      </w:pPr>
      <w:r>
        <w:t xml:space="preserve">This clause does not consider:</w:t>
      </w:r>
      <w:r>
        <w:t xml:space="preserve"> </w:t>
      </w:r>
      <w:r>
        <w:t xml:space="preserve">- discarded statements that are intentionally unreachable, e.g., through branches of the `if constexpr’{.cpp} statement.</w:t>
      </w:r>
      <w:r>
        <w:br/>
      </w:r>
      <w:r>
        <w:t xml:space="preserve">- commented out code;</w:t>
      </w:r>
      <w:r>
        <w:t xml:space="preserve"> </w:t>
      </w:r>
      <w:r>
        <w:t xml:space="preserve">- an uninstantiated template;</w:t>
      </w:r>
      <w:r>
        <w:t xml:space="preserve"> </w:t>
      </w:r>
      <w:r>
        <w:t xml:space="preserve">- code excluded using the C++ preprocessor</w:t>
      </w:r>
      <w:r>
        <w:t xml:space="preserve"> </w:t>
      </w:r>
      <w:r>
        <w:t xml:space="preserve">as these do not result in the generation of code.</w:t>
      </w:r>
    </w:p>
    <w:p>
      <w:pPr>
        <w:pStyle w:val="BodyText"/>
      </w:pPr>
      <w:r>
        <w:t xml:space="preserve">C++ provides the</w:t>
      </w:r>
      <w:r>
        <w:t xml:space="preserve"> </w:t>
      </w:r>
      <w:r>
        <w:rPr>
          <w:rStyle w:val="NormalTok"/>
        </w:rPr>
        <w:t xml:space="preserve">= </w:t>
      </w:r>
      <w:r>
        <w:rPr>
          <w:rStyle w:val="KeywordTok"/>
        </w:rPr>
        <w:t xml:space="preserve">delete</w:t>
      </w:r>
      <w:r>
        <w:t xml:space="preserve"> </w:t>
      </w:r>
      <w:r>
        <w:t xml:space="preserve">definition that can be used to mark that a (possibly overloaded) function is intentionally deactivated.</w:t>
      </w:r>
    </w:p>
    <w:p>
      <w:pPr>
        <w:pStyle w:val="SourceCode"/>
      </w:pPr>
      <w:r>
        <w:rPr>
          <w:rStyle w:val="NormalTok"/>
        </w:rPr>
        <w:t xml:space="preserve">   </w:t>
      </w:r>
      <w:r>
        <w:rPr>
          <w:rStyle w:val="BuiltInTok"/>
        </w:rPr>
        <w:t xml:space="preserve">std::</w:t>
      </w:r>
      <w:r>
        <w:rPr>
          <w:rStyle w:val="NormalTok"/>
        </w:rPr>
        <w:t xml:space="preserve">string foo(</w:t>
      </w:r>
      <w:r>
        <w:rPr>
          <w:rStyle w:val="DataTypeTok"/>
        </w:rPr>
        <w:t xml:space="preserve">int</w:t>
      </w:r>
      <w:r>
        <w:rPr>
          <w:rStyle w:val="NormalTok"/>
        </w:rPr>
        <w:t xml:space="preserve">) = </w:t>
      </w:r>
      <w:r>
        <w:rPr>
          <w:rStyle w:val="KeywordTok"/>
        </w:rPr>
        <w:t xml:space="preserve">delete</w:t>
      </w:r>
      <w:r>
        <w:rPr>
          <w:rStyle w:val="NormalTok"/>
        </w:rPr>
        <w:t xml:space="preserve">;</w:t>
      </w:r>
      <w:r>
        <w:br/>
      </w:r>
      <w:r>
        <w:rPr>
          <w:rStyle w:val="NormalTok"/>
        </w:rPr>
        <w:t xml:space="preserve">   </w:t>
      </w:r>
      <w:r>
        <w:rPr>
          <w:rStyle w:val="BuiltInTok"/>
        </w:rPr>
        <w:t xml:space="preserve">std::</w:t>
      </w:r>
      <w:r>
        <w:rPr>
          <w:rStyle w:val="NormalTok"/>
        </w:rPr>
        <w:t xml:space="preserve">string foo(</w:t>
      </w:r>
      <w:r>
        <w:rPr>
          <w:rStyle w:val="DataTypeTok"/>
        </w:rPr>
        <w:t xml:space="preserve">char</w:t>
      </w:r>
      <w:r>
        <w:rPr>
          <w:rStyle w:val="NormalTok"/>
        </w:rPr>
        <w:t xml:space="preserve">);</w:t>
      </w:r>
      <w:r>
        <w:br/>
      </w:r>
      <w:r>
        <w:rPr>
          <w:rStyle w:val="NormalTok"/>
        </w:rPr>
        <w:t xml:space="preserve">   </w:t>
      </w:r>
      <w:r>
        <w:rPr>
          <w:rStyle w:val="KeywordTok"/>
        </w:rPr>
        <w:t xml:space="preserve">auto</w:t>
      </w:r>
      <w:r>
        <w:rPr>
          <w:rStyle w:val="NormalTok"/>
        </w:rPr>
        <w:t xml:space="preserve"> s = foo(</w:t>
      </w:r>
      <w:r>
        <w:rPr>
          <w:rStyle w:val="DecValTok"/>
        </w:rPr>
        <w:t xml:space="preserve">0</w:t>
      </w:r>
      <w:r>
        <w:rPr>
          <w:rStyle w:val="NormalTok"/>
        </w:rPr>
        <w:t xml:space="preserve">); </w:t>
      </w:r>
      <w:r>
        <w:rPr>
          <w:rStyle w:val="CommentTok"/>
        </w:rPr>
        <w:t xml:space="preserve">// compiler error - selected function is deleted.</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OtherTok"/>
        </w:rPr>
        <w:t xml:space="preserve">assert</w:t>
      </w:r>
      <w:r>
        <w:rPr>
          <w:rStyle w:val="NormalTok"/>
        </w:rPr>
        <w:t xml:space="preserve">(</w:t>
      </w:r>
      <w:r>
        <w:rPr>
          <w:rStyle w:val="KeywordTok"/>
        </w:rPr>
        <w:t xml:space="preserve">false</w:t>
      </w:r>
      <w:r>
        <w:rPr>
          <w:rStyle w:val="NormalTok"/>
        </w:rPr>
        <w:t xml:space="preserv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unintended execution of statements for</w:t>
      </w:r>
      <w:r>
        <w:t xml:space="preserve"> </w:t>
      </w:r>
      <w:r>
        <w:t xml:space="preserve">some cases.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simply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could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Use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ISO/IEC 24772-3 clause 6.36 for details and guidance.</w:t>
      </w:r>
    </w:p>
    <w:p>
      <w:pPr>
        <w:pStyle w:val="BodyText"/>
      </w:pPr>
      <w:r>
        <w:t xml:space="preserve">In addition to</w:t>
      </w:r>
      <w:r>
        <w:t xml:space="preserve"> </w:t>
      </w:r>
      <w:r>
        <w:rPr>
          <w:rStyle w:val="VerbatimChar"/>
        </w:rPr>
        <w:t xml:space="preserve">errno</w:t>
      </w:r>
      <w:r>
        <w:t xml:space="preserve"> </w:t>
      </w:r>
      <w:r>
        <w:t xml:space="preserve">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is too easy to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may be detected by checks that are performed by the standard library. In addition, the programmer may define exceptions that are appropriate for their application.</w:t>
      </w:r>
      <w:r>
        <w:t xml:space="preserve"> </w:t>
      </w:r>
      <w:r>
        <w:t xml:space="preserve">These exceptions are handled using an exception handler.</w:t>
      </w:r>
      <w:r>
        <w:t xml:space="preserve"> </w:t>
      </w:r>
      <w:r>
        <w:t xml:space="preserve">Exceptions may be handled in the environment where the</w:t>
      </w:r>
      <w:r>
        <w:t xml:space="preserve"> </w:t>
      </w:r>
      <w:r>
        <w:t xml:space="preserve">exception occurs or may be propagated out to an enclosing scope.</w:t>
      </w:r>
      <w:r>
        <w:t xml:space="preserve"> </w:t>
      </w:r>
      <w:r>
        <w:t xml:space="preserve">Exceptions that are never handled in the program result in abnormal termination of the application.</w:t>
      </w:r>
      <w:r>
        <w:t xml:space="preserve"> </w:t>
      </w:r>
      <w:r>
        <w:t xml:space="preserve">In this case, it is implementation-defined whether the destruction of local objects (stack unwinding) occurs.</w:t>
      </w:r>
      <w:r>
        <w:t xml:space="preserve"> </w:t>
      </w:r>
      <w:r>
        <w:t xml:space="preserve">An unhandled exception that occurs in a thread also results in the abnormal termination of the application.</w:t>
      </w:r>
      <w:r>
        <w:t xml:space="preserve"> </w:t>
      </w:r>
      <w:r>
        <w:t xml:space="preserve">See 6.62 Concurrency - Premature Termination [CGS] for issues related to thread or process termination.</w:t>
      </w:r>
      <w:r>
        <w:t xml:space="preserve"> </w:t>
      </w:r>
      <w:r>
        <w:t xml:space="preserve">An exception propagating out of a coroutine causes the coroutine to end in an unresumable state and the exception is not further propagated.</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Follow the avoidance mechanisms of ISO/IEC 24772-1 subclause 6.36.5;</w:t>
      </w:r>
    </w:p>
    <w:p>
      <w:pPr>
        <w:numPr>
          <w:ilvl w:val="0"/>
          <w:numId w:val="1076"/>
        </w:numPr>
      </w:pPr>
      <w:r>
        <w:t xml:space="preserve">Develop an error management strategy, including error-detection, error-reporting, and error-handling,that, based on context, selects the most appropriate mechanism(s) from the different ones provided by C++;</w:t>
      </w:r>
    </w:p>
    <w:p>
      <w:pPr>
        <w:numPr>
          <w:ilvl w:val="0"/>
          <w:numId w:val="1076"/>
        </w:numPr>
      </w:pPr>
      <w:r>
        <w:t xml:space="preserve">Develop an error management strategy, including error-detection, error-reporting, and error-handling that selects the most appropriate mechanism(s), depending on the context,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your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Consider controlled termination as a last resort strategy for</w:t>
      </w:r>
      <w:r>
        <w:t xml:space="preserve"> </w:t>
      </w:r>
      <w:r>
        <w:rPr>
          <w:rStyle w:val="NormalTok"/>
        </w:rPr>
        <w:t xml:space="preserve">main</w:t>
      </w:r>
      <w:r>
        <w:t xml:space="preserve"> </w:t>
      </w:r>
      <w:r>
        <w:t xml:space="preserve">or for</w:t>
      </w:r>
      <w:r>
        <w:t xml:space="preserve"> </w:t>
      </w:r>
      <w:r>
        <w:rPr>
          <w:rStyle w:val="KeywordTok"/>
        </w:rPr>
        <w:t xml:space="preserve">noexcept</w:t>
      </w:r>
      <w:r>
        <w:t xml:space="preserve"> </w:t>
      </w:r>
      <w:r>
        <w:t xml:space="preserve">functions;</w:t>
      </w:r>
    </w:p>
    <w:p>
      <w:pPr>
        <w:numPr>
          <w:ilvl w:val="0"/>
          <w:numId w:val="1076"/>
        </w:numPr>
      </w:pPr>
      <w:r>
        <w:t xml:space="preserve">Consider the use of</w:t>
      </w:r>
      <w:r>
        <w:t xml:space="preserve"> </w:t>
      </w:r>
      <w:r>
        <w:rPr>
          <w:rStyle w:val="BuiltInTok"/>
        </w:rPr>
        <w:t xml:space="preserve">std::</w:t>
      </w:r>
      <w:r>
        <w:rPr>
          <w:rStyle w:val="NormalTok"/>
        </w:rPr>
        <w:t xml:space="preserve">exception_ptr</w:t>
      </w:r>
      <w:r>
        <w:t xml:space="preserve"> </w:t>
      </w:r>
      <w:r>
        <w:t xml:space="preserve">or an object encapsulating its mechanics like</w:t>
      </w:r>
      <w:r>
        <w:t xml:space="preserve"> </w:t>
      </w:r>
      <w:r>
        <w:rPr>
          <w:rStyle w:val="BuiltInTok"/>
        </w:rPr>
        <w:t xml:space="preserve">std::</w:t>
      </w:r>
      <w:r>
        <w:rPr>
          <w:rStyle w:val="NormalTok"/>
        </w:rPr>
        <w:t xml:space="preserve">future</w:t>
      </w:r>
      <w:r>
        <w:t xml:space="preserve"> </w:t>
      </w:r>
      <w:r>
        <w:t xml:space="preserve">to transport an exception from one thread to another thread for further processing.</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7"/>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7"/>
        </w:numPr>
      </w:pPr>
      <w:r>
        <w:t xml:space="preserve">Prohibit casts that reinterpret data values.</w:t>
      </w:r>
    </w:p>
    <w:p>
      <w:pPr>
        <w:numPr>
          <w:ilvl w:val="0"/>
          <w:numId w:val="1077"/>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7"/>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7"/>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7"/>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6.38.5.</w:t>
      </w:r>
    </w:p>
    <w:p>
      <w:pPr>
        <w:numPr>
          <w:ilvl w:val="0"/>
          <w:numId w:val="1078"/>
        </w:numPr>
      </w:pPr>
      <w:r>
        <w:t xml:space="preserve">Use and create value types.</w:t>
      </w:r>
    </w:p>
    <w:p>
      <w:pPr>
        <w:numPr>
          <w:ilvl w:val="0"/>
          <w:numId w:val="1078"/>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79"/>
        </w:numPr>
        <w:pStyle w:val="Compact"/>
      </w:pPr>
      <w:r>
        <w:t xml:space="preserve">when reference semantics is required, e.g., for side effects, or</w:t>
      </w:r>
    </w:p>
    <w:p>
      <w:pPr>
        <w:numPr>
          <w:ilvl w:val="1"/>
          <w:numId w:val="1079"/>
        </w:numPr>
        <w:pStyle w:val="Compact"/>
      </w:pPr>
      <w:r>
        <w:t xml:space="preserve">when copying is prohibitively expensive.</w:t>
      </w:r>
    </w:p>
    <w:p>
      <w:pPr>
        <w:numPr>
          <w:ilvl w:val="0"/>
          <w:numId w:val="1078"/>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8"/>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8"/>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Pr>
      <w:r>
        <w:t xml:space="preserve">Apply the avoidance mechanism of ISO/IEC 24772-1:2024 6.39.5</w:t>
      </w:r>
    </w:p>
    <w:p>
      <w:pPr>
        <w:numPr>
          <w:ilvl w:val="0"/>
          <w:numId w:val="1080"/>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0"/>
        </w:numPr>
      </w:pPr>
      <w:r>
        <w:t xml:space="preserve">Avoid mixing C-based functions and C++ memory management functions.</w:t>
      </w:r>
    </w:p>
    <w:p>
      <w:pPr>
        <w:numPr>
          <w:ilvl w:val="0"/>
          <w:numId w:val="1080"/>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Pr>
      <w:r>
        <w:t xml:space="preserve">Prefer containers standard library containers over other forms of memory management.</w:t>
      </w:r>
    </w:p>
    <w:p>
      <w:pPr>
        <w:numPr>
          <w:ilvl w:val="0"/>
          <w:numId w:val="1080"/>
        </w:numPr>
      </w:pPr>
      <w:r>
        <w:t xml:space="preserve">Use smart pointers and their factory functions to allocate and manage heap memory.</w:t>
      </w:r>
    </w:p>
    <w:p>
      <w:pPr>
        <w:numPr>
          <w:ilvl w:val="0"/>
          <w:numId w:val="1080"/>
        </w:numPr>
      </w:pPr>
      <w:r>
        <w:t xml:space="preserve">For heap fragmentation issues, use special memory resource objects with appropriate allocation strategies.</w:t>
      </w:r>
    </w:p>
    <w:p>
      <w:pPr>
        <w:numPr>
          <w:ilvl w:val="0"/>
          <w:numId w:val="1080"/>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0"/>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1"/>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1"/>
        </w:numPr>
        <w:pStyle w:val="Compact"/>
      </w:pPr>
      <w:r>
        <w:t xml:space="preserve">They have no runtime overhead;</w:t>
      </w:r>
    </w:p>
    <w:p>
      <w:pPr>
        <w:numPr>
          <w:ilvl w:val="0"/>
          <w:numId w:val="1081"/>
        </w:numPr>
        <w:pStyle w:val="Compact"/>
      </w:pPr>
      <w:r>
        <w:t xml:space="preserve">They do not have any implicit run-time memory usage; and</w:t>
      </w:r>
    </w:p>
    <w:p>
      <w:pPr>
        <w:numPr>
          <w:ilvl w:val="0"/>
          <w:numId w:val="1081"/>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2"/>
        </w:numPr>
      </w:pPr>
      <w:r>
        <w:t xml:space="preserve">Follow the avoidance mechanisms of ISO/IEC 24772-1 subclause 6.40.5. and the guidance provided in the different related sections of this document.</w:t>
      </w:r>
    </w:p>
    <w:p>
      <w:pPr>
        <w:numPr>
          <w:ilvl w:val="0"/>
          <w:numId w:val="1082"/>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2"/>
        </w:numPr>
      </w:pPr>
      <w:r>
        <w:t xml:space="preserve">Consider using</w:t>
      </w:r>
      <w:r>
        <w:t xml:space="preserve"> </w:t>
      </w:r>
      <w:r>
        <w:rPr>
          <w:i/>
        </w:rPr>
        <w:t xml:space="preserve">concepts</w:t>
      </w:r>
      <w:r>
        <w:t xml:space="preserve"> </w:t>
      </w:r>
      <w:r>
        <w:t xml:space="preserve">to constrain template parameters.</w:t>
      </w:r>
    </w:p>
    <w:p>
      <w:pPr>
        <w:numPr>
          <w:ilvl w:val="0"/>
          <w:numId w:val="1082"/>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2"/>
        </w:numPr>
      </w:pPr>
      <w:r>
        <w:t xml:space="preserve">Be aware that a constructor template or assignment operator function</w:t>
      </w:r>
      <w:r>
        <w:t xml:space="preserve"> </w:t>
      </w:r>
      <w:r>
        <w:t xml:space="preserve">template will not replace compiler-provided special member functions.</w:t>
      </w:r>
    </w:p>
    <w:p>
      <w:pPr>
        <w:numPr>
          <w:ilvl w:val="0"/>
          <w:numId w:val="1082"/>
        </w:numPr>
      </w:pPr>
      <w:r>
        <w:t xml:space="preserve">For generic operator functions, consider providing them as hidden</w:t>
      </w:r>
      <w:r>
        <w:t xml:space="preserve"> </w:t>
      </w:r>
      <w:r>
        <w:t xml:space="preserve">friends through mix-in class templates.</w:t>
      </w:r>
    </w:p>
    <w:p>
      <w:pPr>
        <w:numPr>
          <w:ilvl w:val="0"/>
          <w:numId w:val="1082"/>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2"/>
        </w:numPr>
      </w:pPr>
      <w:r>
        <w:t xml:space="preserve">For template specialization, ensure that specializations are declared as follows:</w:t>
      </w:r>
    </w:p>
    <w:p>
      <w:pPr>
        <w:numPr>
          <w:ilvl w:val="1"/>
          <w:numId w:val="1083"/>
        </w:numPr>
      </w:pPr>
      <w:r>
        <w:t xml:space="preserve">In the same file as the primary template; or</w:t>
      </w:r>
    </w:p>
    <w:p>
      <w:pPr>
        <w:numPr>
          <w:ilvl w:val="1"/>
          <w:numId w:val="1083"/>
        </w:numPr>
      </w:pPr>
      <w:r>
        <w:t xml:space="preserve">In the same file as the user-defined type for which the</w:t>
      </w:r>
      <w:r>
        <w:t xml:space="preserve"> </w:t>
      </w:r>
      <w:r>
        <w:t xml:space="preserve">specialization is declared.</w:t>
      </w:r>
    </w:p>
    <w:p>
      <w:pPr>
        <w:numPr>
          <w:ilvl w:val="0"/>
          <w:numId w:val="1082"/>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4"/>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4"/>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4"/>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5"/>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5"/>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5"/>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5"/>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6"/>
        </w:numPr>
        <w:pStyle w:val="Compact"/>
      </w:pPr>
      <w:r>
        <w:t xml:space="preserve">Apply the avoidance mechanisms of ISO/IEC 24772-1 clause 41.5.</w:t>
      </w:r>
    </w:p>
    <w:p>
      <w:pPr>
        <w:numPr>
          <w:ilvl w:val="0"/>
          <w:numId w:val="1086"/>
        </w:numPr>
        <w:pStyle w:val="Compact"/>
      </w:pPr>
      <w:r>
        <w:t xml:space="preserve">Avoid multiple inheritance.</w:t>
      </w:r>
    </w:p>
    <w:p>
      <w:pPr>
        <w:numPr>
          <w:ilvl w:val="0"/>
          <w:numId w:val="1086"/>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6"/>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6"/>
        </w:numPr>
        <w:pStyle w:val="Compact"/>
      </w:pPr>
      <w:r>
        <w:t xml:space="preserve">Prefer composition over inheritance.</w:t>
      </w:r>
    </w:p>
    <w:p>
      <w:pPr>
        <w:numPr>
          <w:ilvl w:val="0"/>
          <w:numId w:val="1086"/>
        </w:numPr>
        <w:pStyle w:val="Compact"/>
      </w:pPr>
      <w:r>
        <w:t xml:space="preserve">Keep inheritance hierarchies shallow.</w:t>
      </w:r>
    </w:p>
    <w:p>
      <w:pPr>
        <w:numPr>
          <w:ilvl w:val="0"/>
          <w:numId w:val="1086"/>
        </w:numPr>
        <w:pStyle w:val="Compact"/>
      </w:pPr>
      <w:r>
        <w:t xml:space="preserve">Avoid the use of virtual member functions unless unbounded run-time polymorphism can be justified.</w:t>
      </w:r>
    </w:p>
    <w:p>
      <w:pPr>
        <w:numPr>
          <w:ilvl w:val="0"/>
          <w:numId w:val="1086"/>
        </w:numPr>
        <w:pStyle w:val="Compact"/>
      </w:pPr>
      <w:r>
        <w:t xml:space="preserve">If a class has any virtual functions, ensure it has a virtual destructor.</w:t>
      </w:r>
    </w:p>
    <w:p>
      <w:pPr>
        <w:numPr>
          <w:ilvl w:val="0"/>
          <w:numId w:val="1086"/>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6"/>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6"/>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6"/>
        </w:numPr>
        <w:pStyle w:val="Compact"/>
      </w:pPr>
      <w:r>
        <w:t xml:space="preserve">Do not assume that a private virtual function cannot be overridden.</w:t>
      </w:r>
    </w:p>
    <w:p>
      <w:pPr>
        <w:numPr>
          <w:ilvl w:val="0"/>
          <w:numId w:val="1086"/>
        </w:numPr>
        <w:pStyle w:val="Compact"/>
      </w:pPr>
      <w:r>
        <w:t xml:space="preserve">Consider using fully-qualified names to address members of a base class.</w:t>
      </w:r>
    </w:p>
    <w:p>
      <w:pPr>
        <w:numPr>
          <w:ilvl w:val="0"/>
          <w:numId w:val="1086"/>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6"/>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6"/>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6"/>
        </w:numPr>
        <w:pStyle w:val="Compact"/>
      </w:pPr>
      <w:r>
        <w:t xml:space="preserve">Prohibit mixing virtual and non-virtual inheritance of the same base class in a hierarchy.</w:t>
      </w:r>
    </w:p>
    <w:p>
      <w:pPr>
        <w:numPr>
          <w:ilvl w:val="0"/>
          <w:numId w:val="1086"/>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6"/>
        </w:numPr>
        <w:pStyle w:val="Compact"/>
      </w:pPr>
      <w:r>
        <w:t xml:space="preserve">Use static analysis tools, including compilers from different sources, to:</w:t>
      </w:r>
    </w:p>
    <w:p>
      <w:pPr>
        <w:numPr>
          <w:ilvl w:val="1"/>
          <w:numId w:val="1087"/>
        </w:numPr>
        <w:pStyle w:val="Compact"/>
      </w:pPr>
      <w:r>
        <w:t xml:space="preserve">detect hiding of member names in virtual base classes, and</w:t>
      </w:r>
    </w:p>
    <w:p>
      <w:pPr>
        <w:numPr>
          <w:ilvl w:val="1"/>
          <w:numId w:val="1087"/>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8"/>
        </w:numPr>
      </w:pPr>
      <w:r>
        <w:t xml:space="preserve">Apply the avoidance mechanisms of ISO/IEC 24772-1 6.42.5</w:t>
      </w:r>
    </w:p>
    <w:p>
      <w:pPr>
        <w:numPr>
          <w:ilvl w:val="0"/>
          <w:numId w:val="1088"/>
        </w:numPr>
      </w:pPr>
      <w:r>
        <w:t xml:space="preserve">Use static analysis tools that identify violations of preconditions and postconditions.</w:t>
      </w:r>
    </w:p>
    <w:p>
      <w:pPr>
        <w:numPr>
          <w:ilvl w:val="0"/>
          <w:numId w:val="1088"/>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9"/>
        </w:numPr>
      </w:pPr>
      <w:r>
        <w:t xml:space="preserve">At a call site, consider whether virtual dispatch is desired: if</w:t>
      </w:r>
      <w:r>
        <w:t xml:space="preserve"> </w:t>
      </w:r>
      <w:r>
        <w:t xml:space="preserve">not, construct the call using the qualified name.</w:t>
      </w:r>
    </w:p>
    <w:p>
      <w:pPr>
        <w:numPr>
          <w:ilvl w:val="0"/>
          <w:numId w:val="1089"/>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0"/>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0"/>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0"/>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0"/>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1"/>
        </w:numPr>
      </w:pPr>
      <w:r>
        <w:t xml:space="preserve">are the only ones that can be performed implicitly</w:t>
      </w:r>
    </w:p>
    <w:p>
      <w:pPr>
        <w:numPr>
          <w:ilvl w:val="0"/>
          <w:numId w:val="1091"/>
        </w:numPr>
      </w:pPr>
      <w:r>
        <w:t xml:space="preserve">can cause object slicing</w:t>
      </w:r>
      <w:r>
        <w:t xml:space="preserve"> </w:t>
      </w:r>
      <w:r>
        <w:t xml:space="preserve">when a copy of a base class object is created from a derived class object.</w:t>
      </w:r>
    </w:p>
    <w:p>
      <w:pPr>
        <w:numPr>
          <w:ilvl w:val="0"/>
          <w:numId w:val="1091"/>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2"/>
        </w:numPr>
      </w:pPr>
      <w:r>
        <w:t xml:space="preserve">are explicit;</w:t>
      </w:r>
    </w:p>
    <w:p>
      <w:pPr>
        <w:numPr>
          <w:ilvl w:val="0"/>
          <w:numId w:val="1092"/>
        </w:numPr>
      </w:pPr>
      <w:r>
        <w:t xml:space="preserve">can be done safely with</w:t>
      </w:r>
      <w:r>
        <w:t xml:space="preserve"> </w:t>
      </w:r>
      <w:r>
        <w:rPr>
          <w:rStyle w:val="KeywordTok"/>
        </w:rPr>
        <w:t xml:space="preserve">dynamic_cast</w:t>
      </w:r>
    </w:p>
    <w:p>
      <w:pPr>
        <w:numPr>
          <w:ilvl w:val="0"/>
          <w:numId w:val="1092"/>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3"/>
        </w:numPr>
      </w:pPr>
      <w:r>
        <w:t xml:space="preserve">are explicit</w:t>
      </w:r>
    </w:p>
    <w:p>
      <w:pPr>
        <w:numPr>
          <w:ilvl w:val="0"/>
          <w:numId w:val="1093"/>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4"/>
        </w:numPr>
      </w:pPr>
      <w:r>
        <w:t xml:space="preserve">Follow the avoidance mechanisms of ISO/IEC 24772-1 clause 6.44.5.</w:t>
      </w:r>
    </w:p>
    <w:p>
      <w:pPr>
        <w:numPr>
          <w:ilvl w:val="0"/>
          <w:numId w:val="1094"/>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4"/>
        </w:numPr>
      </w:pPr>
      <w:r>
        <w:t xml:space="preserve">Avoid designs relying on downcasts or crosscasts;</w:t>
      </w:r>
      <w:r>
        <w:t xml:space="preserve"> </w:t>
      </w:r>
      <w:r>
        <w:t xml:space="preserve">rely on proper virtual member functions in the base classes instead.</w:t>
      </w:r>
    </w:p>
    <w:p>
      <w:pPr>
        <w:numPr>
          <w:ilvl w:val="0"/>
          <w:numId w:val="1094"/>
        </w:numPr>
      </w:pPr>
      <w:r>
        <w:t xml:space="preserve">Avoid explicit upcast, rely on implicit conversion.</w:t>
      </w:r>
    </w:p>
    <w:p>
      <w:pPr>
        <w:numPr>
          <w:ilvl w:val="0"/>
          <w:numId w:val="1094"/>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4"/>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4"/>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4"/>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5"/>
        </w:numPr>
        <w:pStyle w:val="Compact"/>
      </w:pPr>
      <w:r>
        <w:t xml:space="preserve">Prohibit identifiers containing a double underscore</w:t>
      </w:r>
      <w:r>
        <w:t xml:space="preserve"> </w:t>
      </w:r>
      <w:r>
        <w:rPr>
          <w:rStyle w:val="VerbatimChar"/>
        </w:rPr>
        <w:t xml:space="preserve">__</w:t>
      </w:r>
      <w:r>
        <w:t xml:space="preserve">.</w:t>
      </w:r>
    </w:p>
    <w:p>
      <w:pPr>
        <w:numPr>
          <w:ilvl w:val="0"/>
          <w:numId w:val="1095"/>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5"/>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5"/>
        </w:numPr>
        <w:pStyle w:val="Compact"/>
      </w:pPr>
      <w:r>
        <w:t xml:space="preserve">Prohibit the declaration of names in reserved namespaces.</w:t>
      </w:r>
    </w:p>
    <w:p>
      <w:pPr>
        <w:numPr>
          <w:ilvl w:val="0"/>
          <w:numId w:val="1095"/>
        </w:numPr>
        <w:pStyle w:val="Compact"/>
      </w:pPr>
      <w:r>
        <w:t xml:space="preserve">Prohibit the specialization of a restricted template.</w:t>
      </w:r>
    </w:p>
    <w:p>
      <w:pPr>
        <w:numPr>
          <w:ilvl w:val="0"/>
          <w:numId w:val="1095"/>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6"/>
        </w:numPr>
      </w:pPr>
      <w:r>
        <w:t xml:space="preserve">Follow the avoidance mechanisms of ISO/IEC 24772-1 clause 6.47.5.</w:t>
      </w:r>
    </w:p>
    <w:p>
      <w:pPr>
        <w:numPr>
          <w:ilvl w:val="0"/>
          <w:numId w:val="1096"/>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6"/>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w:t>
      </w:r>
      <w:r>
        <w:t xml:space="preserve"> </w:t>
      </w:r>
      <w:r>
        <w:t xml:space="preserve">interface simply with other language systems. It is left to the</w:t>
      </w:r>
      <w:r>
        <w:t xml:space="preserve"> </w:t>
      </w:r>
      <w:r>
        <w:t xml:space="preserve">implementation team the task of converting the results of these</w:t>
      </w:r>
      <w:r>
        <w:t xml:space="preserve"> </w:t>
      </w:r>
      <w:r>
        <w:t xml:space="preserve">paradigms to constructs that can cross an interface for further</w:t>
      </w:r>
      <w:r>
        <w:t xml:space="preserve"> </w:t>
      </w:r>
      <w:r>
        <w:t xml:space="preserve">processing in other languages.</w:t>
      </w:r>
    </w:p>
    <w:p>
      <w:pPr>
        <w:pStyle w:val="BodyText"/>
      </w:pPr>
      <w:r>
        <w:t xml:space="preserve">C++ compilers provide an application binary interface (ABI) that</w:t>
      </w:r>
      <w:r>
        <w:t xml:space="preserve"> </w:t>
      </w:r>
      <w:r>
        <w:t xml:space="preserve">delineates areas of interoperability with other languages or other C++</w:t>
      </w:r>
      <w:r>
        <w:t xml:space="preserve"> </w:t>
      </w:r>
      <w:r>
        <w:t xml:space="preserve">compiler/runtime systems. An ABI includes calling conventions, data</w:t>
      </w:r>
      <w:r>
        <w:t xml:space="preserve"> </w:t>
      </w:r>
      <w:r>
        <w:t xml:space="preserve">layout, error and exception handling and return conventions, name</w:t>
      </w:r>
      <w:r>
        <w:t xml:space="preserve"> </w:t>
      </w:r>
      <w:r>
        <w:t xml:space="preserve">mangling, data model, initialization of memory, and linkage to operating</w:t>
      </w:r>
      <w:r>
        <w:t xml:space="preserve"> </w:t>
      </w:r>
      <w:r>
        <w:t xml:space="preserve">systems and libraries.</w:t>
      </w:r>
    </w:p>
    <w:p>
      <w:pPr>
        <w:pStyle w:val="BodyText"/>
      </w:pPr>
      <w:r>
        <w:t xml:space="preserve">C++ compilers implement a C++ language linkage and a C language linkage.</w:t>
      </w:r>
      <w:r>
        <w:t xml:space="preserve"> </w:t>
      </w:r>
      <w:r>
        <w:t xml:space="preserve">It is implementation-defined what other languages the implementation</w:t>
      </w:r>
      <w:r>
        <w:t xml:space="preserve"> </w:t>
      </w:r>
      <w:r>
        <w:t xml:space="preserve">supports. Alternatively, other language systems provide linkages to C</w:t>
      </w:r>
      <w:r>
        <w:t xml:space="preserve"> </w:t>
      </w:r>
      <w:r>
        <w:t xml:space="preserve">systems[^3](Ada has developed a standard for interfacing with C. Fortran has included a Clause 15 that explains how to call C functions.), leaving the developer the task of channeling everything</w:t>
      </w:r>
      <w:r>
        <w:t xml:space="preserve"> </w:t>
      </w:r>
      <w:r>
        <w:t xml:space="preserve">through this common language system.</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standard layout types for the interoperable interfaces.</w:t>
      </w:r>
    </w:p>
    <w:p>
      <w:pPr>
        <w:numPr>
          <w:ilvl w:val="1"/>
          <w:numId w:val="1098"/>
        </w:numPr>
        <w:pStyle w:val="SourceCode"/>
      </w:pPr>
      <w:r>
        <w:rPr>
          <w:rStyle w:val="VerbatimChar"/>
        </w:rPr>
        <w:t xml:space="preserve">  Use language linkage facilities that support the languages being</w:t>
      </w:r>
    </w:p>
    <w:p>
      <w:pPr>
        <w:numPr>
          <w:ilvl w:val="1"/>
          <w:numId w:val="1000"/>
        </w:numPr>
      </w:pPr>
      <w:r>
        <w:t xml:space="preserve">used.</w:t>
      </w:r>
    </w:p>
    <w:p>
      <w:pPr>
        <w:numPr>
          <w:ilvl w:val="1"/>
          <w:numId w:val="1098"/>
        </w:numPr>
        <w:pStyle w:val="SourceCode"/>
      </w:pPr>
      <w:r>
        <w:rPr>
          <w:rStyle w:val="VerbatimChar"/>
        </w:rPr>
        <w:t xml:space="preserve">  EXP56-CPP. Do not call a function with a mismatched language</w:t>
      </w:r>
    </w:p>
    <w:p>
      <w:pPr>
        <w:numPr>
          <w:ilvl w:val="1"/>
          <w:numId w:val="1000"/>
        </w:numPr>
      </w:pPr>
      <w:r>
        <w:t xml:space="preserve">linkage (-&gt; 6.47)</w:t>
      </w:r>
    </w:p>
    <w:p>
      <w:pPr>
        <w:numPr>
          <w:ilvl w:val="1"/>
          <w:numId w:val="1098"/>
        </w:numPr>
        <w:pStyle w:val="SourceCode"/>
      </w:pPr>
      <w:r>
        <w:rPr>
          <w:rStyle w:val="VerbatimChar"/>
        </w:rPr>
        <w:t xml:space="preserve">  EXP60-CPP. Do not pass a nonstandard-layout type object across</w:t>
      </w:r>
    </w:p>
    <w:p>
      <w:pPr>
        <w:numPr>
          <w:ilvl w:val="1"/>
          <w:numId w:val="1000"/>
        </w:numPr>
      </w:pPr>
      <w:r>
        <w:t xml:space="preserve">(-&gt; 6.47 ?)</w:t>
      </w:r>
      <w:r>
        <w:br/>
      </w:r>
      <w:r>
        <w:t xml:space="preserve">execution boundaries</w:t>
      </w:r>
    </w:p>
    <w:p>
      <w:pPr>
        <w:numPr>
          <w:ilvl w:val="0"/>
          <w:numId w:val="1097"/>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7"/>
        </w:numPr>
      </w:pPr>
      <w:r>
        <w:t xml:space="preserve">Be aware that C++ exceptions are not usually compatible with</w:t>
      </w:r>
      <w:r>
        <w:t xml:space="preserve"> </w:t>
      </w:r>
      <w:r>
        <w:t xml:space="preserve">exceptions in other languages.</w:t>
      </w:r>
    </w:p>
    <w:p>
      <w:pPr>
        <w:numPr>
          <w:ilvl w:val="0"/>
          <w:numId w:val="1097"/>
        </w:numPr>
      </w:pPr>
      <w:r>
        <w:t xml:space="preserve">Segregate outgoing cross-language interfacing code into functions</w:t>
      </w:r>
      <w:r>
        <w:t xml:space="preserve"> </w:t>
      </w:r>
      <w:r>
        <w:t xml:space="preserve">that present a C++ interface to the C++ code and implements that</w:t>
      </w:r>
      <w:r>
        <w:t xml:space="preserve"> </w:t>
      </w:r>
      <w:r>
        <w:t xml:space="preserve">interface by calling code compatible with the other language system.</w:t>
      </w:r>
      <w:r>
        <w:t xml:space="preserve"> </w:t>
      </w:r>
      <w:r>
        <w:t xml:space="preserve">Similarly implement incoming cross-language interfaces by providing</w:t>
      </w:r>
      <w:r>
        <w:t xml:space="preserve"> </w:t>
      </w:r>
      <w:r>
        <w:t xml:space="preserve">simplified functions that presents a simplified (C or other</w:t>
      </w:r>
      <w:r>
        <w:t xml:space="preserve"> </w:t>
      </w:r>
      <w:r>
        <w:t xml:space="preserve">language) interface and is implemented by calling C++ code with the</w:t>
      </w:r>
      <w:r>
        <w:t xml:space="preserve"> </w:t>
      </w:r>
      <w:r>
        <w:t xml:space="preserve">correct style.</w:t>
      </w:r>
    </w:p>
    <w:p>
      <w:pPr>
        <w:numPr>
          <w:ilvl w:val="0"/>
          <w:numId w:val="1097"/>
        </w:numPr>
      </w:pPr>
      <w:r>
        <w:t xml:space="preserve">Separate the interfacing code from the code containing the main</w:t>
      </w:r>
      <w:r>
        <w:t xml:space="preserve"> </w:t>
      </w:r>
      <w:r>
        <w:t xml:space="preserve">functionality</w:t>
      </w:r>
    </w:p>
    <w:p>
      <w:pPr>
        <w:pStyle w:val="FirstParagraph"/>
      </w:pPr>
      <w:r>
        <w:t xml:space="preserve">See also the C++ Core Guidelines CPL.3.</w:t>
      </w:r>
    </w:p>
    <w:p>
      <w:pPr>
        <w:pStyle w:val="BodyText"/>
      </w:pPr>
      <w:r>
        <w:rPr>
          <w:i/>
        </w:rPr>
        <w:t xml:space="preserve">AI 63-6 – group – add the guidance from 6.47.2 Interoperability into</w:t>
      </w:r>
      <w:r>
        <w:rPr>
          <w:i/>
        </w:rPr>
        <w:t xml:space="preserve"> </w:t>
      </w:r>
      <w:r>
        <w:rPr>
          <w:i/>
        </w:rPr>
        <w:t xml:space="preserve">the Core Guidelines.</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1" w:name="X165926c342ab175b2667683b6cb7551fc7b18d8"/>
    <w:p>
      <w:pPr>
        <w:pStyle w:val="Heading2"/>
      </w:pPr>
      <w:r>
        <w:t xml:space="preserve">6.50. Unanticipated Exceptions from Library Routines [HJW]</w:t>
      </w:r>
    </w:p>
    <w:bookmarkStart w:id="189" w:name="applicability-to-language"/>
    <w:p>
      <w:pPr>
        <w:pStyle w:val="Heading3"/>
      </w:pPr>
      <w:r>
        <w:t xml:space="preserve">6.50.1 Applicability to language</w:t>
      </w:r>
    </w:p>
    <w:p>
      <w:pPr>
        <w:pStyle w:val="FirstParagraph"/>
      </w:pPr>
      <w:r>
        <w:t xml:space="preserve">The vulnerability as documented in ISO/IEC TR 24772-1:2019 clause 6.50</w:t>
      </w:r>
      <w:r>
        <w:t xml:space="preserve"> </w:t>
      </w:r>
      <w:r>
        <w:t xml:space="preserve">exists for C++. In particular the issue of the failing dynamic</w:t>
      </w:r>
      <w:r>
        <w:t xml:space="preserve"> </w:t>
      </w:r>
      <w:r>
        <w:t xml:space="preserve">initialization of namespace-scope objects exists in C++.</w:t>
      </w:r>
    </w:p>
    <w:p>
      <w:pPr>
        <w:pStyle w:val="BodyText"/>
      </w:pPr>
      <w:r>
        <w:t xml:space="preserve">When dynamic initialization of a namespace-scope object fails with an</w:t>
      </w:r>
      <w:r>
        <w:t xml:space="preserve"> </w:t>
      </w:r>
      <w:r>
        <w:t xml:space="preserve">exception, the exception cannot be caught and the program is terminated.</w:t>
      </w:r>
      <w:r>
        <w:t xml:space="preserve"> </w:t>
      </w:r>
      <w:r>
        <w:t xml:space="preserve">Function-scope static objects, in contrast, are initialized the first</w:t>
      </w:r>
      <w:r>
        <w:t xml:space="preserve"> </w:t>
      </w:r>
      <w:r>
        <w:t xml:space="preserve">time execution passes through the declaration. Using function-scope</w:t>
      </w:r>
      <w:r>
        <w:t xml:space="preserve"> </w:t>
      </w:r>
      <w:r>
        <w:t xml:space="preserve">static objects in preference to dynamic initialization ensures that</w:t>
      </w:r>
      <w:r>
        <w:t xml:space="preserve"> </w:t>
      </w:r>
      <w:r>
        <w:t xml:space="preserve">there is always an enclosing function that could catch the exception.</w:t>
      </w:r>
    </w:p>
    <w:p>
      <w:pPr>
        <w:pStyle w:val="SourceCode"/>
      </w:pPr>
      <w:r>
        <w:rPr>
          <w:rStyle w:val="DataTypeTok"/>
        </w:rPr>
        <w:t xml:space="preserve">exception_prone_type</w:t>
      </w:r>
      <w:r>
        <w:rPr>
          <w:rStyle w:val="NormalTok"/>
        </w:rPr>
        <w:t xml:space="preserve"> troubling_object;</w:t>
      </w:r>
      <w:r>
        <w:br/>
      </w:r>
      <w:r>
        <w:rPr>
          <w:rStyle w:val="CommentTok"/>
        </w:rPr>
        <w:t xml:space="preserve">// An exception from the constructor could cause termination.</w:t>
      </w:r>
      <w:r>
        <w:br/>
      </w:r>
      <w:r>
        <w:rPr>
          <w:rStyle w:val="CommentTok"/>
        </w:rPr>
        <w:t xml:space="preserve">// The following function always returns a reference to the same object,</w:t>
      </w:r>
      <w:r>
        <w:br/>
      </w:r>
      <w:r>
        <w:rPr>
          <w:rStyle w:val="CommentTok"/>
        </w:rPr>
        <w:t xml:space="preserve">// which is initialized the first time this function is called.</w:t>
      </w:r>
      <w:r>
        <w:br/>
      </w:r>
      <w:r>
        <w:br/>
      </w:r>
      <w:r>
        <w:rPr>
          <w:rStyle w:val="CommentTok"/>
        </w:rPr>
        <w:t xml:space="preserve">// If initialization fails, it will be retried on the next call.</w:t>
      </w:r>
      <w:r>
        <w:br/>
      </w:r>
      <w:r>
        <w:rPr>
          <w:rStyle w:val="DataTypeTok"/>
        </w:rPr>
        <w:t xml:space="preserve">exception_prone_type</w:t>
      </w:r>
      <w:r>
        <w:rPr>
          <w:rStyle w:val="NormalTok"/>
        </w:rPr>
        <w:t xml:space="preserve">&amp; safer_object()</w:t>
      </w:r>
      <w:r>
        <w:br/>
      </w:r>
      <w:r>
        <w:rPr>
          <w:rStyle w:val="NormalTok"/>
        </w:rPr>
        <w:t xml:space="preserve">  {</w:t>
      </w:r>
      <w:r>
        <w:br/>
      </w:r>
      <w:r>
        <w:rPr>
          <w:rStyle w:val="NormalTok"/>
        </w:rPr>
        <w:t xml:space="preserve">   </w:t>
      </w:r>
      <w:r>
        <w:rPr>
          <w:rStyle w:val="AttributeTok"/>
        </w:rPr>
        <w:t xml:space="preserve">static</w:t>
      </w:r>
      <w:r>
        <w:rPr>
          <w:rStyle w:val="NormalTok"/>
        </w:rPr>
        <w:t xml:space="preserve"> </w:t>
      </w:r>
      <w:r>
        <w:rPr>
          <w:rStyle w:val="DataTypeTok"/>
        </w:rPr>
        <w:t xml:space="preserve">exception_prone_type</w:t>
      </w:r>
      <w:r>
        <w:rPr>
          <w:rStyle w:val="NormalTok"/>
        </w:rPr>
        <w:t xml:space="preserve"> the_safer_object;</w:t>
      </w:r>
      <w:r>
        <w:br/>
      </w:r>
      <w:r>
        <w:rPr>
          <w:rStyle w:val="NormalTok"/>
        </w:rPr>
        <w:t xml:space="preserve">   </w:t>
      </w:r>
      <w:r>
        <w:rPr>
          <w:rStyle w:val="ControlFlowTok"/>
        </w:rPr>
        <w:t xml:space="preserve">return</w:t>
      </w:r>
      <w:r>
        <w:rPr>
          <w:rStyle w:val="NormalTok"/>
        </w:rPr>
        <w:t xml:space="preserve"> the_safer_object;</w:t>
      </w:r>
      <w:r>
        <w:br/>
      </w:r>
      <w:r>
        <w:rPr>
          <w:rStyle w:val="NormalTok"/>
        </w:rPr>
        <w:t xml:space="preserve">  }</w:t>
      </w:r>
    </w:p>
    <w:bookmarkEnd w:id="189"/>
    <w:bookmarkStart w:id="190"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Expect functions not marked</w:t>
      </w:r>
      <w:r>
        <w:t xml:space="preserve"> </w:t>
      </w:r>
      <w:r>
        <w:rPr>
          <w:rStyle w:val="KeywordTok"/>
        </w:rPr>
        <w:t xml:space="preserve">noexcept</w:t>
      </w:r>
      <w:r>
        <w:t xml:space="preserve"> </w:t>
      </w:r>
      <w:r>
        <w:t xml:space="preserve">to throw exceptions of</w:t>
      </w:r>
      <w:r>
        <w:t xml:space="preserve"> </w:t>
      </w:r>
      <w:r>
        <w:t xml:space="preserve">arbitrary type, excluding all destructors, which are are implicitly</w:t>
      </w:r>
      <w:r>
        <w:t xml:space="preserve"> </w:t>
      </w:r>
      <w:r>
        <w:rPr>
          <w:rStyle w:val="KeywordTok"/>
        </w:rPr>
        <w:t xml:space="preserve">noexcept</w:t>
      </w:r>
      <w:r>
        <w:t xml:space="preserve">.</w:t>
      </w:r>
    </w:p>
    <w:p>
      <w:pPr>
        <w:numPr>
          <w:ilvl w:val="0"/>
          <w:numId w:val="1101"/>
        </w:numPr>
      </w:pPr>
      <w:r>
        <w:t xml:space="preserve">Follow the avoidance mechanisms of clause 6.36.2 for catching and handling</w:t>
      </w:r>
      <w:r>
        <w:t xml:space="preserve"> </w:t>
      </w:r>
      <w:r>
        <w:t xml:space="preserve">exceptions.</w:t>
      </w:r>
    </w:p>
    <w:p>
      <w:pPr>
        <w:numPr>
          <w:ilvl w:val="0"/>
          <w:numId w:val="1101"/>
        </w:numPr>
      </w:pPr>
      <w:r>
        <w:t xml:space="preserve">Prefer function-scope static objects to namespace-scope objects for</w:t>
      </w:r>
      <w:r>
        <w:t xml:space="preserve"> </w:t>
      </w:r>
      <w:r>
        <w:t xml:space="preserve">objects needing dynamic initialization.</w:t>
      </w:r>
    </w:p>
    <w:bookmarkEnd w:id="190"/>
    <w:bookmarkEnd w:id="191"/>
    <w:bookmarkStart w:id="194" w:name="NMP"/>
    <w:p>
      <w:pPr>
        <w:pStyle w:val="Heading2"/>
      </w:pPr>
      <w:r>
        <w:t xml:space="preserve">6.51 Pre-processor Directives [NMP]</w:t>
      </w:r>
    </w:p>
    <w:bookmarkStart w:id="192"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w:t>
      </w:r>
      <w:r>
        <w:t xml:space="preserve"> </w:t>
      </w:r>
      <w:r>
        <w:t xml:space="preserve">semantics. 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w:t>
      </w:r>
      <w:r>
        <w:t xml:space="preserve"> </w:t>
      </w:r>
      <w:r>
        <w:t xml:space="preserve">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ErrorTok"/>
        </w:rPr>
        <w:t xml:space="preserve">\</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bookmarkEnd w:id="192"/>
    <w:bookmarkStart w:id="193"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w:t>
      </w:r>
    </w:p>
    <w:p>
      <w:pPr>
        <w:numPr>
          <w:ilvl w:val="0"/>
          <w:numId w:val="1102"/>
        </w:numPr>
      </w:pPr>
      <w:r>
        <w:t xml:space="preserve">Replace normal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employing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If a function-like macro must be used, ensure that its</w:t>
      </w:r>
      <w:r>
        <w:t xml:space="preserve"> </w:t>
      </w:r>
      <w:r>
        <w:t xml:space="preserve">parameters and body are parenthesized.</w:t>
      </w:r>
    </w:p>
    <w:p>
      <w:pPr>
        <w:numPr>
          <w:ilvl w:val="0"/>
          <w:numId w:val="1102"/>
        </w:numPr>
      </w:pPr>
      <w:r>
        <w:t xml:space="preserve">In a function-like macro, ensure that each argument is evaluated at</w:t>
      </w:r>
      <w:r>
        <w:t xml:space="preserve"> </w:t>
      </w:r>
      <w:r>
        <w:t xml:space="preserve">most once.</w:t>
      </w:r>
    </w:p>
    <w:p>
      <w:pPr>
        <w:numPr>
          <w:ilvl w:val="0"/>
          <w:numId w:val="1102"/>
        </w:numPr>
      </w:pPr>
      <w:r>
        <w:t xml:space="preserve">Prohibit embedding the following in a function-like macro: pre-processor directives; or side-effects such as an assignment, increment/decrement, volatile access, or function call.</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Prohibit the use of macro paramters that are used as argument for</w:t>
      </w:r>
      <w:r>
        <w:t xml:space="preserve"> </w:t>
      </w:r>
      <w:r>
        <w:rPr>
          <w:rStyle w:val="PreprocessorTok"/>
        </w:rPr>
        <w:t xml:space="preserve">#</w:t>
      </w:r>
      <w:r>
        <w:rPr>
          <w:rStyle w:val="ErrorTok"/>
        </w:rPr>
        <w:t xml:space="preserve">#</w:t>
      </w:r>
      <w:r>
        <w:t xml:space="preserve"> </w:t>
      </w:r>
      <w:r>
        <w:t xml:space="preserve">or</w:t>
      </w:r>
      <w:r>
        <w:t xml:space="preserve"> </w:t>
      </w:r>
      <w:r>
        <w:rPr>
          <w:rStyle w:val="ErrorTok"/>
        </w:rPr>
        <w:t xml:space="preserve">#</w:t>
      </w:r>
      <w:r>
        <w:t xml:space="preserve"> </w:t>
      </w:r>
      <w:r>
        <w:t xml:space="preserve">in the macro.</w:t>
      </w:r>
    </w:p>
    <w:bookmarkEnd w:id="193"/>
    <w:bookmarkEnd w:id="194"/>
    <w:bookmarkStart w:id="196" w:name="Xe4ed1f6d7e7049a22cf11fb58e9b78561722b0b"/>
    <w:p>
      <w:pPr>
        <w:pStyle w:val="Heading2"/>
      </w:pPr>
      <w:r>
        <w:t xml:space="preserve">6.52 Suppression of Language-defined Run-time Checking [MXB]</w:t>
      </w:r>
    </w:p>
    <w:bookmarkStart w:id="195"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The use of library and compiler-provided checks which will almost always require the explicit enabling the checks.</w:t>
      </w:r>
      <w:r>
        <w:t xml:space="preserve"> </w:t>
      </w:r>
      <w:r>
        <w:t xml:space="preserve">### 6.51.2 Avoidance mechanisms for language users</w:t>
      </w:r>
    </w:p>
    <w:p>
      <w:pPr>
        <w:pStyle w:val="BodyText"/>
      </w:pPr>
      <w:r>
        <w:t xml:space="preserve">To avoid the vulnerability or mitigate its ill effects, C++ software developers can apply the avoidance mechanisms of ISO/IEC 24772-1 clause 6.52.5.</w:t>
      </w:r>
    </w:p>
    <w:bookmarkEnd w:id="195"/>
    <w:bookmarkEnd w:id="196"/>
    <w:bookmarkStart w:id="199" w:name="X2e6df9becdc68c65fdb33865090fafdb8a33550"/>
    <w:p>
      <w:pPr>
        <w:pStyle w:val="Heading2"/>
      </w:pPr>
      <w:r>
        <w:t xml:space="preserve">6.53 Provision of Inherently Unsafe Operations [SKL]</w:t>
      </w:r>
    </w:p>
    <w:bookmarkStart w:id="197" w:name="applicability-to-language"/>
    <w:p>
      <w:pPr>
        <w:pStyle w:val="Heading3"/>
      </w:pPr>
      <w:r>
        <w:t xml:space="preserve">6.53.1 Applicability to language</w:t>
      </w:r>
    </w:p>
    <w:p>
      <w:pPr>
        <w:pStyle w:val="FirstParagraph"/>
      </w:pPr>
      <w:r>
        <w:t xml:space="preserve">The vulnerability as described in ISO/IEC 24772-1:2019 clause 6.53</w:t>
      </w:r>
      <w:r>
        <w:t xml:space="preserve"> </w:t>
      </w:r>
      <w:r>
        <w:t xml:space="preserve">applies to C++. In particular, anything described by ISO/IEC 14882:2023</w:t>
      </w:r>
      <w:r>
        <w:t xml:space="preserve"> </w:t>
      </w:r>
      <w:r>
        <w:t xml:space="preserve">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w:t>
      </w:r>
    </w:p>
    <w:bookmarkEnd w:id="197"/>
    <w:bookmarkStart w:id="198"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3"/>
        </w:numPr>
      </w:pPr>
      <w:r>
        <w:t xml:space="preserve">Use the avoidance mechanisms of ISO/IEC 24772-1:2024 and ISO/IEC TR 24772-3:2020 clause 6.53.5.</w:t>
      </w:r>
    </w:p>
    <w:p>
      <w:pPr>
        <w:numPr>
          <w:ilvl w:val="0"/>
          <w:numId w:val="1103"/>
        </w:numPr>
      </w:pPr>
      <w:r>
        <w:t xml:space="preserve">Enable checks that warn about unsafe operations.</w:t>
      </w:r>
    </w:p>
    <w:p>
      <w:pPr>
        <w:numPr>
          <w:ilvl w:val="0"/>
          <w:numId w:val="1103"/>
        </w:numPr>
      </w:pPr>
      <w:r>
        <w:t xml:space="preserve">Use static analysis tools to detect unsafe constructs.</w:t>
      </w:r>
    </w:p>
    <w:bookmarkEnd w:id="198"/>
    <w:bookmarkEnd w:id="199"/>
    <w:bookmarkStart w:id="202" w:name="BRS"/>
    <w:p>
      <w:pPr>
        <w:pStyle w:val="Heading2"/>
      </w:pPr>
      <w:r>
        <w:t xml:space="preserve">6.54 Obscure Language Features [BRS]</w:t>
      </w:r>
    </w:p>
    <w:bookmarkStart w:id="200"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The latter means that evolution of the language also means an evolution of best and safe practices.</w:t>
      </w:r>
      <w:r>
        <w:t xml:space="preserve"> </w:t>
      </w:r>
      <w:r>
        <w:t xml:space="preserve">This means that code can look obscure, because it either uses obsolete or very modern language idioms.</w:t>
      </w:r>
    </w:p>
    <w:bookmarkEnd w:id="200"/>
    <w:bookmarkStart w:id="201"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p>
    <w:p>
      <w:pPr>
        <w:numPr>
          <w:ilvl w:val="0"/>
          <w:numId w:val="1104"/>
        </w:numPr>
      </w:pPr>
      <w:r>
        <w:t xml:space="preserve">Follow the avoidance mechanisms of ISO/IEC 24772-1 clause 6.54.5.</w:t>
      </w:r>
    </w:p>
    <w:p>
      <w:pPr>
        <w:numPr>
          <w:ilvl w:val="0"/>
          <w:numId w:val="1104"/>
        </w:numPr>
      </w:pPr>
      <w:r>
        <w:t xml:space="preserve">Use static analysis tools or multiple compilers to help identify occurrences of obscure language features.</w:t>
      </w:r>
    </w:p>
    <w:bookmarkEnd w:id="201"/>
    <w:bookmarkEnd w:id="202"/>
    <w:bookmarkStart w:id="205" w:name="unspecified-behaviour-bqf"/>
    <w:p>
      <w:pPr>
        <w:pStyle w:val="Heading2"/>
      </w:pPr>
      <w:r>
        <w:t xml:space="preserve">6.55 Unspecified Behaviour [BQF]</w:t>
      </w:r>
    </w:p>
    <w:bookmarkStart w:id="203"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at compile time or executed at runtime, which is one source of unspecified behaviour.</w:t>
      </w:r>
    </w:p>
    <w:p>
      <w:pPr>
        <w:pStyle w:val="SourceCode"/>
      </w:pPr>
      <w:r>
        <w:rPr>
          <w:rStyle w:val="VerbatimChar"/>
        </w:rPr>
        <w:t xml:space="preserve">char data[1 + int(1 + 0.2 - 0.1 - 0.1)] = { }; // compile-time evaluation</w:t>
      </w:r>
      <w:r>
        <w:br/>
      </w:r>
      <w:r>
        <w:rPr>
          <w:rStyle w:val="VerbatimChar"/>
        </w:rPr>
        <w:t xml:space="preserve">int size = 1 + int(1 + 0.2 - 0.1 - 0.1);       // compile-time or run-time evaluation</w:t>
      </w:r>
      <w:r>
        <w:br/>
      </w:r>
      <w:r>
        <w:rPr>
          <w:rStyle w:val="VerbatimChar"/>
        </w:rPr>
        <w:t xml:space="preserve">char f() { return data[size-1];} // Possible buffer overflow</w:t>
      </w:r>
    </w:p>
    <w:bookmarkEnd w:id="203"/>
    <w:bookmarkStart w:id="204"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Follow the avoidance mechanisms of ISO/IEC 24772-1 clause 6.55.5.</w:t>
      </w:r>
    </w:p>
    <w:p>
      <w:pPr>
        <w:numPr>
          <w:ilvl w:val="0"/>
          <w:numId w:val="1105"/>
        </w:numPr>
      </w:pPr>
      <w:r>
        <w:t xml:space="preserve">Use static analysis tools and multiple compilers/tools to help identify occurrences of</w:t>
      </w:r>
      <w:r>
        <w:t xml:space="preserve"> </w:t>
      </w:r>
      <w:r>
        <w:t xml:space="preserve">unspecified behaviour.</w:t>
      </w:r>
    </w:p>
    <w:bookmarkEnd w:id="204"/>
    <w:bookmarkEnd w:id="205"/>
    <w:bookmarkStart w:id="208" w:name="EWF"/>
    <w:p>
      <w:pPr>
        <w:pStyle w:val="Heading2"/>
      </w:pPr>
      <w:r>
        <w:t xml:space="preserve">6.56 Undefined Behaviour [EWF]</w:t>
      </w:r>
    </w:p>
    <w:bookmarkStart w:id="206" w:name="applicability-to-language"/>
    <w:p>
      <w:pPr>
        <w:pStyle w:val="Heading3"/>
      </w:pPr>
      <w:r>
        <w:t xml:space="preserve">6.56.1 Applicability to language</w:t>
      </w:r>
    </w:p>
    <w:p>
      <w:pPr>
        <w:pStyle w:val="FirstParagraph"/>
      </w:pPr>
      <w:r>
        <w:t xml:space="preserve">The vulnerability as described in ISO/IEC 24772-1 clause 6.56</w:t>
      </w:r>
      <w:r>
        <w:t xml:space="preserve"> </w:t>
      </w:r>
      <w:r>
        <w:t xml:space="preserve">applies to C++. 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w:t>
      </w:r>
      <w:r>
        <w:t xml:space="preserve"> </w:t>
      </w:r>
      <w:r>
        <w:t xml:space="preserve">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 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UB often appears to work correctly but masks situations that can result in serious consequences, for example:</w:t>
      </w:r>
    </w:p>
    <w:p>
      <w:pPr>
        <w:numPr>
          <w:ilvl w:val="0"/>
          <w:numId w:val="1106"/>
        </w:numPr>
        <w:pStyle w:val="Compact"/>
      </w:pPr>
      <w:r>
        <w:t xml:space="preserve">Compilers optimize based on the assemed lack of UB, that can result in the incorrect pruning of code paths</w:t>
      </w:r>
    </w:p>
    <w:p>
      <w:pPr>
        <w:numPr>
          <w:ilvl w:val="0"/>
          <w:numId w:val="1106"/>
        </w:numPr>
        <w:pStyle w:val="Compact"/>
      </w:pPr>
      <w:r>
        <w:t xml:space="preserve">Compiler (or tool chain) changes or updates can result in previously undetected UB’s being manifested with serious consequences.</w:t>
      </w:r>
    </w:p>
    <w:p>
      <w:pPr>
        <w:numPr>
          <w:ilvl w:val="0"/>
          <w:numId w:val="1106"/>
        </w:numPr>
        <w:pStyle w:val="Compact"/>
      </w:pPr>
      <w:r>
        <w:t xml:space="preserve">If the impact of a UB is the overwriting of some memory location, non-obvious changes to the source code can result in a previously benign action now having serious consequences.</w:t>
      </w:r>
    </w:p>
    <w:p>
      <w:pPr>
        <w:numPr>
          <w:ilvl w:val="0"/>
          <w:numId w:val="1106"/>
        </w:numPr>
        <w:pStyle w:val="Compact"/>
      </w:pPr>
      <w:r>
        <w:t xml:space="preserve">The impact of the UB often depends on additional factors, for example the available capacity of a container decides if memory needs to be reallocated.</w:t>
      </w:r>
    </w:p>
    <w:p>
      <w:pPr>
        <w:pStyle w:val="FirstParagraph"/>
      </w:pPr>
      <w:r>
        <w:t xml:space="preserve">Undefined behaviour often manifests in code distant from where the UB occured, resulting in extremely hard to find bug.</w:t>
      </w:r>
      <w:r>
        <w:t xml:space="preserve"> </w:t>
      </w:r>
      <w:r>
        <w:t xml:space="preserve">Therfore,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6"/>
    <w:bookmarkStart w:id="207"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clause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ASAN (address sanitizer) and related tools.</w:t>
      </w:r>
    </w:p>
    <w:p>
      <w:pPr>
        <w:numPr>
          <w:ilvl w:val="0"/>
          <w:numId w:val="1107"/>
        </w:numPr>
      </w:pPr>
      <w:r>
        <w:t xml:space="preserve">Use multiple compilers/tools and different optimization levels to</w:t>
      </w:r>
      <w:r>
        <w:t xml:space="preserve"> </w:t>
      </w:r>
      <w:r>
        <w:t xml:space="preserve">increase the chance of identifying constructs that have undefined</w:t>
      </w:r>
      <w:r>
        <w:t xml:space="preserve"> </w:t>
      </w:r>
      <w:r>
        <w:t xml:space="preserve">behaviours.</w:t>
      </w:r>
    </w:p>
    <w:p>
      <w:pPr>
        <w:numPr>
          <w:ilvl w:val="0"/>
          <w:numId w:val="1107"/>
        </w:numPr>
      </w:pPr>
      <w:r>
        <w:t xml:space="preserve">Where the C++ language or library provide both defined behaviour mechanisms and</w:t>
      </w:r>
      <w:r>
        <w:t xml:space="preserve"> </w:t>
      </w:r>
      <w:r>
        <w:t xml:space="preserve">undefined behaviour mechanisms, mandate the use the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7"/>
    <w:bookmarkEnd w:id="208"/>
    <w:bookmarkStart w:id="211" w:name="implementation-defined-behaviour-fab"/>
    <w:p>
      <w:pPr>
        <w:pStyle w:val="Heading2"/>
      </w:pPr>
      <w:r>
        <w:t xml:space="preserve">6.57 Implementation-defined Behaviour [FAB]</w:t>
      </w:r>
    </w:p>
    <w:bookmarkStart w:id="209" w:name="applicability-to-language"/>
    <w:p>
      <w:pPr>
        <w:pStyle w:val="Heading3"/>
      </w:pPr>
      <w:r>
        <w:t xml:space="preserve">6.57.1 Applicability to language</w:t>
      </w:r>
    </w:p>
    <w:p>
      <w:pPr>
        <w:pStyle w:val="FirstParagraph"/>
      </w:pPr>
      <w:r>
        <w:t xml:space="preserve">The vulnerability as described in ISO/IEC 24772-1:2019 clause 6.57</w:t>
      </w:r>
      <w:r>
        <w:t xml:space="preserve"> </w:t>
      </w:r>
      <w:r>
        <w:t xml:space="preserve">applies to C++. In ISO/IEC 14882, the term</w:t>
      </w:r>
      <w:r>
        <w:t xml:space="preserve"> </w:t>
      </w:r>
      <w:r>
        <w:t xml:space="preserve">“</w:t>
      </w:r>
      <w:r>
        <w:t xml:space="preserve">implementation-defined</w:t>
      </w:r>
      <w:r>
        <w:t xml:space="preserve">”</w:t>
      </w:r>
      <w:r>
        <w:t xml:space="preserve"> </w:t>
      </w:r>
      <w:r>
        <w:t xml:space="preserve">is used to describe implementation-defined behaviour. In addition, the</w:t>
      </w:r>
      <w:r>
        <w:t xml:space="preserve"> </w:t>
      </w:r>
      <w:r>
        <w:t xml:space="preserve">C++ standard provides a dedicated index titled,</w:t>
      </w:r>
      <w:r>
        <w:t xml:space="preserve"> </w:t>
      </w:r>
      <w:r>
        <w:t xml:space="preserve">“</w:t>
      </w:r>
      <w:r>
        <w:t xml:space="preserve">Index of</w:t>
      </w:r>
      <w:r>
        <w:t xml:space="preserve"> </w:t>
      </w:r>
      <w:r>
        <w:t xml:space="preserve">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09"/>
    <w:bookmarkStart w:id="210"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w:t>
      </w:r>
      <w:r>
        <w:t xml:space="preserve"> </w:t>
      </w:r>
      <w:r>
        <w:t xml:space="preserve">implementation-defined behaviour from programs in order to increase</w:t>
      </w:r>
      <w:r>
        <w:t xml:space="preserve"> </w:t>
      </w:r>
      <w:r>
        <w:t xml:space="preserve">portability.</w:t>
      </w:r>
    </w:p>
    <w:p>
      <w:pPr>
        <w:numPr>
          <w:ilvl w:val="0"/>
          <w:numId w:val="1109"/>
        </w:numPr>
      </w:pPr>
      <w:r>
        <w:t xml:space="preserve">Use multiple compilers/tools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0"/>
    <w:bookmarkEnd w:id="211"/>
    <w:bookmarkStart w:id="214" w:name="deprecated-language-features-mem"/>
    <w:p>
      <w:pPr>
        <w:pStyle w:val="Heading2"/>
      </w:pPr>
      <w:r>
        <w:t xml:space="preserve">6.58 Deprecated Language Features [MEM]</w:t>
      </w:r>
    </w:p>
    <w:bookmarkStart w:id="212" w:name="applicability-to-language"/>
    <w:p>
      <w:pPr>
        <w:pStyle w:val="Heading3"/>
      </w:pPr>
      <w:r>
        <w:t xml:space="preserve">6.58.1 Applicability to language</w:t>
      </w:r>
    </w:p>
    <w:p>
      <w:pPr>
        <w:pStyle w:val="FirstParagraph"/>
      </w:pPr>
      <w:r>
        <w:t xml:space="preserve">The vulnerability as described in ISO/IEC 24772-1 clause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2"/>
    <w:bookmarkStart w:id="213"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3"/>
    <w:bookmarkEnd w:id="214"/>
    <w:bookmarkStart w:id="217" w:name="CGA"/>
    <w:p>
      <w:pPr>
        <w:pStyle w:val="Heading2"/>
      </w:pPr>
      <w:r>
        <w:t xml:space="preserve">6.59 Concurrency – Activation [CGA]</w:t>
      </w:r>
    </w:p>
    <w:bookmarkStart w:id="215"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5"/>
    <w:bookmarkStart w:id="216"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6"/>
    <w:bookmarkEnd w:id="217"/>
    <w:bookmarkStart w:id="219" w:name="concurrency-directed-termination-cgt"/>
    <w:p>
      <w:pPr>
        <w:pStyle w:val="Heading2"/>
      </w:pPr>
      <w:r>
        <w:t xml:space="preserve">6.60 Concurrency – Directed termination [CGT]</w:t>
      </w:r>
    </w:p>
    <w:bookmarkStart w:id="218"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18"/>
    <w:bookmarkEnd w:id="219"/>
    <w:bookmarkStart w:id="220"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0"/>
    <w:bookmarkStart w:id="223" w:name="CGX"/>
    <w:p>
      <w:pPr>
        <w:pStyle w:val="Heading2"/>
      </w:pPr>
      <w:r>
        <w:t xml:space="preserve">6.61 Concurrent Data Access [CGX]</w:t>
      </w:r>
    </w:p>
    <w:bookmarkStart w:id="221"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1"/>
    <w:bookmarkStart w:id="222"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2"/>
    <w:bookmarkEnd w:id="223"/>
    <w:bookmarkStart w:id="227" w:name="concurrency-premature-termination-cgs"/>
    <w:p>
      <w:pPr>
        <w:pStyle w:val="Heading2"/>
      </w:pPr>
      <w:r>
        <w:t xml:space="preserve">6.62 Concurrency – Premature Termination [CGS]</w:t>
      </w:r>
    </w:p>
    <w:bookmarkStart w:id="224" w:name="applicability-to-language"/>
    <w:p>
      <w:pPr>
        <w:pStyle w:val="Heading3"/>
      </w:pPr>
      <w:r>
        <w:t xml:space="preserve">6.62.1 Applicability to language</w:t>
      </w:r>
    </w:p>
    <w:bookmarkEnd w:id="224"/>
    <w:bookmarkStart w:id="225"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5"/>
    <w:bookmarkStart w:id="226"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6"/>
    <w:bookmarkEnd w:id="227"/>
    <w:bookmarkStart w:id="230" w:name="uncontrolled-format-string-shl"/>
    <w:p>
      <w:pPr>
        <w:pStyle w:val="Heading2"/>
      </w:pPr>
      <w:r>
        <w:t xml:space="preserve">6.64 Uncontrolled Format String [SHL]</w:t>
      </w:r>
    </w:p>
    <w:bookmarkStart w:id="228"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28"/>
    <w:bookmarkStart w:id="229"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29"/>
    <w:bookmarkEnd w:id="230"/>
    <w:bookmarkEnd w:id="231"/>
    <w:bookmarkStart w:id="236" w:name="UJO"/>
    <w:p>
      <w:pPr>
        <w:pStyle w:val="Heading1"/>
      </w:pPr>
      <w:r>
        <w:t xml:space="preserve">6.65 Modifying constants [UJO]</w:t>
      </w:r>
    </w:p>
    <w:bookmarkStart w:id="234" w:name="applicability-to-language"/>
    <w:p>
      <w:pPr>
        <w:pStyle w:val="Heading3"/>
      </w:pPr>
      <w:r>
        <w:t xml:space="preserve">6.65.1 Applicability to language</w:t>
      </w:r>
    </w:p>
    <w:p>
      <w:pPr>
        <w:pStyle w:val="FirstParagraph"/>
      </w:pPr>
      <w:r>
        <w:t xml:space="preserve">The vulnerability as documented in ISO/IEC TR 24772-1:2019 clause 6.65</w:t>
      </w:r>
      <w:r>
        <w:t xml:space="preserve"> </w:t>
      </w:r>
      <w:r>
        <w:t xml:space="preserve">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w:t>
      </w:r>
      <w:r>
        <w:t xml:space="preserve"> </w:t>
      </w:r>
      <w:r>
        <w:t xml:space="preserve">object.</w:t>
      </w:r>
      <w:r>
        <w:t xml:space="preserve"> </w:t>
      </w:r>
      <w:r>
        <w:t xml:space="preserve">While it is possible to remove the const-qualification for an access path, attempting to modify a const object this way is undefined-behavior (see</w:t>
      </w:r>
      <w:r>
        <w:t xml:space="preserve"> </w:t>
      </w:r>
      <w:bookmarkStart w:id="232" w:name="EWF"/>
      <w:r>
        <w:t xml:space="preserve">Undefined Behavior [EWF]</w:t>
      </w:r>
      <w:bookmarkEnd w:id="232"/>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p>
    <w:p>
      <w:pPr>
        <w:pStyle w:val="BodyText"/>
      </w:pP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3" w:name="FLC"/>
      <w:r>
        <w:t xml:space="preserve">Conversion Errors [FLC]</w:t>
      </w:r>
      <w:bookmarkEnd w:id="233"/>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4"/>
    <w:bookmarkStart w:id="235"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Within</w:t>
      </w:r>
      <w:r>
        <w:t xml:space="preserve"> </w:t>
      </w:r>
      <w:r>
        <w:rPr>
          <w:rStyle w:val="AttributeTok"/>
        </w:rPr>
        <w:t xml:space="preserve">const</w:t>
      </w:r>
      <w:r>
        <w:t xml:space="preserve"> </w:t>
      </w:r>
      <w:r>
        <w:t xml:space="preserve">member functions, avoid indirectly modifying the object’s state.</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synchronisation primitives or are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5"/>
    <w:bookmarkEnd w:id="236"/>
    <w:bookmarkStart w:id="237" w:name="language-specific-vulnerabilities-for-c"/>
    <w:p>
      <w:pPr>
        <w:pStyle w:val="Heading1"/>
      </w:pPr>
      <w:r>
        <w:t xml:space="preserve">7. Language specific vulnerabilities for C++</w:t>
      </w:r>
    </w:p>
    <w:p>
      <w:pPr>
        <w:pStyle w:val="FirstParagraph"/>
      </w:pPr>
      <w:r>
        <w:t xml:space="preserve">TBD</w:t>
      </w:r>
    </w:p>
    <w:bookmarkEnd w:id="237"/>
    <w:bookmarkStart w:id="239"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38"/>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39"/>
    <w:bookmarkStart w:id="253"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0"/>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1">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2">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3">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4">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5">
        <w:r>
          <w:rPr>
            <w:rStyle w:val="Hyperlink"/>
          </w:rPr>
          <w:t xml:space="preserve">http://myweb.lmu.edu/dondi/share/pl/type-checking-v02.pdf</w:t>
        </w:r>
      </w:hyperlink>
    </w:p>
    <w:p>
      <w:pPr>
        <w:pStyle w:val="Bibliography1"/>
      </w:pPr>
      <w:r>
        <w:t xml:space="preserve">[32] MISRA Limited. "</w:t>
      </w:r>
      <w:hyperlink r:id="rId246">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7">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48">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49">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0">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1">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2">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3"/>
    <w:bookmarkStart w:id="254" w:name="index"/>
    <w:p>
      <w:pPr>
        <w:pStyle w:val="Heading1"/>
      </w:pPr>
      <w:r>
        <w:t xml:space="preserve">Index</w:t>
      </w:r>
    </w:p>
    <w:p>
      <w:pPr>
        <w:pStyle w:val="Bibliography1"/>
      </w:pPr>
      <w:r>
        <w:t xml:space="preserve">LHS (left-hand side), 22</w:t>
      </w:r>
    </w:p>
    <w:bookmarkEnd w:id="2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49" Target="http://archive.gao.gov/t2pbat6/145960.pdf" TargetMode="External" /><Relationship Type="http://schemas.openxmlformats.org/officeDocument/2006/relationships/hyperlink" Id="rId247" Target="http://cwe.mitre.org/" TargetMode="External" /><Relationship Type="http://schemas.openxmlformats.org/officeDocument/2006/relationships/hyperlink" Id="rId243" Target="http://en.wikisource.org/wiki/Ariane_501_Inquiry_Board_report" TargetMode="External" /><Relationship Type="http://schemas.openxmlformats.org/officeDocument/2006/relationships/hyperlink" Id="rId241" Target="http://esamultimedia.esa.int/docs/esa-x-1819eng.pdf" TargetMode="External" /><Relationship Type="http://schemas.openxmlformats.org/officeDocument/2006/relationships/hyperlink" Id="rId245" Target="http://myweb.lmu.edu/dondi/share/pl/type-checking-v02.pdf" TargetMode="External" /><Relationship Type="http://schemas.openxmlformats.org/officeDocument/2006/relationships/hyperlink" Id="rId252" Target="http://www.adaic.org/docs/95style/95style.pdf" TargetMode="External" /><Relationship Type="http://schemas.openxmlformats.org/officeDocument/2006/relationships/hyperlink" Id="rId244" Target="http://www.cert.org/books/secure-coding" TargetMode="External" /><Relationship Type="http://schemas.openxmlformats.org/officeDocument/2006/relationships/hyperlink" Id="rId242" Target="http://www.embedded.com/1999/9907/9907feat2.htm" TargetMode="External" /><Relationship Type="http://schemas.openxmlformats.org/officeDocument/2006/relationships/hyperlink" Id="rId246" Target="http://www.misra.org.uk/" TargetMode="External" /><Relationship Type="http://schemas.openxmlformats.org/officeDocument/2006/relationships/hyperlink" Id="rId248" Target="http://www.nsc.liu.se/wg25/book" TargetMode="External" /><Relationship Type="http://schemas.openxmlformats.org/officeDocument/2006/relationships/hyperlink" Id="rId250"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1"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49" Target="http://archive.gao.gov/t2pbat6/145960.pdf" TargetMode="External" /><Relationship Type="http://schemas.openxmlformats.org/officeDocument/2006/relationships/hyperlink" Id="rId247" Target="http://cwe.mitre.org/" TargetMode="External" /><Relationship Type="http://schemas.openxmlformats.org/officeDocument/2006/relationships/hyperlink" Id="rId243" Target="http://en.wikisource.org/wiki/Ariane_501_Inquiry_Board_report" TargetMode="External" /><Relationship Type="http://schemas.openxmlformats.org/officeDocument/2006/relationships/hyperlink" Id="rId241" Target="http://esamultimedia.esa.int/docs/esa-x-1819eng.pdf" TargetMode="External" /><Relationship Type="http://schemas.openxmlformats.org/officeDocument/2006/relationships/hyperlink" Id="rId245" Target="http://myweb.lmu.edu/dondi/share/pl/type-checking-v02.pdf" TargetMode="External" /><Relationship Type="http://schemas.openxmlformats.org/officeDocument/2006/relationships/hyperlink" Id="rId252" Target="http://www.adaic.org/docs/95style/95style.pdf" TargetMode="External" /><Relationship Type="http://schemas.openxmlformats.org/officeDocument/2006/relationships/hyperlink" Id="rId244" Target="http://www.cert.org/books/secure-coding" TargetMode="External" /><Relationship Type="http://schemas.openxmlformats.org/officeDocument/2006/relationships/hyperlink" Id="rId242" Target="http://www.embedded.com/1999/9907/9907feat2.htm" TargetMode="External" /><Relationship Type="http://schemas.openxmlformats.org/officeDocument/2006/relationships/hyperlink" Id="rId246" Target="http://www.misra.org.uk/" TargetMode="External" /><Relationship Type="http://schemas.openxmlformats.org/officeDocument/2006/relationships/hyperlink" Id="rId248" Target="http://www.nsc.liu.se/wg25/book" TargetMode="External" /><Relationship Type="http://schemas.openxmlformats.org/officeDocument/2006/relationships/hyperlink" Id="rId250"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1"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2026-03-02T14:48:36Z</dcterms:created>
  <dcterms:modified xsi:type="dcterms:W3CDTF">2026-03-02T14:48:36Z</dcterms:modified>
</cp:coreProperties>
</file>

<file path=docProps/custom.xml><?xml version="1.0" encoding="utf-8"?>
<Properties xmlns="http://schemas.openxmlformats.org/officeDocument/2006/custom-properties" xmlns:vt="http://schemas.openxmlformats.org/officeDocument/2006/docPropsVTypes"/>
</file>