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w:t>
      </w:r>
      <w:r>
        <w:t xml:space="preserve"> </w:t>
      </w:r>
      <w:r>
        <w:t xml:space="preserve">- Value initialization, e.g. std::string s{};</w:t>
      </w:r>
      <w:r>
        <w:t xml:space="preserve"> </w:t>
      </w:r>
      <w:r>
        <w:t xml:space="preserve">- Direct initialization, e.g. std::string s(</w:t>
      </w:r>
      <w:r>
        <w:t xml:space="preserve">“</w:t>
      </w:r>
      <w:r>
        <w:t xml:space="preserve">hello</w:t>
      </w:r>
      <w:r>
        <w:t xml:space="preserve">”</w:t>
      </w:r>
      <w:r>
        <w:t xml:space="preserve">);</w:t>
      </w:r>
      <w:r>
        <w:t xml:space="preserve"> </w:t>
      </w:r>
      <w:r>
        <w:t xml:space="preserve">- Copy initialization, e.g. std::string s =</w:t>
      </w:r>
      <w:r>
        <w:t xml:space="preserve"> </w:t>
      </w:r>
      <w:r>
        <w:t xml:space="preserve">“</w:t>
      </w:r>
      <w:r>
        <w:t xml:space="preserve">hello</w:t>
      </w:r>
      <w:r>
        <w:t xml:space="preserve">”</w:t>
      </w:r>
      <w:r>
        <w:t xml:space="preserve">;</w:t>
      </w:r>
      <w:r>
        <w:t xml:space="preserve"> </w:t>
      </w:r>
      <w:r>
        <w:t xml:space="preserve">- List initialization, e.g. std::string s{</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 Aggregate initialization, e.g. char a[3] = {</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 Reference initialization, e.g. char&amp; c = a[0];</w:t>
      </w:r>
      <w:r>
        <w:t xml:space="preserve"> </w:t>
      </w:r>
      <w:r>
        <w:t xml:space="preserve">- Zero initialization</w:t>
      </w:r>
      <w:r>
        <w:t xml:space="preserve"> </w:t>
      </w:r>
      <w:r>
        <w:t xml:space="preserve">- Default initialization</w:t>
      </w:r>
      <w:r>
        <w:t xml:space="preserve"> </w:t>
      </w:r>
      <w:r>
        <w:t xml:space="preserve">copy, move, default constructor</w:t>
      </w:r>
    </w:p>
    <w:p>
      <w:pPr>
        <w:pStyle w:val="BodyText"/>
      </w:pPr>
      <w:r>
        <w:t xml:space="preserve">C++ has many forms of initilization, which generally guarantee that subsequent access to the declared object will be well-defined, however C++ does not always guarantee that it contains a legal value unless the programmer explicitly initializes it with a value.</w:t>
      </w:r>
      <w:r>
        <w:t xml:space="preserve"> </w:t>
      </w:r>
      <w:r>
        <w:t xml:space="preserve">See ##6.22 Missing initialization of variables [LAV]#LAV.</w:t>
      </w:r>
    </w:p>
    <w:p>
      <w:pPr>
        <w:pStyle w:val="BodyText"/>
      </w:pPr>
      <w:r>
        <w:t xml:space="preserve">The kind of initialization that happens in C++ when an explicit initializer is not used depends on the context of the declaration.</w:t>
      </w:r>
    </w:p>
    <w:p>
      <w:pPr>
        <w:pStyle w:val="SourceCode"/>
      </w:pPr>
      <w:r>
        <w:rPr>
          <w:rStyle w:val="NormalTok"/>
        </w:rPr>
        <w:t xml:space="preserve">   </w:t>
      </w:r>
      <w:r>
        <w:rPr>
          <w:rStyle w:val="DataTypeTok"/>
        </w:rPr>
        <w:t xml:space="preserve">int</w:t>
      </w:r>
      <w:r>
        <w:rPr>
          <w:rStyle w:val="NormalTok"/>
        </w:rPr>
        <w:t xml:space="preserve"> i; </w:t>
      </w:r>
      <w:r>
        <w:rPr>
          <w:rStyle w:val="CommentTok"/>
        </w:rPr>
        <w:t xml:space="preserve">// zero-initialized in global name space, </w:t>
      </w:r>
      <w:r>
        <w:br/>
      </w:r>
      <w:r>
        <w:rPr>
          <w:rStyle w:val="NormalTok"/>
        </w:rPr>
        <w:t xml:space="preserve">    </w:t>
      </w:r>
      <w:r>
        <w:rPr>
          <w:rStyle w:val="DataTypeTok"/>
        </w:rPr>
        <w:t xml:space="preserve">void</w:t>
      </w:r>
      <w:r>
        <w:rPr>
          <w:rStyle w:val="NormalTok"/>
        </w:rPr>
        <w:t xml:space="preserve"> foo()</w:t>
      </w:r>
      <w:r>
        <w:br/>
      </w:r>
      <w:r>
        <w:rPr>
          <w:rStyle w:val="NormalTok"/>
        </w:rPr>
        <w:t xml:space="preserve">   {</w:t>
      </w:r>
      <w:r>
        <w:br/>
      </w:r>
      <w:r>
        <w:rPr>
          <w:rStyle w:val="NormalTok"/>
        </w:rPr>
        <w:t xml:space="preserve">       </w:t>
      </w:r>
      <w:r>
        <w:rPr>
          <w:rStyle w:val="DataTypeTok"/>
        </w:rPr>
        <w:t xml:space="preserve">int</w:t>
      </w:r>
      <w:r>
        <w:rPr>
          <w:rStyle w:val="NormalTok"/>
        </w:rPr>
        <w:t xml:space="preserve"> i; </w:t>
      </w:r>
      <w:r>
        <w:rPr>
          <w:rStyle w:val="CommentTok"/>
        </w:rPr>
        <w:t xml:space="preserve">// default initialized, inderterminate value</w:t>
      </w:r>
      <w:r>
        <w:br/>
      </w:r>
      <w:r>
        <w:rPr>
          <w:rStyle w:val="NormalTok"/>
        </w:rPr>
        <w:t xml:space="preserve">       </w:t>
      </w:r>
      <w:r>
        <w:rPr>
          <w:rStyle w:val="DataTypeTok"/>
        </w:rPr>
        <w:t xml:space="preserve">int</w:t>
      </w:r>
      <w:r>
        <w:rPr>
          <w:rStyle w:val="NormalTok"/>
        </w:rPr>
        <w:t xml:space="preserve"> j{};  </w:t>
      </w:r>
      <w:r>
        <w:rPr>
          <w:rStyle w:val="CommentTok"/>
        </w:rPr>
        <w:t xml:space="preserve">// value-initialized to zero</w:t>
      </w:r>
      <w:r>
        <w:br/>
      </w:r>
      <w:r>
        <w:rPr>
          <w:rStyle w:val="NormalTok"/>
        </w:rPr>
        <w:t xml:space="preserve">    }</w:t>
      </w:r>
      <w:r>
        <w:br/>
      </w:r>
      <w:r>
        <w:rPr>
          <w:rStyle w:val="NormalTok"/>
        </w:rPr>
        <w:t xml:space="preserve"> </w:t>
      </w:r>
    </w:p>
    <w:p>
      <w:pPr>
        <w:pStyle w:val="FirstParagraph"/>
      </w:pPr>
      <w:r>
        <w:t xml:space="preserve">Non-local variables with static storage duration that are dynamically initialized can cause undefined behavior</w:t>
      </w:r>
      <w:r>
        <w:t xml:space="preserve"> </w:t>
      </w:r>
      <w:hyperlink w:anchor="EWF">
        <w:r>
          <w:rPr>
            <w:rStyle w:val="Hyperlink"/>
          </w:rPr>
          <w:t xml:space="preserve">[EWF]</w:t>
        </w:r>
      </w:hyperlink>
      <w:r>
        <w:t xml:space="preserve"> </w:t>
      </w:r>
      <w:r>
        <w:t xml:space="preserve">if the initialization depends on other such variables, see ##6.22 Missing initialization of variables [LAV]#LAV.</w:t>
      </w:r>
    </w:p>
    <w:p>
      <w:pPr>
        <w:pStyle w:val="BodyText"/>
      </w:pPr>
      <w:r>
        <w:t xml:space="preserve">The lifetime of most objects of a class type begins when the object’s constructor has completed.</w:t>
      </w:r>
      <w:r>
        <w:t xml:space="preserve"> </w:t>
      </w:r>
      <w:r>
        <w:t xml:space="preserve">In some situations binding a reference to a temporary will extend the lifetime of the temporary.</w:t>
      </w:r>
      <w:r>
        <w:t xml:space="preserve"> </w:t>
      </w:r>
      <w:r>
        <w:t xml:space="preserve">See ##4.4 Lifetime and ## 6.33 Dangling References to Stack Frames [DCM].</w:t>
      </w:r>
      <w:r>
        <w:t xml:space="preserve"> </w:t>
      </w:r>
      <w:r>
        <w:t xml:space="preserve">// In any case, an object should not be accessed until its initialization is complete (including concurrency???). Richard C thinks that https://eel.is/c++draft/basic.start.dynamic#5 means that there is no danger of one thread accessing a dynamically initialized global variable before the initialization has taken place - is that the case?</w:t>
      </w:r>
    </w:p>
    <w:p>
      <w:pPr>
        <w:pStyle w:val="BodyText"/>
      </w:pPr>
      <w:r>
        <w:t xml:space="preserve">When a function is called, each parameter is initialized with its corresponding argument.</w:t>
      </w:r>
      <w:r>
        <w:t xml:space="preserve"> </w:t>
      </w:r>
      <w:r>
        <w:t xml:space="preserve">The initialization of a parameter, including every associated value computation and side effect, is indeterminately sequenced with respect to that of any other parameter, see ## 6.24 Side-effects and Order of Evaluation of Operands [SAM].</w:t>
      </w:r>
      <w:r>
        <w:t xml:space="preserve"> </w:t>
      </w:r>
      <w:r>
        <w:t xml:space="preserve">On the other hand, the value computation and side effects of the initializer-clauses in an initializer-list are evaluated in the order they appear.</w:t>
      </w:r>
    </w:p>
    <w:p>
      <w:pPr>
        <w:pStyle w:val="BodyText"/>
      </w:pPr>
      <w:r>
        <w:t xml:space="preserve">There are many ways for a user to construct, or initialize, an object.</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and/or use static analysis tools that provide such warnings.</w:t>
      </w:r>
    </w:p>
    <w:p>
      <w:pPr>
        <w:numPr>
          <w:ilvl w:val="0"/>
          <w:numId w:val="1012"/>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2"/>
        </w:numPr>
      </w:pPr>
      <w:r>
        <w:t xml:space="preserve">Define any conversion operator as</w:t>
      </w:r>
      <w:r>
        <w:t xml:space="preserve"> </w:t>
      </w:r>
      <w:r>
        <w:rPr>
          <w:rStyle w:val="KeywordTok"/>
        </w:rPr>
        <w:t xml:space="preserve">explicit</w:t>
      </w:r>
    </w:p>
    <w:p>
      <w:pPr>
        <w:numPr>
          <w:ilvl w:val="0"/>
          <w:numId w:val="1012"/>
        </w:numPr>
      </w:pPr>
      <w:r>
        <w:t xml:space="preserve">Use strong types for domain values instead of the built-in types. On system boundaries, e.g., for input, convert a read value immediately to the appropriate strong type.</w:t>
      </w:r>
    </w:p>
    <w:p>
      <w:pPr>
        <w:numPr>
          <w:ilvl w:val="0"/>
          <w:numId w:val="1012"/>
        </w:numPr>
      </w:pPr>
      <w:r>
        <w:t xml:space="preserve">When defining variables of arithmetic type, use a braced-initializer to prevent a potential narrowing conversion from the initial value’s type.</w:t>
      </w:r>
    </w:p>
    <w:p>
      <w:pPr>
        <w:numPr>
          <w:ilvl w:val="0"/>
          <w:numId w:val="1012"/>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2"/>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3"/>
        </w:numPr>
      </w:pPr>
      <w:r>
        <w:t xml:space="preserve">Follow the avoidance mechanisms of ISO/IEC 24772-3 clause 6.3.2</w:t>
      </w:r>
    </w:p>
    <w:p>
      <w:pPr>
        <w:numPr>
          <w:ilvl w:val="0"/>
          <w:numId w:val="1013"/>
        </w:numPr>
      </w:pPr>
      <w:r>
        <w:t xml:space="preserve">Avoid the use of shift operations to implement multiplication or division by powers of two.</w:t>
      </w:r>
    </w:p>
    <w:p>
      <w:pPr>
        <w:numPr>
          <w:ilvl w:val="0"/>
          <w:numId w:val="1013"/>
        </w:numPr>
      </w:pPr>
      <w:r>
        <w:t xml:space="preserve">Use built-in bitwise operations only with operands of unsigned integral types or enums with an unsigned underlying type.</w:t>
      </w:r>
    </w:p>
    <w:p>
      <w:pPr>
        <w:numPr>
          <w:ilvl w:val="0"/>
          <w:numId w:val="1013"/>
        </w:numPr>
      </w:pPr>
      <w:r>
        <w:t xml:space="preserve">When performing bitwise operations on operands of an unsigned type that gets promoted to a signed integral type, cast the result to the corresponding unsigned type immediately.</w:t>
      </w:r>
    </w:p>
    <w:p>
      <w:pPr>
        <w:numPr>
          <w:ilvl w:val="0"/>
          <w:numId w:val="1013"/>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3"/>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3"/>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3"/>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24772-1 clause 6.4.5</w:t>
      </w:r>
    </w:p>
    <w:p>
      <w:pPr>
        <w:numPr>
          <w:ilvl w:val="0"/>
          <w:numId w:val="1014"/>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4"/>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5"/>
        </w:numPr>
      </w:pPr>
      <w:r>
        <w:t xml:space="preserve">Prefer</w:t>
      </w:r>
      <w:r>
        <w:t xml:space="preserve"> </w:t>
      </w:r>
      <w:r>
        <w:rPr>
          <w:i/>
        </w:rPr>
        <w:t xml:space="preserve">scoped enumerations</w:t>
      </w:r>
      <w:r>
        <w:t xml:space="preserve"> </w:t>
      </w:r>
      <w:r>
        <w:t xml:space="preserve">with an explicit fixed underlying type.</w:t>
      </w:r>
    </w:p>
    <w:p>
      <w:pPr>
        <w:numPr>
          <w:ilvl w:val="1"/>
          <w:numId w:val="1016"/>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6"/>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6"/>
        </w:numPr>
        <w:pStyle w:val="SourceCode"/>
      </w:pPr>
      <w:r>
        <w:rPr>
          <w:rStyle w:val="VerbatimChar"/>
        </w:rPr>
        <w:t xml:space="preserve">  See MISRA C++ 8.5.3 </w:t>
      </w:r>
    </w:p>
    <w:p>
      <w:pPr>
        <w:numPr>
          <w:ilvl w:val="1"/>
          <w:numId w:val="1016"/>
        </w:numPr>
        <w:pStyle w:val="SourceCode"/>
      </w:pPr>
      <w:r>
        <w:rPr>
          <w:rStyle w:val="VerbatimChar"/>
        </w:rPr>
        <w:t xml:space="preserve">  See MISRA C++ 28.5.5 </w:t>
      </w:r>
    </w:p>
    <w:p>
      <w:pPr>
        <w:numPr>
          <w:ilvl w:val="0"/>
          <w:numId w:val="1015"/>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7"/>
        </w:numPr>
      </w:pPr>
      <w:r>
        <w:t xml:space="preserve">For an enumeration type with a fixed underlying type, avoid assigning integer values that are outside the range of the enumeration’s underlying type.</w:t>
      </w:r>
    </w:p>
    <w:p>
      <w:pPr>
        <w:numPr>
          <w:ilvl w:val="1"/>
          <w:numId w:val="1017"/>
        </w:numPr>
      </w:pPr>
      <w:r>
        <w:t xml:space="preserve">For an enumeration type with no fixed underlying type, avoid assigning integer values that cannot be represented by the enumeration type.</w:t>
      </w:r>
    </w:p>
    <w:p>
      <w:pPr>
        <w:numPr>
          <w:ilvl w:val="1"/>
          <w:numId w:val="1017"/>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8"/>
        </w:numPr>
        <w:pStyle w:val="Compact"/>
      </w:pPr>
      <w:r>
        <w:t xml:space="preserve">type conversion operator</w:t>
      </w:r>
    </w:p>
    <w:p>
      <w:pPr>
        <w:numPr>
          <w:ilvl w:val="1"/>
          <w:numId w:val="1019"/>
        </w:numPr>
        <w:pStyle w:val="Compact"/>
      </w:pPr>
      <w:r>
        <w:rPr>
          <w:rStyle w:val="KeywordTok"/>
        </w:rPr>
        <w:t xml:space="preserve">static_cast</w:t>
      </w:r>
      <w:r>
        <w:t xml:space="preserve">,</w:t>
      </w:r>
    </w:p>
    <w:p>
      <w:pPr>
        <w:numPr>
          <w:ilvl w:val="1"/>
          <w:numId w:val="1019"/>
        </w:numPr>
        <w:pStyle w:val="Compact"/>
      </w:pPr>
      <w:r>
        <w:rPr>
          <w:rStyle w:val="KeywordTok"/>
        </w:rPr>
        <w:t xml:space="preserve">const_cast</w:t>
      </w:r>
      <w:r>
        <w:t xml:space="preserve">,</w:t>
      </w:r>
    </w:p>
    <w:p>
      <w:pPr>
        <w:numPr>
          <w:ilvl w:val="1"/>
          <w:numId w:val="1019"/>
        </w:numPr>
        <w:pStyle w:val="Compact"/>
      </w:pPr>
      <w:r>
        <w:rPr>
          <w:rStyle w:val="KeywordTok"/>
        </w:rPr>
        <w:t xml:space="preserve">dynamic_cast</w:t>
      </w:r>
      <w:r>
        <w:t xml:space="preserve">,</w:t>
      </w:r>
    </w:p>
    <w:p>
      <w:pPr>
        <w:numPr>
          <w:ilvl w:val="1"/>
          <w:numId w:val="1019"/>
        </w:numPr>
        <w:pStyle w:val="Compact"/>
      </w:pPr>
      <w:r>
        <w:rPr>
          <w:rStyle w:val="KeywordTok"/>
        </w:rPr>
        <w:t xml:space="preserve">reinterpret_cast</w:t>
      </w:r>
      <w:r>
        <w:t xml:space="preserve">),</w:t>
      </w:r>
    </w:p>
    <w:p>
      <w:pPr>
        <w:numPr>
          <w:ilvl w:val="0"/>
          <w:numId w:val="1018"/>
        </w:numPr>
        <w:pStyle w:val="Compact"/>
      </w:pPr>
      <w:r>
        <w:t xml:space="preserve">constructor notation with</w:t>
      </w:r>
    </w:p>
    <w:p>
      <w:pPr>
        <w:numPr>
          <w:ilvl w:val="1"/>
          <w:numId w:val="1020"/>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0"/>
        </w:numPr>
        <w:pStyle w:val="Compact"/>
      </w:pPr>
      <w:r>
        <w:t xml:space="preserve">braces (e.g., int{</w:t>
      </w:r>
      <w:r>
        <w:t xml:space="preserve">‘</w:t>
      </w:r>
      <w:r>
        <w:t xml:space="preserve">a</w:t>
      </w:r>
      <w:r>
        <w:t xml:space="preserve">’</w:t>
      </w:r>
      <w:r>
        <w:t xml:space="preserve">}) which prevents narrowing conversions, or</w:t>
      </w:r>
    </w:p>
    <w:p>
      <w:pPr>
        <w:numPr>
          <w:ilvl w:val="0"/>
          <w:numId w:val="1018"/>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1"/>
        </w:numPr>
      </w:pPr>
      <w:r>
        <w:t xml:space="preserve">Use the avoidance mechanisms of ISO/IEC 24772-1 clause 6.6.5:</w:t>
      </w:r>
    </w:p>
    <w:p>
      <w:pPr>
        <w:numPr>
          <w:ilvl w:val="0"/>
          <w:numId w:val="1021"/>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1"/>
        </w:numPr>
      </w:pPr>
      <w:r>
        <w:t xml:space="preserve">Avoid narrowing conversions. (see C++ Core Guidelines ES.46)</w:t>
      </w:r>
    </w:p>
    <w:p>
      <w:pPr>
        <w:numPr>
          <w:ilvl w:val="0"/>
          <w:numId w:val="1021"/>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1"/>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1"/>
        </w:numPr>
      </w:pPr>
      <w:r>
        <w:t xml:space="preserve">Declare</w:t>
      </w:r>
      <w:r>
        <w:t xml:space="preserve"> </w:t>
      </w:r>
      <w:r>
        <w:rPr>
          <w:rStyle w:val="KeywordTok"/>
        </w:rPr>
        <w:t xml:space="preserve">explicit</w:t>
      </w:r>
    </w:p>
    <w:p>
      <w:pPr>
        <w:numPr>
          <w:ilvl w:val="1"/>
          <w:numId w:val="1022"/>
        </w:numPr>
        <w:pStyle w:val="Compact"/>
      </w:pPr>
      <w:r>
        <w:t xml:space="preserve">constructors callable with a single argument; and</w:t>
      </w:r>
    </w:p>
    <w:p>
      <w:pPr>
        <w:numPr>
          <w:ilvl w:val="1"/>
          <w:numId w:val="1022"/>
        </w:numPr>
        <w:pStyle w:val="Compact"/>
      </w:pPr>
      <w:r>
        <w:t xml:space="preserve">conversion functions.</w:t>
      </w:r>
      <w:r>
        <w:t xml:space="preserve"> </w:t>
      </w:r>
      <w:r>
        <w:t xml:space="preserve">(see C++ Core guidelines C.46 and C.164)</w:t>
      </w:r>
    </w:p>
    <w:p>
      <w:pPr>
        <w:numPr>
          <w:ilvl w:val="0"/>
          <w:numId w:val="1021"/>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1"/>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1"/>
        </w:numPr>
      </w:pPr>
      <w:r>
        <w:t xml:space="preserve">Avoid widening the result of an arithmetic operation; prefer instead to widen the type of</w:t>
      </w:r>
      <w:r>
        <w:t xml:space="preserve"> </w:t>
      </w:r>
      <w:r>
        <w:t xml:space="preserve">one or more of the operands</w:t>
      </w:r>
    </w:p>
    <w:p>
      <w:pPr>
        <w:numPr>
          <w:ilvl w:val="0"/>
          <w:numId w:val="1021"/>
        </w:numPr>
      </w:pPr>
      <w:r>
        <w:t xml:space="preserve">Don’t mix signed and unsigned arithmetic (see C++ Core Guidelines ES100)</w:t>
      </w:r>
    </w:p>
    <w:p>
      <w:pPr>
        <w:numPr>
          <w:ilvl w:val="0"/>
          <w:numId w:val="1021"/>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1"/>
        </w:numPr>
      </w:pPr>
      <w:r>
        <w:t xml:space="preserve">Don’t rely on implicit conversions between character types and other types.</w:t>
      </w:r>
    </w:p>
    <w:p>
      <w:pPr>
        <w:numPr>
          <w:ilvl w:val="0"/>
          <w:numId w:val="1021"/>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1"/>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3"/>
        </w:numPr>
      </w:pPr>
      <w:r>
        <w:t xml:space="preserve">Avoid C-style strings.</w:t>
      </w:r>
    </w:p>
    <w:p>
      <w:pPr>
        <w:numPr>
          <w:ilvl w:val="0"/>
          <w:numId w:val="1023"/>
        </w:numPr>
      </w:pPr>
      <w:r>
        <w:t xml:space="preserve">If using C-style strings is unavoidable, use the avoidance mechanisms of ISO/IEC 24772-3 clause 6.7.2.</w:t>
      </w:r>
    </w:p>
    <w:p>
      <w:pPr>
        <w:numPr>
          <w:ilvl w:val="0"/>
          <w:numId w:val="1023"/>
        </w:numPr>
      </w:pPr>
      <w:r>
        <w:t xml:space="preserve">Ensure that explicit overflow checks are performed for all string operations.</w:t>
      </w:r>
    </w:p>
    <w:p>
      <w:pPr>
        <w:numPr>
          <w:ilvl w:val="0"/>
          <w:numId w:val="1023"/>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3"/>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3"/>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4"/>
        </w:numPr>
        <w:pStyle w:val="Compact"/>
      </w:pPr>
      <w:r>
        <w:t xml:space="preserve">wrong input range #1, e.g., passing unrelated iterators,</w:t>
      </w:r>
    </w:p>
    <w:p>
      <w:pPr>
        <w:numPr>
          <w:ilvl w:val="0"/>
          <w:numId w:val="1024"/>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5"/>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5"/>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5"/>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5"/>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5"/>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6"/>
        </w:numPr>
        <w:pStyle w:val="Compact"/>
      </w:pPr>
      <w:hyperlink r:id="rId54">
        <w:r>
          <w:rPr>
            <w:rStyle w:val="Hyperlink"/>
          </w:rPr>
          <w:t xml:space="preserve">SEI CTR50-CPP</w:t>
        </w:r>
      </w:hyperlink>
    </w:p>
    <w:p>
      <w:pPr>
        <w:numPr>
          <w:ilvl w:val="0"/>
          <w:numId w:val="1026"/>
        </w:numPr>
        <w:pStyle w:val="Compact"/>
      </w:pPr>
      <w:hyperlink r:id="rId55">
        <w:r>
          <w:rPr>
            <w:rStyle w:val="Hyperlink"/>
          </w:rPr>
          <w:t xml:space="preserve">SEI CTR53-CPP</w:t>
        </w:r>
      </w:hyperlink>
    </w:p>
    <w:p>
      <w:pPr>
        <w:numPr>
          <w:ilvl w:val="0"/>
          <w:numId w:val="1026"/>
        </w:numPr>
        <w:pStyle w:val="Compact"/>
      </w:pPr>
      <w:hyperlink r:id="rId56">
        <w:r>
          <w:rPr>
            <w:rStyle w:val="Hyperlink"/>
          </w:rPr>
          <w:t xml:space="preserve">SEI CTR55-CPP</w:t>
        </w:r>
      </w:hyperlink>
    </w:p>
    <w:p>
      <w:pPr>
        <w:numPr>
          <w:ilvl w:val="0"/>
          <w:numId w:val="1026"/>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7"/>
        </w:numPr>
      </w:pPr>
      <w:r>
        <w:t xml:space="preserve">Use the avoidance mechanisms of ISO/IEC 24772-1 clause 6.8.5.</w:t>
      </w:r>
    </w:p>
    <w:p>
      <w:pPr>
        <w:numPr>
          <w:ilvl w:val="0"/>
          <w:numId w:val="1027"/>
        </w:numPr>
      </w:pPr>
      <w:r>
        <w:t xml:space="preserve">Avoid C-style arrays. If unavoidable, guidance for the use of C-style arrays is</w:t>
      </w:r>
      <w:r>
        <w:t xml:space="preserve"> </w:t>
      </w:r>
      <w:r>
        <w:t xml:space="preserve">provided in TR 24772-3 clause 6.8.2.</w:t>
      </w:r>
    </w:p>
    <w:p>
      <w:pPr>
        <w:numPr>
          <w:ilvl w:val="0"/>
          <w:numId w:val="1027"/>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7"/>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7"/>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7"/>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7"/>
        </w:numPr>
      </w:pPr>
      <w:r>
        <w:t xml:space="preserve">Prefer using range-based or iterator-based algorithms, such as those of the standard</w:t>
      </w:r>
      <w:r>
        <w:t xml:space="preserve"> </w:t>
      </w:r>
      <w:r>
        <w:t xml:space="preserve">library, over pointer-manipulating or indexing loops.</w:t>
      </w:r>
    </w:p>
    <w:p>
      <w:pPr>
        <w:numPr>
          <w:ilvl w:val="0"/>
          <w:numId w:val="1027"/>
        </w:numPr>
      </w:pPr>
      <w:r>
        <w:t xml:space="preserve">Use the range-based for loop construct to iterate within the defined bounds of a range.</w:t>
      </w:r>
    </w:p>
    <w:p>
      <w:pPr>
        <w:numPr>
          <w:ilvl w:val="0"/>
          <w:numId w:val="1027"/>
        </w:numPr>
      </w:pPr>
      <w:r>
        <w:t xml:space="preserve">Ensure that ranges and iterators used by range-for or passed to algorithms are and remain valid.</w:t>
      </w:r>
    </w:p>
    <w:p>
      <w:pPr>
        <w:numPr>
          <w:ilvl w:val="0"/>
          <w:numId w:val="1027"/>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7"/>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24772-1:2022 clause 6.9.5.</w:t>
      </w:r>
    </w:p>
    <w:p>
      <w:pPr>
        <w:numPr>
          <w:ilvl w:val="0"/>
          <w:numId w:val="1028"/>
        </w:numPr>
      </w:pPr>
      <w:r>
        <w:t xml:space="preserve">Follow the advice from clause</w:t>
      </w:r>
      <w:r>
        <w:t xml:space="preserve"> </w:t>
      </w:r>
      <w:hyperlink w:anchor="HCB">
        <w:r>
          <w:rPr>
            <w:rStyle w:val="Hyperlink"/>
          </w:rPr>
          <w:t xml:space="preserve">6.8.2</w:t>
        </w:r>
      </w:hyperlink>
      <w:r>
        <w:t xml:space="preserve">.</w:t>
      </w:r>
    </w:p>
    <w:p>
      <w:pPr>
        <w:numPr>
          <w:ilvl w:val="0"/>
          <w:numId w:val="1028"/>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8"/>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24772-1:2022 clause 6.10.5.</w:t>
      </w:r>
    </w:p>
    <w:p>
      <w:pPr>
        <w:numPr>
          <w:ilvl w:val="0"/>
          <w:numId w:val="1029"/>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29"/>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29"/>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29"/>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29"/>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29"/>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 clause 6.11.5.</w:t>
      </w:r>
    </w:p>
    <w:p>
      <w:pPr>
        <w:numPr>
          <w:ilvl w:val="0"/>
          <w:numId w:val="1030"/>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0"/>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0"/>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0"/>
        </w:numPr>
      </w:pPr>
      <w:r>
        <w:t xml:space="preserve">If pointer and reference conversions cannot be avoided, treat compiler warnings that are</w:t>
      </w:r>
      <w:r>
        <w:t xml:space="preserve"> </w:t>
      </w:r>
      <w:r>
        <w:t xml:space="preserve">issued for such conversions as hard errors.</w:t>
      </w:r>
    </w:p>
    <w:p>
      <w:pPr>
        <w:numPr>
          <w:ilvl w:val="0"/>
          <w:numId w:val="1030"/>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1"/>
        </w:numPr>
      </w:pPr>
      <w:r>
        <w:t xml:space="preserve">Avoid explicit pointer arithmetic, especially on a pointer to a single object.</w:t>
      </w:r>
    </w:p>
    <w:p>
      <w:pPr>
        <w:numPr>
          <w:ilvl w:val="0"/>
          <w:numId w:val="1031"/>
        </w:numPr>
      </w:pPr>
      <w:r>
        <w:t xml:space="preserve">Prefer calling range-based algorithms over pointer arithmetic.</w:t>
      </w:r>
    </w:p>
    <w:p>
      <w:pPr>
        <w:numPr>
          <w:ilvl w:val="0"/>
          <w:numId w:val="1031"/>
        </w:numPr>
      </w:pPr>
      <w:r>
        <w:t xml:space="preserve">Use the avoidance mechanisms of</w:t>
      </w:r>
      <w:r>
        <w:t xml:space="preserve"> </w:t>
      </w:r>
      <w:hyperlink w:anchor="HCB">
        <w:r>
          <w:rPr>
            <w:rStyle w:val="Hyperlink"/>
          </w:rPr>
          <w:t xml:space="preserve">6.8.2</w:t>
        </w:r>
      </w:hyperlink>
      <w:r>
        <w:t xml:space="preserve">.</w:t>
      </w:r>
    </w:p>
    <w:p>
      <w:pPr>
        <w:numPr>
          <w:ilvl w:val="0"/>
          <w:numId w:val="1031"/>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2"/>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2"/>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2"/>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2"/>
        </w:numPr>
        <w:pStyle w:val="Compact"/>
      </w:pPr>
      <w:r>
        <w:t xml:space="preserve">what is the lifetime of the target of the pointer?</w:t>
      </w:r>
    </w:p>
    <w:p>
      <w:pPr>
        <w:numPr>
          <w:ilvl w:val="0"/>
          <w:numId w:val="1032"/>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the need for pointers by using values.</w:t>
      </w:r>
    </w:p>
    <w:p>
      <w:pPr>
        <w:numPr>
          <w:ilvl w:val="0"/>
          <w:numId w:val="1033"/>
        </w:numPr>
      </w:pPr>
      <w:r>
        <w:t xml:space="preserve">Prefer references over pointers for parameters.</w:t>
      </w:r>
    </w:p>
    <w:p>
      <w:pPr>
        <w:numPr>
          <w:ilvl w:val="0"/>
          <w:numId w:val="1033"/>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3"/>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3"/>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3"/>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3"/>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4"/>
        </w:numPr>
        <w:pStyle w:val="Compact"/>
      </w:pPr>
      <w:r>
        <w:t xml:space="preserve">References (the term value here includes references)</w:t>
      </w:r>
    </w:p>
    <w:p>
      <w:pPr>
        <w:numPr>
          <w:ilvl w:val="0"/>
          <w:numId w:val="1034"/>
        </w:numPr>
        <w:pStyle w:val="Compact"/>
      </w:pPr>
      <w:r>
        <w:t xml:space="preserve">Pointers</w:t>
      </w:r>
    </w:p>
    <w:p>
      <w:pPr>
        <w:numPr>
          <w:ilvl w:val="0"/>
          <w:numId w:val="1034"/>
        </w:numPr>
        <w:pStyle w:val="Compact"/>
      </w:pPr>
      <w:r>
        <w:t xml:space="preserve">Iterators</w:t>
      </w:r>
    </w:p>
    <w:p>
      <w:pPr>
        <w:numPr>
          <w:ilvl w:val="0"/>
          <w:numId w:val="1034"/>
        </w:numPr>
        <w:pStyle w:val="Compact"/>
      </w:pPr>
      <w:r>
        <w:t xml:space="preserve">Views, e.g.,</w:t>
      </w:r>
    </w:p>
    <w:p>
      <w:pPr>
        <w:numPr>
          <w:ilvl w:val="1"/>
          <w:numId w:val="1035"/>
        </w:numPr>
        <w:pStyle w:val="Compact"/>
      </w:pPr>
      <w:r>
        <w:rPr>
          <w:rStyle w:val="BuiltInTok"/>
        </w:rPr>
        <w:t xml:space="preserve">std::</w:t>
      </w:r>
      <w:r>
        <w:rPr>
          <w:rStyle w:val="NormalTok"/>
        </w:rPr>
        <w:t xml:space="preserve">string_view</w:t>
      </w:r>
    </w:p>
    <w:p>
      <w:pPr>
        <w:numPr>
          <w:ilvl w:val="1"/>
          <w:numId w:val="1035"/>
        </w:numPr>
        <w:pStyle w:val="Compact"/>
      </w:pPr>
      <w:r>
        <w:rPr>
          <w:rStyle w:val="BuiltInTok"/>
        </w:rPr>
        <w:t xml:space="preserve">std::</w:t>
      </w:r>
      <w:r>
        <w:rPr>
          <w:rStyle w:val="NormalTok"/>
        </w:rPr>
        <w:t xml:space="preserve">span</w:t>
      </w:r>
    </w:p>
    <w:p>
      <w:pPr>
        <w:numPr>
          <w:ilvl w:val="0"/>
          <w:numId w:val="1034"/>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6"/>
        </w:numPr>
      </w:pPr>
      <w:r>
        <w:t xml:space="preserve">Use the avoidance mechanisms of ISO/IEC 24772-1 clause 6.14.5.</w:t>
      </w:r>
    </w:p>
    <w:p>
      <w:pPr>
        <w:numPr>
          <w:ilvl w:val="0"/>
          <w:numId w:val="1036"/>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6"/>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6"/>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6"/>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6"/>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6"/>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6"/>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7"/>
        </w:numPr>
        <w:pStyle w:val="Compact"/>
      </w:pPr>
      <w:r>
        <w:t xml:space="preserve">although signed integers are defined to be represented as two’s complement, signed integer overflow is undefined behaviour,</w:t>
      </w:r>
    </w:p>
    <w:p>
      <w:pPr>
        <w:numPr>
          <w:ilvl w:val="0"/>
          <w:numId w:val="1037"/>
        </w:numPr>
        <w:pStyle w:val="Compact"/>
      </w:pPr>
      <w:r>
        <w:t xml:space="preserve">unsigned integer arithmetic is defined to wrap-around (modulo arithmetic) and not overflow,</w:t>
      </w:r>
    </w:p>
    <w:p>
      <w:pPr>
        <w:numPr>
          <w:ilvl w:val="0"/>
          <w:numId w:val="1037"/>
        </w:numPr>
        <w:pStyle w:val="Compact"/>
      </w:pPr>
      <w:r>
        <w:t xml:space="preserve">expressions of integral type can implicitly convert to other integral types, even when passed as function arguments,</w:t>
      </w:r>
    </w:p>
    <w:p>
      <w:pPr>
        <w:numPr>
          <w:ilvl w:val="0"/>
          <w:numId w:val="1037"/>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7"/>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8"/>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8"/>
        </w:numPr>
        <w:pStyle w:val="Compact"/>
      </w:pPr>
      <w:r>
        <w:t xml:space="preserve">refrain from relying on integral promotion and implicit conversions, and</w:t>
      </w:r>
    </w:p>
    <w:p>
      <w:pPr>
        <w:numPr>
          <w:ilvl w:val="0"/>
          <w:numId w:val="1038"/>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39"/>
        </w:numPr>
      </w:pPr>
      <w:r>
        <w:t xml:space="preserve">Use the avoidance mechanisms of ISO/IEC 24772-1 clause 6.15.5.</w:t>
      </w:r>
    </w:p>
    <w:p>
      <w:pPr>
        <w:numPr>
          <w:ilvl w:val="0"/>
          <w:numId w:val="1039"/>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39"/>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39"/>
        </w:numPr>
      </w:pPr>
      <w:r>
        <w:t xml:space="preserve">Avoid implicit integral promotions and integral conversions, especially on function arguments.</w:t>
      </w:r>
    </w:p>
    <w:p>
      <w:pPr>
        <w:numPr>
          <w:ilvl w:val="0"/>
          <w:numId w:val="1039"/>
        </w:numPr>
      </w:pPr>
      <w:r>
        <w:t xml:space="preserve">Avoid mixing integral types with different size or different signedness in the same expression.</w:t>
      </w:r>
    </w:p>
    <w:p>
      <w:pPr>
        <w:numPr>
          <w:ilvl w:val="0"/>
          <w:numId w:val="1039"/>
        </w:numPr>
      </w:pPr>
      <w:r>
        <w:t xml:space="preserve">Ensure that the result of any mathematical operation fits within the</w:t>
      </w:r>
      <w:r>
        <w:t xml:space="preserve"> </w:t>
      </w:r>
      <w:r>
        <w:t xml:space="preserve">constraints of the types involved within the expression.</w:t>
      </w:r>
    </w:p>
    <w:p>
      <w:pPr>
        <w:numPr>
          <w:ilvl w:val="0"/>
          <w:numId w:val="1039"/>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39"/>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39"/>
        </w:numPr>
      </w:pPr>
      <w:r>
        <w:t xml:space="preserve">Document where wrap-around is expected for a type.</w:t>
      </w:r>
    </w:p>
    <w:p>
      <w:pPr>
        <w:numPr>
          <w:ilvl w:val="0"/>
          <w:numId w:val="1039"/>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0"/>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0"/>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1"/>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1"/>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1"/>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1"/>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1"/>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1"/>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2"/>
        </w:numPr>
      </w:pPr>
      <w:r>
        <w:t xml:space="preserve">Use the avoidance mechanisms of ISO/IEC 24772-1:2019 clause 6.17.5.</w:t>
      </w:r>
    </w:p>
    <w:p>
      <w:pPr>
        <w:numPr>
          <w:ilvl w:val="0"/>
          <w:numId w:val="1042"/>
        </w:numPr>
      </w:pPr>
      <w:r>
        <w:t xml:space="preserve">Follow the rules of ISO/IEC 14882:2020 clause [lex.name] regarding</w:t>
      </w:r>
      <w:r>
        <w:t xml:space="preserve"> </w:t>
      </w:r>
      <w:r>
        <w:t xml:space="preserve">names to refrain from usage.</w:t>
      </w:r>
    </w:p>
    <w:p>
      <w:pPr>
        <w:numPr>
          <w:ilvl w:val="0"/>
          <w:numId w:val="1042"/>
        </w:numPr>
      </w:pPr>
      <w:r>
        <w:t xml:space="preserve">Avoid the use of similar names to denote different objects of the same type.</w:t>
      </w:r>
    </w:p>
    <w:p>
      <w:pPr>
        <w:numPr>
          <w:ilvl w:val="0"/>
          <w:numId w:val="1042"/>
        </w:numPr>
      </w:pPr>
      <w:r>
        <w:t xml:space="preserve">Use consistency in choosing names, especially for dealing with similar names.</w:t>
      </w:r>
    </w:p>
    <w:p>
      <w:pPr>
        <w:numPr>
          <w:ilvl w:val="0"/>
          <w:numId w:val="1042"/>
        </w:numPr>
      </w:pPr>
      <w:r>
        <w:t xml:space="preserve">Use static analysis and tooling to enforce project-specific naming rules and detect possible similar names, for example, homoglyphs and unexpected text-direction vulnerabilities.</w:t>
      </w:r>
    </w:p>
    <w:p>
      <w:pPr>
        <w:numPr>
          <w:ilvl w:val="0"/>
          <w:numId w:val="1042"/>
        </w:numPr>
      </w:pPr>
      <w:r>
        <w:t xml:space="preserve">Keep the scope of names as small as reasonable.</w:t>
      </w:r>
    </w:p>
    <w:p>
      <w:pPr>
        <w:numPr>
          <w:ilvl w:val="0"/>
          <w:numId w:val="1042"/>
        </w:numPr>
      </w:pPr>
      <w:r>
        <w:t xml:space="preserve">Ensure that the names in your program do not exceed the compiler’s documented limit.</w:t>
      </w:r>
    </w:p>
    <w:p>
      <w:pPr>
        <w:numPr>
          <w:ilvl w:val="0"/>
          <w:numId w:val="1042"/>
        </w:numPr>
      </w:pPr>
      <w:r>
        <w:t xml:space="preserve">Do not differentiate names through only a mixture of case or the</w:t>
      </w:r>
      <w:r>
        <w:t xml:space="preserve"> </w:t>
      </w:r>
      <w:r>
        <w:t xml:space="preserve">presence/absence of an underscore character.</w:t>
      </w:r>
    </w:p>
    <w:p>
      <w:pPr>
        <w:numPr>
          <w:ilvl w:val="0"/>
          <w:numId w:val="1042"/>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 clause 6.18.5.</w:t>
      </w:r>
    </w:p>
    <w:p>
      <w:pPr>
        <w:numPr>
          <w:ilvl w:val="0"/>
          <w:numId w:val="1043"/>
        </w:numPr>
      </w:pPr>
      <w:r>
        <w:t xml:space="preserve">Use compilers and static analysis tools to identify dead stores in</w:t>
      </w:r>
      <w:r>
        <w:t xml:space="preserve"> </w:t>
      </w:r>
      <w:r>
        <w:t xml:space="preserve">the program.</w:t>
      </w:r>
    </w:p>
    <w:p>
      <w:pPr>
        <w:numPr>
          <w:ilvl w:val="0"/>
          <w:numId w:val="1043"/>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6.19.5.</w:t>
      </w:r>
    </w:p>
    <w:p>
      <w:pPr>
        <w:numPr>
          <w:ilvl w:val="0"/>
          <w:numId w:val="1044"/>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6.20.5, with the</w:t>
      </w:r>
      <w:r>
        <w:t xml:space="preserve"> </w:t>
      </w:r>
      <w:r>
        <w:t xml:space="preserve">exclusion of guidance related to truncated identifiers.</w:t>
      </w:r>
    </w:p>
    <w:p>
      <w:pPr>
        <w:numPr>
          <w:ilvl w:val="0"/>
          <w:numId w:val="1045"/>
        </w:numPr>
      </w:pPr>
      <w:r>
        <w:t xml:space="preserve">Qualify names to disambiguate potential conflicts between names</w:t>
      </w:r>
      <w:r>
        <w:t xml:space="preserve"> </w:t>
      </w:r>
      <w:r>
        <w:t xml:space="preserve">introduced from different scopes.</w:t>
      </w:r>
    </w:p>
    <w:p>
      <w:pPr>
        <w:numPr>
          <w:ilvl w:val="0"/>
          <w:numId w:val="1045"/>
        </w:numPr>
      </w:pPr>
      <w:r>
        <w:t xml:space="preserve">Document argument-dependent lookup usage where name qualification is</w:t>
      </w:r>
      <w:r>
        <w:t xml:space="preserve"> </w:t>
      </w:r>
      <w:r>
        <w:t xml:space="preserve">not desirable.</w:t>
      </w:r>
    </w:p>
    <w:p>
      <w:pPr>
        <w:numPr>
          <w:ilvl w:val="0"/>
          <w:numId w:val="1045"/>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5"/>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5"/>
        </w:numPr>
      </w:pPr>
      <w:r>
        <w:t xml:space="preserve">Use modern integrated development environments that inform about the</w:t>
      </w:r>
      <w:r>
        <w:t xml:space="preserve"> </w:t>
      </w:r>
      <w:r>
        <w:t xml:space="preserve">declaration of any identifier occurrence.</w:t>
      </w:r>
    </w:p>
    <w:p>
      <w:pPr>
        <w:numPr>
          <w:ilvl w:val="0"/>
          <w:numId w:val="1045"/>
        </w:numPr>
      </w:pPr>
      <w:r>
        <w:t xml:space="preserve">Enable compiler diagnostics that inform about the hiding of</w:t>
      </w:r>
      <w:r>
        <w:t xml:space="preserve"> </w:t>
      </w:r>
      <w:r>
        <w:t xml:space="preserve">declarations.</w:t>
      </w:r>
    </w:p>
    <w:p>
      <w:pPr>
        <w:numPr>
          <w:ilvl w:val="1"/>
          <w:numId w:val="1046"/>
        </w:numPr>
        <w:pStyle w:val="SourceCode"/>
      </w:pPr>
      <w:r>
        <w:rPr>
          <w:rStyle w:val="VerbatimChar"/>
        </w:rPr>
        <w:t xml:space="preserve">  DCL60-CPP. Obey the one-definition</w:t>
      </w:r>
    </w:p>
    <w:p>
      <w:pPr>
        <w:numPr>
          <w:ilvl w:val="1"/>
          <w:numId w:val="1000"/>
        </w:numPr>
      </w:pPr>
      <w:r>
        <w:t xml:space="preserve">rule (6.21)</w:t>
      </w:r>
    </w:p>
    <w:p>
      <w:pPr>
        <w:numPr>
          <w:ilvl w:val="1"/>
          <w:numId w:val="1046"/>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7"/>
        </w:numPr>
        <w:pStyle w:val="Compact"/>
      </w:pPr>
      <w:r>
        <w:t xml:space="preserve">Template specialization, where clause 6.40 [#SYM] applies;</w:t>
      </w:r>
    </w:p>
    <w:p>
      <w:pPr>
        <w:numPr>
          <w:ilvl w:val="0"/>
          <w:numId w:val="1047"/>
        </w:numPr>
        <w:pStyle w:val="Compact"/>
      </w:pPr>
      <w:r>
        <w:t xml:space="preserve">Overloading, where clause 6.20 [#YOW] applies;</w:t>
      </w:r>
    </w:p>
    <w:p>
      <w:pPr>
        <w:numPr>
          <w:ilvl w:val="0"/>
          <w:numId w:val="1047"/>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Arguments to called functions should not be subject to implicit conversions.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Pr>
      <w:r>
        <w:t xml:space="preserve">Write accesses to objects in that expression,</w:t>
      </w:r>
    </w:p>
    <w:p>
      <w:pPr>
        <w:numPr>
          <w:ilvl w:val="0"/>
          <w:numId w:val="1054"/>
        </w:numPr>
      </w:pPr>
      <w:r>
        <w:t xml:space="preserve">Reading a volatile object,</w:t>
      </w:r>
    </w:p>
    <w:p>
      <w:pPr>
        <w:numPr>
          <w:ilvl w:val="0"/>
          <w:numId w:val="1054"/>
        </w:numPr>
      </w:pPr>
      <w:r>
        <w:t xml:space="preserve">Calling a library I/O function, and</w:t>
      </w:r>
    </w:p>
    <w:p>
      <w:pPr>
        <w:numPr>
          <w:ilvl w:val="0"/>
          <w:numId w:val="1054"/>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8"/>
        </w:numPr>
      </w:pPr>
      <w:r>
        <w:t xml:space="preserve">Simplify expressions to aid in code readability and help future maintainers understand the intent and nuances of the code. For example,</w:t>
      </w:r>
    </w:p>
    <w:p>
      <w:pPr>
        <w:numPr>
          <w:ilvl w:val="1"/>
          <w:numId w:val="1059"/>
        </w:numPr>
        <w:pStyle w:val="Compact"/>
      </w:pPr>
      <w:r>
        <w:t xml:space="preserve">by using parentheses around sub-expressions to limit precedence confusion,</w:t>
      </w:r>
    </w:p>
    <w:p>
      <w:pPr>
        <w:numPr>
          <w:ilvl w:val="1"/>
          <w:numId w:val="1059"/>
        </w:numPr>
        <w:pStyle w:val="Compact"/>
      </w:pPr>
      <w:r>
        <w:t xml:space="preserve">by extracting intermediate results into const variables with a meaningful name, or</w:t>
      </w:r>
    </w:p>
    <w:p>
      <w:pPr>
        <w:numPr>
          <w:ilvl w:val="1"/>
          <w:numId w:val="1059"/>
        </w:numPr>
        <w:pStyle w:val="Compact"/>
      </w:pPr>
      <w:r>
        <w:t xml:space="preserve">by extracting a subexpression into a function with a meaningful name.</w:t>
      </w:r>
    </w:p>
    <w:p>
      <w:pPr>
        <w:numPr>
          <w:ilvl w:val="0"/>
          <w:numId w:val="1058"/>
        </w:numPr>
      </w:pPr>
      <w:r>
        <w:t xml:space="preserve">Avoid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Pr>
      <w:r>
        <w:t xml:space="preserve">Use the avoidance mechanisms of ISO/IEC 24772-1 clause 6.26.5.</w:t>
      </w:r>
    </w:p>
    <w:p>
      <w:pPr>
        <w:numPr>
          <w:ilvl w:val="0"/>
          <w:numId w:val="1060"/>
        </w:numPr>
      </w:pPr>
      <w:r>
        <w:t xml:space="preserve">Use IDEs or similar tools that visualize the code that gets selected for the executable program.</w:t>
      </w:r>
    </w:p>
    <w:p>
      <w:pPr>
        <w:numPr>
          <w:ilvl w:val="0"/>
          <w:numId w:val="1060"/>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Follow the avoidance mechanisms of ISO/IEC 24772-1 subclause 6.36.5;</w:t>
      </w:r>
    </w:p>
    <w:p>
      <w:pPr>
        <w:numPr>
          <w:ilvl w:val="0"/>
          <w:numId w:val="1075"/>
        </w:numPr>
      </w:pPr>
      <w:r>
        <w:t xml:space="preserve">Develop an error management strategy, including error-detection, error-reporting, and error-handling,that, based on context, selects the most appropriate mechanism(s) from the different ones provided by C++;</w:t>
      </w:r>
    </w:p>
    <w:p>
      <w:pPr>
        <w:numPr>
          <w:ilvl w:val="0"/>
          <w:numId w:val="1075"/>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5"/>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6"/>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6.38.5.</w:t>
      </w:r>
    </w:p>
    <w:p>
      <w:pPr>
        <w:numPr>
          <w:ilvl w:val="0"/>
          <w:numId w:val="1077"/>
        </w:numPr>
      </w:pPr>
      <w:r>
        <w:t xml:space="preserve">Use and create value types.</w:t>
      </w:r>
    </w:p>
    <w:p>
      <w:pPr>
        <w:numPr>
          <w:ilvl w:val="0"/>
          <w:numId w:val="1077"/>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8"/>
        </w:numPr>
        <w:pStyle w:val="Compact"/>
      </w:pPr>
      <w:r>
        <w:t xml:space="preserve">when reference semantics is required, e.g., for side effects, or</w:t>
      </w:r>
    </w:p>
    <w:p>
      <w:pPr>
        <w:numPr>
          <w:ilvl w:val="1"/>
          <w:numId w:val="1078"/>
        </w:numPr>
        <w:pStyle w:val="Compact"/>
      </w:pPr>
      <w:r>
        <w:t xml:space="preserve">when copying is prohibitively expensive.</w:t>
      </w:r>
    </w:p>
    <w:p>
      <w:pPr>
        <w:numPr>
          <w:ilvl w:val="0"/>
          <w:numId w:val="1077"/>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7"/>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 of ISO/IEC 24772-1:2024 6.39.5</w:t>
      </w:r>
    </w:p>
    <w:p>
      <w:pPr>
        <w:numPr>
          <w:ilvl w:val="0"/>
          <w:numId w:val="1079"/>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9"/>
        </w:numPr>
      </w:pPr>
      <w:r>
        <w:t xml:space="preserve">Avoid mixing C-based functions and C++ memory management functions.</w:t>
      </w:r>
    </w:p>
    <w:p>
      <w:pPr>
        <w:numPr>
          <w:ilvl w:val="0"/>
          <w:numId w:val="1079"/>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Pr>
      <w:r>
        <w:t xml:space="preserve">Prefer containers standard library containers over other forms of memory management.</w:t>
      </w:r>
    </w:p>
    <w:p>
      <w:pPr>
        <w:numPr>
          <w:ilvl w:val="0"/>
          <w:numId w:val="1079"/>
        </w:numPr>
      </w:pPr>
      <w:r>
        <w:t xml:space="preserve">Use smart pointers and their factory functions to allocate and manage heap memory.</w:t>
      </w:r>
    </w:p>
    <w:p>
      <w:pPr>
        <w:numPr>
          <w:ilvl w:val="0"/>
          <w:numId w:val="1079"/>
        </w:numPr>
      </w:pPr>
      <w:r>
        <w:t xml:space="preserve">For heap fragmentation issues, use special memory resource objects with appropriate allocation strategies.</w:t>
      </w:r>
    </w:p>
    <w:p>
      <w:pPr>
        <w:numPr>
          <w:ilvl w:val="0"/>
          <w:numId w:val="1079"/>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9"/>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Follow the avoidance mechanisms of ISO/IEC 24772-1 subclause 6.40.5. and the guidance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 clause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Pr>
      <w:r>
        <w:t xml:space="preserve">Apply the avoidance mechanisms of ISO/IEC 24772-1 6.42.5</w:t>
      </w:r>
    </w:p>
    <w:p>
      <w:pPr>
        <w:numPr>
          <w:ilvl w:val="0"/>
          <w:numId w:val="1087"/>
        </w:numPr>
      </w:pPr>
      <w:r>
        <w:t xml:space="preserve">Use static analysis tools that identify violations of preconditions and postconditions.</w:t>
      </w:r>
    </w:p>
    <w:p>
      <w:pPr>
        <w:numPr>
          <w:ilvl w:val="0"/>
          <w:numId w:val="1087"/>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Follow the avoidance mechanisms of ISO/IEC 24772-1 clause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w:t>
      </w:r>
      <w:r>
        <w:t xml:space="preserve"> </w:t>
      </w:r>
      <w:r>
        <w:t xml:space="preserve">rely on proper virtual member functions in the base classes instead.</w:t>
      </w:r>
    </w:p>
    <w:p>
      <w:pPr>
        <w:numPr>
          <w:ilvl w:val="0"/>
          <w:numId w:val="1093"/>
        </w:numPr>
      </w:pPr>
      <w:r>
        <w:t xml:space="preserve">Avoid explicit upcast,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w:t>
      </w:r>
    </w:p>
    <w:p>
      <w:pPr>
        <w:numPr>
          <w:ilvl w:val="0"/>
          <w:numId w:val="1094"/>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standard layout types for the interoperable interfaces.</w:t>
      </w:r>
    </w:p>
    <w:p>
      <w:pPr>
        <w:numPr>
          <w:ilvl w:val="1"/>
          <w:numId w:val="1097"/>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7"/>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7"/>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6"/>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6"/>
        </w:numPr>
      </w:pPr>
      <w:r>
        <w:t xml:space="preserve">Be aware that C++ exceptions are not usually compatible with</w:t>
      </w:r>
      <w:r>
        <w:t xml:space="preserve"> </w:t>
      </w:r>
      <w:r>
        <w:t xml:space="preserve">exceptions in other languages.</w:t>
      </w:r>
    </w:p>
    <w:p>
      <w:pPr>
        <w:numPr>
          <w:ilvl w:val="0"/>
          <w:numId w:val="1096"/>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6"/>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Follow the avoidance mechanisms of ISO/IEC 24772-1 clause 6.48.5 and ISO/IEC 24772-3 clause 6.48.2.</w:t>
      </w:r>
    </w:p>
    <w:p>
      <w:pPr>
        <w:numPr>
          <w:ilvl w:val="0"/>
          <w:numId w:val="1098"/>
        </w:numPr>
        <w:pStyle w:val="Compact"/>
      </w:pPr>
      <w:r>
        <w:t xml:space="preserve">Follow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clause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0"/>
        </w:numPr>
      </w:pPr>
      <w:r>
        <w:t xml:space="preserve">Follow the avoidance mechanisms of clause 6.36.2 for catching and handling</w:t>
      </w:r>
      <w:r>
        <w:t xml:space="preserve"> </w:t>
      </w:r>
      <w:r>
        <w:t xml:space="preserve">exceptions.</w:t>
      </w:r>
    </w:p>
    <w:p>
      <w:pPr>
        <w:numPr>
          <w:ilvl w:val="0"/>
          <w:numId w:val="1100"/>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1"/>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If a function-like macro must be used, ensure that its</w:t>
      </w:r>
      <w:r>
        <w:t xml:space="preserve"> </w:t>
      </w:r>
      <w:r>
        <w:t xml:space="preserve">parameters and body are parenthesized.</w:t>
      </w:r>
    </w:p>
    <w:p>
      <w:pPr>
        <w:numPr>
          <w:ilvl w:val="0"/>
          <w:numId w:val="1101"/>
        </w:numPr>
      </w:pPr>
      <w:r>
        <w:t xml:space="preserve">In a function-like macro, ensure that each argument is evaluated at</w:t>
      </w:r>
      <w:r>
        <w:t xml:space="preserve"> </w:t>
      </w:r>
      <w:r>
        <w:t xml:space="preserve">most once.</w:t>
      </w:r>
    </w:p>
    <w:p>
      <w:pPr>
        <w:numPr>
          <w:ilvl w:val="0"/>
          <w:numId w:val="1101"/>
        </w:numPr>
      </w:pPr>
      <w:r>
        <w:t xml:space="preserve">Prohibit embedding the following in a function-like macro: pre-processor directives; or side-effects such as an assignment, increment/decrement, volatile access, or function call.</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Use the avoidance mechanisms of ISO/IEC 24772-1:2024 and ISO/IEC TR 24772-3:2020 clause 6.53.5.</w:t>
      </w:r>
    </w:p>
    <w:p>
      <w:pPr>
        <w:numPr>
          <w:ilvl w:val="0"/>
          <w:numId w:val="1102"/>
        </w:numPr>
      </w:pPr>
      <w:r>
        <w:t xml:space="preserve">Enable checks that warn about unsafe operations.</w:t>
      </w:r>
    </w:p>
    <w:p>
      <w:pPr>
        <w:numPr>
          <w:ilvl w:val="0"/>
          <w:numId w:val="1102"/>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clause 6.54.5.</w:t>
      </w:r>
    </w:p>
    <w:p>
      <w:pPr>
        <w:numPr>
          <w:ilvl w:val="0"/>
          <w:numId w:val="1103"/>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6.55.5.</w:t>
      </w:r>
    </w:p>
    <w:p>
      <w:pPr>
        <w:numPr>
          <w:ilvl w:val="0"/>
          <w:numId w:val="1104"/>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in addition to the compiler to help identify occurrences of undefined behaviour.</w:t>
      </w:r>
    </w:p>
    <w:p>
      <w:pPr>
        <w:numPr>
          <w:ilvl w:val="0"/>
          <w:numId w:val="1105"/>
        </w:numPr>
      </w:pPr>
      <w:r>
        <w:t xml:space="preserve">Augment static analysis tool usage with runtime tools such as ASAN</w:t>
      </w:r>
      <w:r>
        <w:t xml:space="preserve"> </w:t>
      </w:r>
      <w:r>
        <w:t xml:space="preserve">(address sanitizer) and related tools.</w:t>
      </w:r>
    </w:p>
    <w:p>
      <w:pPr>
        <w:numPr>
          <w:ilvl w:val="0"/>
          <w:numId w:val="1105"/>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5"/>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Use the avoidance mechanisms of ISO/IEC 24772-1 clause 6.57.5.</w:t>
      </w:r>
    </w:p>
    <w:p>
      <w:pPr>
        <w:numPr>
          <w:ilvl w:val="0"/>
          <w:numId w:val="1107"/>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7"/>
        </w:numPr>
      </w:pPr>
      <w:r>
        <w:t xml:space="preserve">Use multiple compilers/tools to increase your chance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follow the avoidance mechanisms of ISO/IEC TR 24772-3.</w:t>
      </w:r>
    </w:p>
    <w:p>
      <w:pPr>
        <w:numPr>
          <w:ilvl w:val="0"/>
          <w:numId w:val="1110"/>
        </w:numPr>
      </w:pPr>
      <w:r>
        <w:t xml:space="preserve">Follow the avoidance mechanisms of ISO/IEC 24772-1 clause 6.60.5.</w:t>
      </w:r>
    </w:p>
    <w:p>
      <w:pPr>
        <w:numPr>
          <w:ilvl w:val="0"/>
          <w:numId w:val="1110"/>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Use the avoidance mechanisms of ISO/IEC 24772-1 clause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ISO/IEC 24772-1 clause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synchronisation primitives or are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2025-11-10T16:08:07Z</dcterms:created>
  <dcterms:modified xsi:type="dcterms:W3CDTF">2025-11-10T16:08:07Z</dcterms:modified>
</cp:coreProperties>
</file>

<file path=docProps/custom.xml><?xml version="1.0" encoding="utf-8"?>
<Properties xmlns="http://schemas.openxmlformats.org/officeDocument/2006/custom-properties" xmlns:vt="http://schemas.openxmlformats.org/officeDocument/2006/docPropsVTypes"/>
</file>