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1"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4" w:name="KOA"/>
    <w:p>
      <w:pPr>
        <w:pStyle w:val="Heading2"/>
      </w:pPr>
      <w:r>
        <w:t xml:space="preserve">6.25 Likely Incorrect Expression [KOA]</w:t>
      </w:r>
    </w:p>
    <w:bookmarkStart w:id="112"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p>
    <w:p>
      <w:pPr>
        <w:pStyle w:val="SourceCode"/>
      </w:pPr>
      <w:r>
        <w:br/>
      </w:r>
      <w:r>
        <w:rPr>
          <w:rStyle w:val="VerbatimChar"/>
        </w:rPr>
        <w:t xml:space="preserve">std::vector&lt;int&gt; v1();</w:t>
      </w:r>
      <w:r>
        <w:br/>
      </w:r>
      <w:r>
        <w:br/>
      </w:r>
      <w:r>
        <w:rPr>
          <w:rStyle w:val="VerbatimChar"/>
        </w:rPr>
        <w:t xml:space="preserve">std::vector&lt;int&gt; v2{};</w:t>
      </w:r>
      <w:r>
        <w:br/>
      </w:r>
      <w:r>
        <w:br/>
      </w:r>
      <w:r>
        <w:br/>
      </w:r>
      <w:r>
        <w:rPr>
          <w:rStyle w:val="VerbatimChar"/>
        </w:rPr>
        <w:t xml:space="preserve">#### 6.25.1.3 Vulnerabilities with associative containers</w:t>
      </w:r>
      <w:r>
        <w:br/>
      </w:r>
      <w:r>
        <w:br/>
      </w:r>
      <w:r>
        <w:rPr>
          <w:rStyle w:val="VerbatimChar"/>
        </w:rPr>
        <w:t xml:space="preserve">The subscript `operator[]`{.cpp} for a non-const object of types such as `std::map`{.cpp} guarantees that the given key will exist when the method returns, known as add-or-update behaviour. </w:t>
      </w:r>
      <w:r>
        <w:br/>
      </w:r>
      <w:r>
        <w:br/>
      </w:r>
      <w:r>
        <w:rPr>
          <w:rStyle w:val="VerbatimChar"/>
        </w:rPr>
        <w:t xml:space="preserve">```{.cpp}</w:t>
      </w:r>
      <w:r>
        <w:br/>
      </w:r>
      <w:r>
        <w:rPr>
          <w:rStyle w:val="VerbatimChar"/>
        </w:rPr>
        <w:t xml:space="preserve">   bool find_elem (std::map&lt;std::string, std::string&gt; &amp; m, std::string key)</w:t>
      </w:r>
      <w:r>
        <w:br/>
      </w:r>
      <w:r>
        <w:rPr>
          <w:rStyle w:val="VerbatimChar"/>
        </w:rPr>
        <w:t xml:space="preserve">   {</w:t>
      </w:r>
      <w:r>
        <w:br/>
      </w:r>
      <w:r>
        <w:rPr>
          <w:rStyle w:val="VerbatimChar"/>
        </w:rPr>
        <w:t xml:space="preserve">       if ( m[key] != std::string { } )</w:t>
      </w:r>
      <w:r>
        <w:br/>
      </w:r>
      <w:r>
        <w:rPr>
          <w:rStyle w:val="VerbatimChar"/>
        </w:rPr>
        <w:t xml:space="preserve">       {</w:t>
      </w:r>
      <w:r>
        <w:br/>
      </w:r>
      <w:r>
        <w:rPr>
          <w:rStyle w:val="VerbatimChar"/>
        </w:rPr>
        <w:t xml:space="preserve">          return true; // key found in map</w:t>
      </w:r>
      <w:r>
        <w:br/>
      </w:r>
      <w:r>
        <w:rPr>
          <w:rStyle w:val="VerbatimChar"/>
        </w:rPr>
        <w:t xml:space="preserve">       }</w:t>
      </w:r>
      <w:r>
        <w:br/>
      </w:r>
      <w:r>
        <w:rPr>
          <w:rStyle w:val="VerbatimChar"/>
        </w:rPr>
        <w:t xml:space="preserve">       // not found</w:t>
      </w:r>
      <w:r>
        <w:br/>
      </w:r>
      <w:r>
        <w:rPr>
          <w:rStyle w:val="VerbatimChar"/>
        </w:rPr>
        <w:t xml:space="preserve">       return false;</w:t>
      </w:r>
      <w:r>
        <w:br/>
      </w:r>
      <w:r>
        <w:rPr>
          <w:rStyle w:val="VerbatimChar"/>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1"/>
    <w:bookmarkEnd w:id="112"/>
    <w:bookmarkStart w:id="113"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59"/>
        </w:numPr>
      </w:pPr>
      <w:r>
        <w:t xml:space="preserve">Simplify expressions to aid in code readability and help future maintainers understand the intent and nuances of the code. For example,</w:t>
      </w:r>
    </w:p>
    <w:p>
      <w:pPr>
        <w:numPr>
          <w:ilvl w:val="1"/>
          <w:numId w:val="1060"/>
        </w:numPr>
        <w:pStyle w:val="Compact"/>
      </w:pPr>
      <w:r>
        <w:t xml:space="preserve">by using parentheses around sub-expressions to limit precedence confusion,</w:t>
      </w:r>
    </w:p>
    <w:p>
      <w:pPr>
        <w:numPr>
          <w:ilvl w:val="1"/>
          <w:numId w:val="1060"/>
        </w:numPr>
        <w:pStyle w:val="Compact"/>
      </w:pPr>
      <w:r>
        <w:t xml:space="preserve">by extracting intermediate results into const variables with a meaningful name, or</w:t>
      </w:r>
    </w:p>
    <w:p>
      <w:pPr>
        <w:numPr>
          <w:ilvl w:val="1"/>
          <w:numId w:val="1060"/>
        </w:numPr>
        <w:pStyle w:val="Compact"/>
      </w:pPr>
      <w:r>
        <w:t xml:space="preserve">by extracting a subexpression into a function with a meaningful name.</w:t>
      </w:r>
    </w:p>
    <w:p>
      <w:pPr>
        <w:numPr>
          <w:ilvl w:val="0"/>
          <w:numId w:val="1059"/>
        </w:numPr>
      </w:pPr>
      <w:r>
        <w:t xml:space="preserve">Avoid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3"/>
    <w:bookmarkEnd w:id="114"/>
    <w:bookmarkStart w:id="117" w:name="XYQ"/>
    <w:p>
      <w:pPr>
        <w:pStyle w:val="Heading2"/>
      </w:pPr>
      <w:r>
        <w:t xml:space="preserve">6.26 Dead and Deactivated Code [XYQ]</w:t>
      </w:r>
    </w:p>
    <w:bookmarkStart w:id="115"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5"/>
    <w:bookmarkStart w:id="116"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Pr>
      <w:r>
        <w:t xml:space="preserve">Use the avoidance mechanisms of ISO/IEC 24772-1 clause 6.26.5.</w:t>
      </w:r>
    </w:p>
    <w:p>
      <w:pPr>
        <w:numPr>
          <w:ilvl w:val="0"/>
          <w:numId w:val="1061"/>
        </w:numPr>
      </w:pPr>
      <w:r>
        <w:t xml:space="preserve">Use IDEs or similar tools that visualize the code that gets selected for the executable program.</w:t>
      </w:r>
    </w:p>
    <w:p>
      <w:pPr>
        <w:numPr>
          <w:ilvl w:val="0"/>
          <w:numId w:val="1061"/>
        </w:numPr>
      </w:pPr>
      <w:r>
        <w:t xml:space="preserve">Use modern version control to manage unused code.</w:t>
      </w:r>
    </w:p>
    <w:bookmarkEnd w:id="116"/>
    <w:bookmarkEnd w:id="117"/>
    <w:bookmarkStart w:id="120" w:name="Xc86cceedfcf0c77c094b3df762cc0f756518ffc"/>
    <w:p>
      <w:pPr>
        <w:pStyle w:val="Heading2"/>
      </w:pPr>
      <w:r>
        <w:t xml:space="preserve">6.27 Switch Statements and Static Analysis [CLL]</w:t>
      </w:r>
    </w:p>
    <w:bookmarkStart w:id="118"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8"/>
    <w:bookmarkStart w:id="119"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19"/>
    <w:bookmarkEnd w:id="120"/>
    <w:bookmarkStart w:id="123" w:name="demarcation-of-control-flow-eoj"/>
    <w:p>
      <w:pPr>
        <w:pStyle w:val="Heading2"/>
      </w:pPr>
      <w:r>
        <w:t xml:space="preserve">6.28 Demarcation of Control Flow [EOJ]</w:t>
      </w:r>
    </w:p>
    <w:bookmarkStart w:id="121"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1"/>
    <w:bookmarkStart w:id="122"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2"/>
    <w:bookmarkEnd w:id="123"/>
    <w:bookmarkStart w:id="126" w:name="loop-control-variables-tex"/>
    <w:p>
      <w:pPr>
        <w:pStyle w:val="Heading2"/>
      </w:pPr>
      <w:r>
        <w:t xml:space="preserve">6.29 Loop Control Variables [TEX]</w:t>
      </w:r>
    </w:p>
    <w:bookmarkStart w:id="124"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4"/>
    <w:bookmarkStart w:id="125"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5"/>
    <w:bookmarkEnd w:id="126"/>
    <w:bookmarkStart w:id="129" w:name="off-by-one-error-xzh"/>
    <w:p>
      <w:pPr>
        <w:pStyle w:val="Heading2"/>
      </w:pPr>
      <w:r>
        <w:t xml:space="preserve">6.30 Off-by-one Error [XZH]</w:t>
      </w:r>
    </w:p>
    <w:bookmarkStart w:id="127"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7"/>
    <w:bookmarkStart w:id="128"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8"/>
    <w:bookmarkEnd w:id="129"/>
    <w:bookmarkStart w:id="132" w:name="structured-programming-ewd"/>
    <w:p>
      <w:pPr>
        <w:pStyle w:val="Heading2"/>
      </w:pPr>
      <w:r>
        <w:t xml:space="preserve">6.31 Structured Programming [EWD]</w:t>
      </w:r>
    </w:p>
    <w:bookmarkStart w:id="130"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0"/>
    <w:bookmarkStart w:id="131"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1"/>
    <w:bookmarkEnd w:id="132"/>
    <w:bookmarkStart w:id="135" w:name="passing-parameters-and-return-values-csj"/>
    <w:p>
      <w:pPr>
        <w:pStyle w:val="Heading2"/>
      </w:pPr>
      <w:r>
        <w:t xml:space="preserve">6.32 Passing Parameters and Return Values [CSJ]</w:t>
      </w:r>
    </w:p>
    <w:bookmarkStart w:id="133"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3"/>
    <w:bookmarkStart w:id="134"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4"/>
    <w:bookmarkEnd w:id="135"/>
    <w:bookmarkStart w:id="138" w:name="dangling-references-to-stack-frames-dcm"/>
    <w:p>
      <w:pPr>
        <w:pStyle w:val="Heading2"/>
      </w:pPr>
      <w:r>
        <w:t xml:space="preserve">6.33 Dangling References to Stack Frames [DCM]</w:t>
      </w:r>
    </w:p>
    <w:bookmarkStart w:id="136"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6"/>
    <w:bookmarkStart w:id="137"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7"/>
    <w:bookmarkEnd w:id="138"/>
    <w:bookmarkStart w:id="142" w:name="OTR"/>
    <w:p>
      <w:pPr>
        <w:pStyle w:val="Heading2"/>
      </w:pPr>
      <w:r>
        <w:t xml:space="preserve">6.34 Subprogram Signature Mismatch [OTR]</w:t>
      </w:r>
    </w:p>
    <w:bookmarkStart w:id="140"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39">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0"/>
    <w:bookmarkStart w:id="141"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1"/>
    <w:bookmarkEnd w:id="142"/>
    <w:bookmarkStart w:id="145" w:name="GDL"/>
    <w:p>
      <w:pPr>
        <w:pStyle w:val="Heading2"/>
      </w:pPr>
      <w:r>
        <w:t xml:space="preserve">6.35 Recursion [GDL]</w:t>
      </w:r>
    </w:p>
    <w:bookmarkStart w:id="143"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3"/>
    <w:bookmarkStart w:id="144"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4"/>
    <w:bookmarkEnd w:id="145"/>
    <w:bookmarkStart w:id="148" w:name="X7b5801efcad7d4f25e284b0270c97edc564ec06"/>
    <w:p>
      <w:pPr>
        <w:pStyle w:val="Heading2"/>
      </w:pPr>
      <w:r>
        <w:t xml:space="preserve">6.36 Ignored Error Status and Unhandled Exceptions [OYB]</w:t>
      </w:r>
    </w:p>
    <w:bookmarkStart w:id="146"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6"/>
    <w:bookmarkStart w:id="147"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7"/>
    <w:bookmarkEnd w:id="148"/>
    <w:bookmarkStart w:id="151" w:name="AMV"/>
    <w:p>
      <w:pPr>
        <w:pStyle w:val="Heading2"/>
      </w:pPr>
      <w:r>
        <w:t xml:space="preserve">6.37 Type-breaking Reinterpretation of Data [AMV]</w:t>
      </w:r>
    </w:p>
    <w:bookmarkStart w:id="149"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49"/>
    <w:bookmarkStart w:id="150"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0"/>
    <w:bookmarkEnd w:id="151"/>
    <w:bookmarkStart w:id="154" w:name="deep-vs.-shallow-copying-yan"/>
    <w:p>
      <w:pPr>
        <w:pStyle w:val="Heading2"/>
      </w:pPr>
      <w:r>
        <w:t xml:space="preserve">6.38 Deep vs. Shallow Copying [YAN]</w:t>
      </w:r>
    </w:p>
    <w:bookmarkStart w:id="152"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2"/>
    <w:bookmarkStart w:id="153"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3"/>
    <w:bookmarkEnd w:id="154"/>
    <w:bookmarkStart w:id="157" w:name="memory-leak-and-heap-fragmentation-xyl"/>
    <w:p>
      <w:pPr>
        <w:pStyle w:val="Heading2"/>
      </w:pPr>
      <w:r>
        <w:t xml:space="preserve">6.39 Memory Leak and Heap Fragmentation [XYL]</w:t>
      </w:r>
    </w:p>
    <w:bookmarkStart w:id="155"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5"/>
    <w:bookmarkStart w:id="156"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6"/>
    <w:bookmarkEnd w:id="157"/>
    <w:bookmarkStart w:id="160" w:name="SYM"/>
    <w:p>
      <w:pPr>
        <w:pStyle w:val="Heading2"/>
      </w:pPr>
      <w:r>
        <w:t xml:space="preserve">6.40 Templates and Generics [SYM]</w:t>
      </w:r>
    </w:p>
    <w:bookmarkStart w:id="158"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8"/>
    <w:bookmarkStart w:id="159"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59"/>
    <w:bookmarkEnd w:id="160"/>
    <w:bookmarkStart w:id="161" w:name="RIP"/>
    <w:p>
      <w:pPr>
        <w:pStyle w:val="Heading2"/>
      </w:pPr>
      <w:r>
        <w:t xml:space="preserve">6.41 Inheritance [RIP]</w:t>
      </w:r>
    </w:p>
    <w:bookmarkEnd w:id="161"/>
    <w:bookmarkStart w:id="162"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2"/>
    <w:bookmarkStart w:id="163"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3"/>
    <w:bookmarkStart w:id="166" w:name="BLP"/>
    <w:p>
      <w:pPr>
        <w:pStyle w:val="Heading2"/>
      </w:pPr>
      <w:r>
        <w:t xml:space="preserve">6.42 Violations of the Liskov Substitution Principle or the Contract Model [BLP]</w:t>
      </w:r>
    </w:p>
    <w:bookmarkStart w:id="164"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4"/>
    <w:bookmarkStart w:id="165"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5"/>
    <w:bookmarkEnd w:id="166"/>
    <w:bookmarkStart w:id="169" w:name="redispatching-pph"/>
    <w:p>
      <w:pPr>
        <w:pStyle w:val="Heading2"/>
      </w:pPr>
      <w:r>
        <w:t xml:space="preserve">6.43 Redispatching [PPH]</w:t>
      </w:r>
    </w:p>
    <w:bookmarkStart w:id="167"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7"/>
    <w:bookmarkStart w:id="168"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8"/>
    <w:bookmarkEnd w:id="169"/>
    <w:bookmarkStart w:id="172" w:name="BKK"/>
    <w:p>
      <w:pPr>
        <w:pStyle w:val="Heading2"/>
      </w:pPr>
      <w:r>
        <w:t xml:space="preserve">6.44 Polymorphic variables [BKK]</w:t>
      </w:r>
    </w:p>
    <w:bookmarkStart w:id="170"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0"/>
    <w:bookmarkStart w:id="171"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1"/>
    <w:bookmarkEnd w:id="172"/>
    <w:bookmarkStart w:id="175" w:name="LRM"/>
    <w:p>
      <w:pPr>
        <w:pStyle w:val="Heading2"/>
      </w:pPr>
      <w:r>
        <w:t xml:space="preserve">6.45 Extra Intrinsics [LRM]</w:t>
      </w:r>
    </w:p>
    <w:bookmarkStart w:id="173"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3"/>
    <w:bookmarkStart w:id="174"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4"/>
    <w:bookmarkEnd w:id="175"/>
    <w:bookmarkStart w:id="178" w:name="Xc417c172da80bb70cea1f9e7af9871a63840609"/>
    <w:p>
      <w:pPr>
        <w:pStyle w:val="Heading2"/>
      </w:pPr>
      <w:r>
        <w:t xml:space="preserve">6.46 Argument Passing to Library Functions [TRJ]</w:t>
      </w:r>
    </w:p>
    <w:bookmarkStart w:id="176"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6"/>
    <w:bookmarkStart w:id="177"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7"/>
    <w:bookmarkEnd w:id="178"/>
    <w:bookmarkStart w:id="181" w:name="inter-language-calling-djs"/>
    <w:p>
      <w:pPr>
        <w:pStyle w:val="Heading2"/>
      </w:pPr>
      <w:r>
        <w:t xml:space="preserve">6.47 Inter-language Calling [DJS]</w:t>
      </w:r>
    </w:p>
    <w:bookmarkStart w:id="179"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79"/>
    <w:bookmarkStart w:id="180"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0"/>
    <w:bookmarkEnd w:id="181"/>
    <w:bookmarkStart w:id="184" w:name="NYY"/>
    <w:p>
      <w:pPr>
        <w:pStyle w:val="Heading2"/>
      </w:pPr>
      <w:r>
        <w:t xml:space="preserve">6.48 Dynamically-linked Code and Self-modifying Code [NYY]</w:t>
      </w:r>
    </w:p>
    <w:bookmarkStart w:id="182"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2"/>
    <w:bookmarkStart w:id="183"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3"/>
    <w:bookmarkEnd w:id="184"/>
    <w:bookmarkStart w:id="187" w:name="NSQ"/>
    <w:p>
      <w:pPr>
        <w:pStyle w:val="Heading2"/>
      </w:pPr>
      <w:r>
        <w:t xml:space="preserve">6.49 Library Signature [NSQ]</w:t>
      </w:r>
    </w:p>
    <w:bookmarkStart w:id="185"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5"/>
    <w:bookmarkStart w:id="186"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6"/>
    <w:bookmarkEnd w:id="187"/>
    <w:bookmarkStart w:id="190" w:name="X165926c342ab175b2667683b6cb7551fc7b18d8"/>
    <w:p>
      <w:pPr>
        <w:pStyle w:val="Heading2"/>
      </w:pPr>
      <w:r>
        <w:t xml:space="preserve">6.50. Unanticipated Exceptions from Library Routines [HJW]</w:t>
      </w:r>
    </w:p>
    <w:bookmarkStart w:id="188"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8"/>
    <w:bookmarkStart w:id="189"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89"/>
    <w:bookmarkEnd w:id="190"/>
    <w:bookmarkStart w:id="193" w:name="NMP"/>
    <w:p>
      <w:pPr>
        <w:pStyle w:val="Heading2"/>
      </w:pPr>
      <w:r>
        <w:t xml:space="preserve">6.51 Pre-processor Directives [NMP]</w:t>
      </w:r>
    </w:p>
    <w:bookmarkStart w:id="191"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1"/>
    <w:bookmarkStart w:id="192"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2"/>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If a function-like macro must be used, ensure that its</w:t>
      </w:r>
      <w:r>
        <w:t xml:space="preserve"> </w:t>
      </w:r>
      <w:r>
        <w:t xml:space="preserve">parameters and body are parenthesized.</w:t>
      </w:r>
    </w:p>
    <w:p>
      <w:pPr>
        <w:numPr>
          <w:ilvl w:val="0"/>
          <w:numId w:val="1102"/>
        </w:numPr>
      </w:pPr>
      <w:r>
        <w:t xml:space="preserve">In a function-like macro, ensure that each argument is evaluated at</w:t>
      </w:r>
      <w:r>
        <w:t xml:space="preserve"> </w:t>
      </w:r>
      <w:r>
        <w:t xml:space="preserve">most once.</w:t>
      </w:r>
    </w:p>
    <w:p>
      <w:pPr>
        <w:numPr>
          <w:ilvl w:val="0"/>
          <w:numId w:val="1102"/>
        </w:numPr>
      </w:pPr>
      <w:r>
        <w:t xml:space="preserve">Prohibit embedding the following in a function-like macro: pre-processor directives; or side-effects such as an assignment, increment/decrement, volatile access, or function call.</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2"/>
    <w:bookmarkEnd w:id="193"/>
    <w:bookmarkStart w:id="196" w:name="Xe4ed1f6d7e7049a22cf11fb58e9b78561722b0b"/>
    <w:p>
      <w:pPr>
        <w:pStyle w:val="Heading2"/>
      </w:pPr>
      <w:r>
        <w:t xml:space="preserve">6.52 Suppression of Language-defined Run-time Checking [MXB]</w:t>
      </w:r>
    </w:p>
    <w:bookmarkStart w:id="194"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5"/>
    <w:bookmarkEnd w:id="196"/>
    <w:bookmarkStart w:id="199" w:name="X2e6df9becdc68c65fdb33865090fafdb8a33550"/>
    <w:p>
      <w:pPr>
        <w:pStyle w:val="Heading2"/>
      </w:pPr>
      <w:r>
        <w:t xml:space="preserve">6.53 Provision of Inherently Unsafe Operations [SKL]</w:t>
      </w:r>
    </w:p>
    <w:bookmarkStart w:id="197"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7"/>
    <w:bookmarkStart w:id="198"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Use the avoidance mechanisms of ISO/IEC 24772-1:2024 and ISO/IEC TR 24772-3:2020 clause 6.53.5.</w:t>
      </w:r>
    </w:p>
    <w:p>
      <w:pPr>
        <w:numPr>
          <w:ilvl w:val="0"/>
          <w:numId w:val="1103"/>
        </w:numPr>
      </w:pPr>
      <w:r>
        <w:t xml:space="preserve">Enable checks that warn about unsafe operations.</w:t>
      </w:r>
    </w:p>
    <w:p>
      <w:pPr>
        <w:numPr>
          <w:ilvl w:val="0"/>
          <w:numId w:val="1103"/>
        </w:numPr>
      </w:pPr>
      <w:r>
        <w:t xml:space="preserve">Use static analysis tools to detect unsafe constructs.</w:t>
      </w:r>
    </w:p>
    <w:bookmarkEnd w:id="198"/>
    <w:bookmarkEnd w:id="199"/>
    <w:bookmarkStart w:id="202" w:name="BRS"/>
    <w:p>
      <w:pPr>
        <w:pStyle w:val="Heading2"/>
      </w:pPr>
      <w:r>
        <w:t xml:space="preserve">6.54 Obscure Language Features [BRS]</w:t>
      </w:r>
    </w:p>
    <w:bookmarkStart w:id="200"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0"/>
    <w:bookmarkStart w:id="201"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clause 6.54.5.</w:t>
      </w:r>
    </w:p>
    <w:p>
      <w:pPr>
        <w:numPr>
          <w:ilvl w:val="0"/>
          <w:numId w:val="1104"/>
        </w:numPr>
      </w:pPr>
      <w:r>
        <w:t xml:space="preserve">Use static analysis tools or multiple compilers to help identify occurrences of obscure language features.</w:t>
      </w:r>
    </w:p>
    <w:bookmarkEnd w:id="201"/>
    <w:bookmarkEnd w:id="202"/>
    <w:bookmarkStart w:id="205" w:name="unspecified-behaviour-bqf"/>
    <w:p>
      <w:pPr>
        <w:pStyle w:val="Heading2"/>
      </w:pPr>
      <w:r>
        <w:t xml:space="preserve">6.55 Unspecified Behaviour [BQF]</w:t>
      </w:r>
    </w:p>
    <w:bookmarkStart w:id="203"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3"/>
    <w:bookmarkStart w:id="204"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6.55.5.</w:t>
      </w:r>
    </w:p>
    <w:p>
      <w:pPr>
        <w:numPr>
          <w:ilvl w:val="0"/>
          <w:numId w:val="1105"/>
        </w:numPr>
      </w:pPr>
      <w:r>
        <w:t xml:space="preserve">Use static analysis tools and multiple compilers/tools to help identify occurrences of</w:t>
      </w:r>
      <w:r>
        <w:t xml:space="preserve"> </w:t>
      </w:r>
      <w:r>
        <w:t xml:space="preserve">unspecified behaviour.</w:t>
      </w:r>
    </w:p>
    <w:bookmarkEnd w:id="204"/>
    <w:bookmarkEnd w:id="205"/>
    <w:bookmarkStart w:id="208" w:name="EWF"/>
    <w:p>
      <w:pPr>
        <w:pStyle w:val="Heading2"/>
      </w:pPr>
      <w:r>
        <w:t xml:space="preserve">6.56 Undefined Behaviour [EWF]</w:t>
      </w:r>
    </w:p>
    <w:bookmarkStart w:id="206"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6"/>
    <w:bookmarkStart w:id="207"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7"/>
    <w:bookmarkEnd w:id="208"/>
    <w:bookmarkStart w:id="211" w:name="implementation-defined-behaviour-fab"/>
    <w:p>
      <w:pPr>
        <w:pStyle w:val="Heading2"/>
      </w:pPr>
      <w:r>
        <w:t xml:space="preserve">6.57 Implementation-defined Behaviour [FAB]</w:t>
      </w:r>
    </w:p>
    <w:bookmarkStart w:id="209"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09"/>
    <w:bookmarkStart w:id="210"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0"/>
    <w:bookmarkEnd w:id="211"/>
    <w:bookmarkStart w:id="214" w:name="deprecated-language-features-mem"/>
    <w:p>
      <w:pPr>
        <w:pStyle w:val="Heading2"/>
      </w:pPr>
      <w:r>
        <w:t xml:space="preserve">6.58 Deprecated Language Features [MEM]</w:t>
      </w:r>
    </w:p>
    <w:bookmarkStart w:id="212"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2"/>
    <w:bookmarkStart w:id="213"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3"/>
    <w:bookmarkEnd w:id="214"/>
    <w:bookmarkStart w:id="217" w:name="CGA"/>
    <w:p>
      <w:pPr>
        <w:pStyle w:val="Heading2"/>
      </w:pPr>
      <w:r>
        <w:t xml:space="preserve">6.59 Concurrency – Activation [CGA]</w:t>
      </w:r>
    </w:p>
    <w:bookmarkStart w:id="215"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5"/>
    <w:bookmarkStart w:id="216"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6"/>
    <w:bookmarkEnd w:id="217"/>
    <w:bookmarkStart w:id="219" w:name="concurrency-directed-termination-cgt"/>
    <w:p>
      <w:pPr>
        <w:pStyle w:val="Heading2"/>
      </w:pPr>
      <w:r>
        <w:t xml:space="preserve">6.60 Concurrency – Directed termination [CGT]</w:t>
      </w:r>
    </w:p>
    <w:bookmarkStart w:id="218"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8"/>
    <w:bookmarkEnd w:id="219"/>
    <w:bookmarkStart w:id="220"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0"/>
    <w:bookmarkStart w:id="223" w:name="CGX"/>
    <w:p>
      <w:pPr>
        <w:pStyle w:val="Heading2"/>
      </w:pPr>
      <w:r>
        <w:t xml:space="preserve">6.61 Concurrent Data Access [CGX]</w:t>
      </w:r>
    </w:p>
    <w:bookmarkStart w:id="221"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1"/>
    <w:bookmarkStart w:id="222"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2"/>
    <w:bookmarkEnd w:id="223"/>
    <w:bookmarkStart w:id="227" w:name="concurrency-premature-termination-cgs"/>
    <w:p>
      <w:pPr>
        <w:pStyle w:val="Heading2"/>
      </w:pPr>
      <w:r>
        <w:t xml:space="preserve">6.62 Concurrency – Premature Termination [CGS]</w:t>
      </w:r>
    </w:p>
    <w:bookmarkStart w:id="224" w:name="applicability-to-language"/>
    <w:p>
      <w:pPr>
        <w:pStyle w:val="Heading3"/>
      </w:pPr>
      <w:r>
        <w:t xml:space="preserve">6.62.1 Applicability to language</w:t>
      </w:r>
    </w:p>
    <w:bookmarkEnd w:id="224"/>
    <w:bookmarkStart w:id="225"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5"/>
    <w:bookmarkStart w:id="226"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6"/>
    <w:bookmarkEnd w:id="227"/>
    <w:bookmarkStart w:id="230" w:name="uncontrolled-format-string-shl"/>
    <w:p>
      <w:pPr>
        <w:pStyle w:val="Heading2"/>
      </w:pPr>
      <w:r>
        <w:t xml:space="preserve">6.64 Uncontrolled Format String [SHL]</w:t>
      </w:r>
    </w:p>
    <w:bookmarkStart w:id="228"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8"/>
    <w:bookmarkStart w:id="229"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29"/>
    <w:bookmarkEnd w:id="230"/>
    <w:bookmarkEnd w:id="231"/>
    <w:bookmarkStart w:id="236" w:name="UJO"/>
    <w:p>
      <w:pPr>
        <w:pStyle w:val="Heading1"/>
      </w:pPr>
      <w:r>
        <w:t xml:space="preserve">6.65 Modifying constants [UJO]</w:t>
      </w:r>
    </w:p>
    <w:bookmarkStart w:id="234"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2" w:name="EWF"/>
      <w:r>
        <w:t xml:space="preserve">Undefined Behavior [EWF]</w:t>
      </w:r>
      <w:bookmarkEnd w:id="232"/>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3" w:name="FLC"/>
      <w:r>
        <w:t xml:space="preserve">Conversion Errors [FLC]</w:t>
      </w:r>
      <w:bookmarkEnd w:id="233"/>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4"/>
    <w:bookmarkStart w:id="235"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5"/>
    <w:bookmarkEnd w:id="236"/>
    <w:bookmarkStart w:id="237" w:name="language-specific-vulnerabilities-for-c"/>
    <w:p>
      <w:pPr>
        <w:pStyle w:val="Heading1"/>
      </w:pPr>
      <w:r>
        <w:t xml:space="preserve">7. Language specific vulnerabilities for C++</w:t>
      </w:r>
    </w:p>
    <w:p>
      <w:pPr>
        <w:pStyle w:val="FirstParagraph"/>
      </w:pPr>
      <w:r>
        <w:t xml:space="preserve">TBD</w:t>
      </w:r>
    </w:p>
    <w:bookmarkEnd w:id="237"/>
    <w:bookmarkStart w:id="239"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8"/>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39"/>
    <w:bookmarkStart w:id="253"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0"/>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1">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2">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3">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4">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5">
        <w:r>
          <w:rPr>
            <w:rStyle w:val="Hyperlink"/>
          </w:rPr>
          <w:t xml:space="preserve">http://myweb.lmu.edu/dondi/share/pl/type-checking-v02.pdf</w:t>
        </w:r>
      </w:hyperlink>
    </w:p>
    <w:p>
      <w:pPr>
        <w:pStyle w:val="Bibliography1"/>
      </w:pPr>
      <w:r>
        <w:t xml:space="preserve">[32] MISRA Limited. "</w:t>
      </w:r>
      <w:hyperlink r:id="rId246">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7">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8">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49">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0">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1">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2">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3"/>
    <w:bookmarkStart w:id="254" w:name="index"/>
    <w:p>
      <w:pPr>
        <w:pStyle w:val="Heading1"/>
      </w:pPr>
      <w:r>
        <w:t xml:space="preserve">Index</w:t>
      </w:r>
    </w:p>
    <w:p>
      <w:pPr>
        <w:pStyle w:val="Bibliography1"/>
      </w:pPr>
      <w:r>
        <w:t xml:space="preserve">LHS (left-hand side), 22</w:t>
      </w:r>
    </w:p>
    <w:bookmarkEnd w:id="2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9" Target="NMP" TargetMode="External" /><Relationship Type="http://schemas.openxmlformats.org/officeDocument/2006/relationships/hyperlink" Id="rId249" Target="http://archive.gao.gov/t2pbat6/145960.pdf" TargetMode="External" /><Relationship Type="http://schemas.openxmlformats.org/officeDocument/2006/relationships/hyperlink" Id="rId247" Target="http://cwe.mitre.org/" TargetMode="External" /><Relationship Type="http://schemas.openxmlformats.org/officeDocument/2006/relationships/hyperlink" Id="rId243" Target="http://en.wikisource.org/wiki/Ariane_501_Inquiry_Board_report" TargetMode="External" /><Relationship Type="http://schemas.openxmlformats.org/officeDocument/2006/relationships/hyperlink" Id="rId241" Target="http://esamultimedia.esa.int/docs/esa-x-1819eng.pdf" TargetMode="External" /><Relationship Type="http://schemas.openxmlformats.org/officeDocument/2006/relationships/hyperlink" Id="rId245" Target="http://myweb.lmu.edu/dondi/share/pl/type-checking-v02.pdf" TargetMode="External" /><Relationship Type="http://schemas.openxmlformats.org/officeDocument/2006/relationships/hyperlink" Id="rId252" Target="http://www.adaic.org/docs/95style/95style.pdf" TargetMode="External" /><Relationship Type="http://schemas.openxmlformats.org/officeDocument/2006/relationships/hyperlink" Id="rId244" Target="http://www.cert.org/books/secure-coding" TargetMode="External" /><Relationship Type="http://schemas.openxmlformats.org/officeDocument/2006/relationships/hyperlink" Id="rId242" Target="http://www.embedded.com/1999/9907/9907feat2.htm" TargetMode="External" /><Relationship Type="http://schemas.openxmlformats.org/officeDocument/2006/relationships/hyperlink" Id="rId246" Target="http://www.misra.org.uk/" TargetMode="External" /><Relationship Type="http://schemas.openxmlformats.org/officeDocument/2006/relationships/hyperlink" Id="rId248" Target="http://www.nsc.liu.se/wg25/book" TargetMode="External" /><Relationship Type="http://schemas.openxmlformats.org/officeDocument/2006/relationships/hyperlink" Id="rId250"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1"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39" Target="NMP" TargetMode="External" /><Relationship Type="http://schemas.openxmlformats.org/officeDocument/2006/relationships/hyperlink" Id="rId249" Target="http://archive.gao.gov/t2pbat6/145960.pdf" TargetMode="External" /><Relationship Type="http://schemas.openxmlformats.org/officeDocument/2006/relationships/hyperlink" Id="rId247" Target="http://cwe.mitre.org/" TargetMode="External" /><Relationship Type="http://schemas.openxmlformats.org/officeDocument/2006/relationships/hyperlink" Id="rId243" Target="http://en.wikisource.org/wiki/Ariane_501_Inquiry_Board_report" TargetMode="External" /><Relationship Type="http://schemas.openxmlformats.org/officeDocument/2006/relationships/hyperlink" Id="rId241" Target="http://esamultimedia.esa.int/docs/esa-x-1819eng.pdf" TargetMode="External" /><Relationship Type="http://schemas.openxmlformats.org/officeDocument/2006/relationships/hyperlink" Id="rId245" Target="http://myweb.lmu.edu/dondi/share/pl/type-checking-v02.pdf" TargetMode="External" /><Relationship Type="http://schemas.openxmlformats.org/officeDocument/2006/relationships/hyperlink" Id="rId252" Target="http://www.adaic.org/docs/95style/95style.pdf" TargetMode="External" /><Relationship Type="http://schemas.openxmlformats.org/officeDocument/2006/relationships/hyperlink" Id="rId244" Target="http://www.cert.org/books/secure-coding" TargetMode="External" /><Relationship Type="http://schemas.openxmlformats.org/officeDocument/2006/relationships/hyperlink" Id="rId242" Target="http://www.embedded.com/1999/9907/9907feat2.htm" TargetMode="External" /><Relationship Type="http://schemas.openxmlformats.org/officeDocument/2006/relationships/hyperlink" Id="rId246" Target="http://www.misra.org.uk/" TargetMode="External" /><Relationship Type="http://schemas.openxmlformats.org/officeDocument/2006/relationships/hyperlink" Id="rId248" Target="http://www.nsc.liu.se/wg25/book" TargetMode="External" /><Relationship Type="http://schemas.openxmlformats.org/officeDocument/2006/relationships/hyperlink" Id="rId250"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1"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2026-02-02T14:51:47Z</dcterms:created>
  <dcterms:modified xsi:type="dcterms:W3CDTF">2026-02-02T14:51:47Z</dcterms:modified>
</cp:coreProperties>
</file>

<file path=docProps/custom.xml><?xml version="1.0" encoding="utf-8"?>
<Properties xmlns="http://schemas.openxmlformats.org/officeDocument/2006/custom-properties" xmlns:vt="http://schemas.openxmlformats.org/officeDocument/2006/docPropsVTypes"/>
</file>