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Technical Report specifies software programming language</w:t>
      </w:r>
      <w:r>
        <w:t xml:space="preserve"> </w:t>
      </w:r>
      <w:r>
        <w:t xml:space="preserve">vulnerabilities to be avoided in the development of systems where</w:t>
      </w:r>
      <w:r>
        <w:t xml:space="preserve"> </w:t>
      </w:r>
      <w:r>
        <w:t xml:space="preserve">assured behaviour is required for security, safety, mission-critical and</w:t>
      </w:r>
      <w:r>
        <w:t xml:space="preserve"> </w:t>
      </w:r>
      <w:r>
        <w:t xml:space="preserve">business-critical software. In general, this guidance is applicable to</w:t>
      </w:r>
      <w:r>
        <w:t xml:space="preserve"> </w:t>
      </w:r>
      <w:r>
        <w:t xml:space="preserve">the software developed, reviewed, or maintained for any application.</w:t>
      </w:r>
    </w:p>
    <w:p>
      <w:pPr>
        <w:pStyle w:val="BodyText"/>
      </w:pPr>
      <w:r>
        <w:t xml:space="preserve">Vulnerabilities described in this Technical Report document the way that</w:t>
      </w:r>
      <w:r>
        <w:t xml:space="preserve"> </w:t>
      </w:r>
      <w:r>
        <w:t xml:space="preserve">the vulnerability described in the language-independent TR 24772–1 are</w:t>
      </w:r>
      <w:r>
        <w:t xml:space="preserve"> </w:t>
      </w:r>
      <w:r>
        <w:t xml:space="preserve">manifested in C++.</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p>
    <w:p>
      <w:pPr>
        <w:pStyle w:val="BodyText"/>
      </w:pPr>
      <w:r>
        <w:rPr>
          <w:u w:val="single"/>
          <w:b/>
        </w:rPr>
        <w:t xml:space="preserve">access protection</w:t>
      </w:r>
      <w:r>
        <w:t xml:space="preserve">:</w:t>
      </w:r>
    </w:p>
    <w:p>
      <w:pPr>
        <w:pStyle w:val="BodyText"/>
      </w:pPr>
      <w:r>
        <w:t xml:space="preserve">use of the</w:t>
      </w:r>
      <w:r>
        <w:t xml:space="preserve"> </w:t>
      </w:r>
      <w:r>
        <w:rPr>
          <w:i/>
        </w:rPr>
        <w:t xml:space="preserve">protected</w:t>
      </w:r>
      <w:r>
        <w:t xml:space="preserve"> </w:t>
      </w:r>
      <w:r>
        <w:t xml:space="preserve">keyword to signify that access to the named object is restricted to methods within the class or a subclass</w:t>
      </w:r>
    </w:p>
    <w:p>
      <w:pPr>
        <w:pStyle w:val="BodyText"/>
      </w:pPr>
      <w:r>
        <w:rPr>
          <w:u w:val="single"/>
          <w:b/>
        </w:rPr>
        <w:t xml:space="preserve">3.4</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3.5</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3.6</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3.7</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3.8</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3.9</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3.10</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3.11</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3.12</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[3.13]</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[3.14]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[3.15]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3.16</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3.17</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3.18</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3.19</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3.20</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3.21</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3.22</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3.23</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3.24</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3.25</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3.26</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3.27</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3.28</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3.29</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3.30</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3.31</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3.32</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3.33</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3.34</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3.35</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3.36</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3.37</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3.38</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3.39</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3.40</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symbol-lookup-and-overload-resolution"/>
    <w:p>
      <w:pPr>
        <w:pStyle w:val="Heading2"/>
      </w:pPr>
      <w:r>
        <w:t xml:space="preserve">4.2 Symbol Lookup and Overload Resolution</w:t>
      </w:r>
    </w:p>
    <w:p>
      <w:pPr>
        <w:pStyle w:val="FirstParagraph"/>
      </w:pPr>
      <w:r>
        <w:rPr>
          <w:b/>
          <w:i/>
        </w:rPr>
        <w:t xml:space="preserve">THIS REQUIRES MORE WORK</w:t>
      </w:r>
    </w:p>
    <w:p>
      <w:pPr>
        <w:numPr>
          <w:ilvl w:val="0"/>
          <w:numId w:val="1009"/>
        </w:numPr>
        <w:pStyle w:val="Compact"/>
      </w:pPr>
      <w:r>
        <w:t xml:space="preserve">special members</w:t>
      </w:r>
    </w:p>
    <w:p>
      <w:pPr>
        <w:numPr>
          <w:ilvl w:val="0"/>
          <w:numId w:val="1009"/>
        </w:numPr>
        <w:pStyle w:val="Compact"/>
      </w:pPr>
      <w:r>
        <w:t xml:space="preserve">templates?</w:t>
      </w:r>
    </w:p>
    <w:p>
      <w:pPr>
        <w:pStyle w:val="FirstParagraph"/>
      </w:pPr>
      <w:r>
        <w:t xml:space="preserve">scopes, names, ADL, using</w:t>
      </w:r>
    </w:p>
    <w:p>
      <w:pPr>
        <w:pStyle w:val="BodyText"/>
      </w:pPr>
      <w:r>
        <w:t xml:space="preserve">Add to clause 4</w:t>
      </w:r>
      <w:r>
        <w:t xml:space="preserve"> </w:t>
      </w:r>
      <w:r>
        <w:t xml:space="preserve">“</w:t>
      </w:r>
      <w:r>
        <w:t xml:space="preserve">Language concepts</w:t>
      </w:r>
      <w:r>
        <w:t xml:space="preserve">”</w:t>
      </w:r>
      <w:r>
        <w:t xml:space="preserve"> </w:t>
      </w:r>
      <w:r>
        <w:t xml:space="preserve">an issue on C++ symbol lookup issues considering the following:</w:t>
      </w:r>
      <w:r>
        <w:t xml:space="preserve"> </w:t>
      </w:r>
      <w:r>
        <w:t xml:space="preserve">1. Minimize the set of names that are available to avoid referring to an item that was not the intended target</w:t>
      </w:r>
      <w:r>
        <w:t xml:space="preserve"> </w:t>
      </w:r>
      <w:r>
        <w:t xml:space="preserve">2. hidden friends</w:t>
      </w:r>
      <w:r>
        <w:t xml:space="preserve"> </w:t>
      </w:r>
      <w:r>
        <w:t xml:space="preserve">3. ADL (argument dependent lookup)</w:t>
      </w:r>
      <w:r>
        <w:t xml:space="preserve"> </w:t>
      </w:r>
      <w:r>
        <w:t xml:space="preserve">4. Lack of this-&gt; in class templates</w:t>
      </w:r>
      <w:r>
        <w:t xml:space="preserve"> </w:t>
      </w:r>
      <w:r>
        <w:t xml:space="preserve">5. Minimizing lexical scope and visibility</w:t>
      </w:r>
      <w:r>
        <w:t xml:space="preserve"> </w:t>
      </w:r>
      <w:r>
        <w:t xml:space="preserve">6. Minimizing names in global scopes</w:t>
      </w:r>
      <w:r>
        <w:t xml:space="preserve"> </w:t>
      </w:r>
      <w:r>
        <w:t xml:space="preserve">7. Minimizing use of</w:t>
      </w:r>
      <w:r>
        <w:t xml:space="preserve"> </w:t>
      </w:r>
      <w:r>
        <w:t xml:space="preserve">“</w:t>
      </w:r>
      <w:r>
        <w:t xml:space="preserve">using</w:t>
      </w:r>
      <w:r>
        <w:t xml:space="preserve">”</w:t>
      </w:r>
      <w:r>
        <w:t xml:space="preserve"> </w:t>
      </w:r>
      <w:r>
        <w:t xml:space="preserve">directives</w:t>
      </w:r>
    </w:p>
    <w:p>
      <w:pPr>
        <w:pStyle w:val="SourceCode"/>
      </w:pPr>
      <w:r>
        <w:br/>
      </w:r>
      <w:r>
        <w:rPr>
          <w:rStyle w:val="KeywordTok"/>
        </w:rPr>
        <w:t xml:space="preserve">namespace</w:t>
      </w:r>
      <w:r>
        <w:rPr>
          <w:rStyle w:val="NormalTok"/>
        </w:rPr>
        <w:t xml:space="preserve"> NS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S, </w:t>
      </w:r>
      <w:r>
        <w:rPr>
          <w:rStyle w:val="KeywordTok"/>
        </w:rPr>
        <w:t xml:space="preserve">typename</w:t>
      </w:r>
      <w:r>
        <w:rPr>
          <w:rStyle w:val="NormalTok"/>
        </w:rPr>
        <w:t xml:space="preserve"> Q&gt; </w:t>
      </w:r>
      <w:r>
        <w:rPr>
          <w:rStyle w:val="KeywordTok"/>
        </w:rPr>
        <w:t xml:space="preserve">friend</w:t>
      </w:r>
      <w:r>
        <w:rPr>
          <w:rStyle w:val="NormalTok"/>
        </w:rPr>
        <w:t xml:space="preserve"> </w:t>
      </w:r>
      <w:r>
        <w:rPr>
          <w:rStyle w:val="DataTypeTok"/>
        </w:rPr>
        <w:t xml:space="preserve">void</w:t>
      </w:r>
      <w:r>
        <w:rPr>
          <w:rStyle w:val="NormalTok"/>
        </w:rPr>
        <w:t xml:space="preserve"> add (S, Q);</w:t>
      </w:r>
      <w:r>
        <w:br/>
      </w:r>
      <w:r>
        <w:rPr>
          <w:rStyle w:val="NormalTok"/>
        </w:rPr>
        <w:t xml:space="preserve">};</w:t>
      </w:r>
      <w:r>
        <w:br/>
      </w:r>
      <w:r>
        <w:rPr>
          <w:rStyle w:val="NormalTok"/>
        </w:rPr>
        <w:t xml:space="preserve">}</w:t>
      </w:r>
      <w:r>
        <w:br/>
      </w:r>
      <w:r>
        <w:br/>
      </w:r>
      <w:r>
        <w:rPr>
          <w:rStyle w:val="KeywordTok"/>
        </w:rPr>
        <w:t xml:space="preserve">struct</w:t>
      </w:r>
      <w:r>
        <w:rPr>
          <w:rStyle w:val="NormalTok"/>
        </w:rPr>
        <w:t xml:space="preserve"> B {</w:t>
      </w:r>
      <w:r>
        <w:br/>
      </w:r>
      <w:r>
        <w:rPr>
          <w:rStyle w:val="NormalTok"/>
        </w:rPr>
        <w:t xml:space="preserve">    B(</w:t>
      </w:r>
      <w:r>
        <w:rPr>
          <w:rStyle w:val="DataTypeTok"/>
        </w:rPr>
        <w:t xml:space="preserve">int</w:t>
      </w:r>
      <w:r>
        <w:rPr>
          <w:rStyle w:val="NormalTok"/>
        </w:rPr>
        <w:t xml:space="preserve">);</w:t>
      </w:r>
      <w:r>
        <w:br/>
      </w:r>
      <w:r>
        <w:rPr>
          <w:rStyle w:val="NormalTok"/>
        </w:rPr>
        <w:t xml:space="preserve">    B (NS::A&lt;</w:t>
      </w:r>
      <w:r>
        <w:rPr>
          <w:rStyle w:val="DataTypeTok"/>
        </w:rPr>
        <w:t xml:space="preserve">int</w:t>
      </w:r>
      <w:r>
        <w:rPr>
          <w:rStyle w:val="NormalTok"/>
        </w:rPr>
        <w:t xml:space="preserve">&gt; </w:t>
      </w:r>
      <w:r>
        <w:rPr>
          <w:rStyle w:val="AttributeTok"/>
        </w:rPr>
        <w:t xml:space="preserve">const</w:t>
      </w:r>
      <w:r>
        <w:rPr>
          <w:rStyle w:val="NormalTok"/>
        </w:rPr>
        <w:t xml:space="preserve"> &amp;);</w:t>
      </w:r>
      <w:r>
        <w:br/>
      </w:r>
      <w:r>
        <w:rPr>
          <w:rStyle w:val="NormalTok"/>
        </w:rPr>
        <w:t xml:space="preserve">};</w:t>
      </w:r>
      <w:r>
        <w:br/>
      </w:r>
      <w:r>
        <w:br/>
      </w:r>
      <w:r>
        <w:rPr>
          <w:rStyle w:val="NormalTok"/>
        </w:rPr>
        <w:t xml:space="preserve">B &amp; add(B </w:t>
      </w:r>
      <w:r>
        <w:rPr>
          <w:rStyle w:val="AttributeTok"/>
        </w:rPr>
        <w:t xml:space="preserve">const</w:t>
      </w:r>
      <w:r>
        <w:rPr>
          <w:rStyle w:val="NormalTok"/>
        </w:rPr>
        <w:t xml:space="preserve"> &amp; lhs, B </w:t>
      </w:r>
      <w:r>
        <w:rPr>
          <w:rStyle w:val="AttributeTok"/>
        </w:rPr>
        <w:t xml:space="preserve">const</w:t>
      </w:r>
      <w:r>
        <w:rPr>
          <w:rStyle w:val="NormalTok"/>
        </w:rPr>
        <w:t xml:space="preserve"> &amp; rhs);</w:t>
      </w:r>
      <w:r>
        <w:br/>
      </w:r>
      <w:r>
        <w:br/>
      </w:r>
      <w:r>
        <w:rPr>
          <w:rStyle w:val="DataTypeTok"/>
        </w:rPr>
        <w:t xml:space="preserve">void</w:t>
      </w:r>
      <w:r>
        <w:rPr>
          <w:rStyle w:val="NormalTok"/>
        </w:rPr>
        <w:t xml:space="preserve"> bar (NS::A&lt;</w:t>
      </w:r>
      <w:r>
        <w:rPr>
          <w:rStyle w:val="DataTypeTok"/>
        </w:rPr>
        <w:t xml:space="preserve">int</w:t>
      </w:r>
      <w:r>
        <w:rPr>
          <w:rStyle w:val="NormalTok"/>
        </w:rPr>
        <w:t xml:space="preserve">&gt; &amp; a, B </w:t>
      </w:r>
      <w:r>
        <w:rPr>
          <w:rStyle w:val="AttributeTok"/>
        </w:rPr>
        <w:t xml:space="preserve">const</w:t>
      </w:r>
      <w:r>
        <w:rPr>
          <w:rStyle w:val="NormalTok"/>
        </w:rPr>
        <w:t xml:space="preserve"> &amp; b)</w:t>
      </w:r>
      <w:r>
        <w:br/>
      </w:r>
      <w:r>
        <w:rPr>
          <w:rStyle w:val="NormalTok"/>
        </w:rPr>
        <w:t xml:space="preserve">{</w:t>
      </w:r>
      <w:r>
        <w:br/>
      </w:r>
      <w:r>
        <w:rPr>
          <w:rStyle w:val="NormalTok"/>
        </w:rPr>
        <w:t xml:space="preserve">    add(a, b);</w:t>
      </w:r>
      <w:r>
        <w:br/>
      </w:r>
      <w:r>
        <w:rPr>
          <w:rStyle w:val="NormalTok"/>
        </w:rPr>
        <w:t xml:space="preserve">}</w:t>
      </w:r>
    </w:p>
    <w:p>
      <w:pPr>
        <w:pStyle w:val="FirstParagraph"/>
      </w:pPr>
      <w:r>
        <w:t xml:space="preserve">A C++ program may span multiple scopes, and when a function is called,</w:t>
      </w:r>
      <w:r>
        <w:t xml:space="preserve"> </w:t>
      </w:r>
      <w:r>
        <w:t xml:space="preserve">the compiler may have many choices to select from to resolve the</w:t>
      </w:r>
      <w:r>
        <w:t xml:space="preserve"> </w:t>
      </w:r>
      <w:r>
        <w:t xml:space="preserve">actual function that will be called.</w:t>
      </w:r>
      <w:r>
        <w:t xml:space="preserve"> </w:t>
      </w:r>
      <w:r>
        <w:t xml:space="preserve">The set of names found for a function depend upon whether the name is</w:t>
      </w:r>
      <w:r>
        <w:t xml:space="preserve"> </w:t>
      </w:r>
      <w:r>
        <w:t xml:space="preserve">qualified or if it is unqualified.</w:t>
      </w:r>
    </w:p>
    <w:p>
      <w:pPr>
        <w:pStyle w:val="BodyText"/>
      </w:pPr>
      <w:r>
        <w:t xml:space="preserve">Unqualified lookup begins the search in the current scope and works</w:t>
      </w:r>
      <w:r>
        <w:t xml:space="preserve"> </w:t>
      </w:r>
      <w:r>
        <w:t xml:space="preserve">its way out to the global scope and stops when it finds the first</w:t>
      </w:r>
      <w:r>
        <w:t xml:space="preserve"> </w:t>
      </w:r>
      <w:r>
        <w:t xml:space="preserve">matching name. The search will include:</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 and</w:t>
      </w:r>
      <w:r>
        <w:t xml:space="preserve"> </w:t>
      </w:r>
      <w:r>
        <w:t xml:space="preserve">- Members of inline namespaces</w:t>
      </w:r>
      <w:r>
        <w:t xml:space="preserve"> </w:t>
      </w:r>
      <w:r>
        <w:t xml:space="preserve">After these steps, Argument-Dependent Lookup (ADL) occurs. In ADL, the</w:t>
      </w:r>
      <w:r>
        <w:t xml:space="preserve"> </w:t>
      </w:r>
      <w:r>
        <w:t xml:space="preserve">scope(s) of type of the function’s arguments are also searched. This</w:t>
      </w:r>
      <w:r>
        <w:t xml:space="preserve"> </w:t>
      </w:r>
      <w:r>
        <w:t xml:space="preserve">search also includes</w:t>
      </w:r>
      <w:r>
        <w:t xml:space="preserve"> </w:t>
      </w:r>
      <w:r>
        <w:rPr>
          <w:rStyle w:val="NormalTok"/>
        </w:rPr>
        <w:t xml:space="preserve">friends</w:t>
      </w:r>
      <w:r>
        <w:t xml:space="preserve"> </w:t>
      </w:r>
      <w:r>
        <w:t xml:space="preserve">that would not normally be found.</w:t>
      </w:r>
      <w:r>
        <w:t xml:space="preserve"> </w:t>
      </w:r>
      <w:r>
        <w:t xml:space="preserve">ADL never finds member functions.</w:t>
      </w:r>
    </w:p>
    <w:p>
      <w:pPr>
        <w:pStyle w:val="BodyText"/>
      </w:pPr>
      <w:r>
        <w:t xml:space="preserve">Unqualified name lookup in templates has two phases:</w:t>
      </w:r>
      <w:r>
        <w:t xml:space="preserve"> </w:t>
      </w:r>
      <w:r>
        <w:t xml:space="preserve">- When the template is initially parsed, names are looked up as above,</w:t>
      </w:r>
      <w:r>
        <w:t xml:space="preserve"> </w:t>
      </w:r>
      <w:r>
        <w:t xml:space="preserve">excluding dependent bases; and</w:t>
      </w:r>
      <w:r>
        <w:t xml:space="preserve"> </w:t>
      </w:r>
      <w:r>
        <w:t xml:space="preserve">- When the template is instantiated, ADL is performed for function</w:t>
      </w:r>
      <w:r>
        <w:t xml:space="preserve"> </w:t>
      </w:r>
      <w:r>
        <w:t xml:space="preserve">names, but ADL does not find member functions.</w:t>
      </w:r>
    </w:p>
    <w:p>
      <w:pPr>
        <w:pStyle w:val="BodyText"/>
      </w:pPr>
      <w:r>
        <w:t xml:space="preserve">A qualified name lookup takes place when:</w:t>
      </w:r>
      <w:r>
        <w:t xml:space="preserve"> </w:t>
      </w:r>
      <w:r>
        <w:t xml:space="preserve">- the name includes its scope (e.g</w:t>
      </w:r>
      <w:r>
        <w:t xml:space="preserve"> </w:t>
      </w:r>
      <w:r>
        <w:rPr>
          <w:rStyle w:val="NormalTok"/>
        </w:rPr>
        <w:t xml:space="preserve">a::foo</w:t>
      </w:r>
      <w:r>
        <w:t xml:space="preserve">); or</w:t>
      </w:r>
      <w:r>
        <w:t xml:space="preserve"> </w:t>
      </w:r>
      <w:r>
        <w:t xml:space="preserve">- the name is used in a class member access expression</w:t>
      </w:r>
      <w:r>
        <w:t xml:space="preserve"> </w:t>
      </w:r>
      <w:r>
        <w:t xml:space="preserve">(</w:t>
      </w:r>
      <w:r>
        <w:rPr>
          <w:rStyle w:val="KeywordTok"/>
        </w:rPr>
        <w:t xml:space="preserve">this</w:t>
      </w:r>
      <w:r>
        <w:rPr>
          <w:rStyle w:val="NormalTok"/>
        </w:rPr>
        <w:t xml:space="preserve">-&gt;foo</w:t>
      </w:r>
      <w:r>
        <w:t xml:space="preserve">).</w:t>
      </w:r>
      <w:r>
        <w:t xml:space="preserve"> </w:t>
      </w:r>
      <w:r>
        <w:t xml:space="preserve">Qualified lookup only searches:</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w:t>
      </w:r>
      <w:r>
        <w:t xml:space="preserve"> </w:t>
      </w:r>
      <w:r>
        <w:t xml:space="preserve">- Members of inline namespaces; and</w:t>
      </w:r>
      <w:r>
        <w:t xml:space="preserve"> </w:t>
      </w:r>
      <w:r>
        <w:t xml:space="preserve">- Names that can be resolved when a template is instantiated.</w:t>
      </w:r>
    </w:p>
    <w:p>
      <w:pPr>
        <w:pStyle w:val="BodyText"/>
      </w:pPr>
      <w:r>
        <w:t xml:space="preserve">Overload resolution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3"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1"/>
        </w:numPr>
      </w:pPr>
      <w:r>
        <w:t xml:space="preserve">The implicit conversions between arithmetic types (including</w:t>
      </w:r>
      <w:r>
        <w:t xml:space="preserve"> </w:t>
      </w:r>
      <w:r>
        <w:rPr>
          <w:rStyle w:val="DataTypeTok"/>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DataTypeTok"/>
        </w:rPr>
        <w:t xml:space="preserve">unsigned</w:t>
      </w:r>
      <w:r>
        <w:rPr>
          <w:rStyle w:val="NormalTok"/>
        </w:rPr>
        <w:t xml:space="preserve"> </w:t>
      </w:r>
      <w:r>
        <w:rPr>
          <w:rStyle w:val="DataTypeTok"/>
        </w:rPr>
        <w:t xml:space="preserve">char</w:t>
      </w:r>
      <w:r>
        <w:t xml:space="preserve">) to the signed integer type</w:t>
      </w:r>
      <w:r>
        <w:t xml:space="preserve"> </w:t>
      </w:r>
      <w:r>
        <w:rPr>
          <w:rStyle w:val="DataTypeTok"/>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1"/>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1"/>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1"/>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1"/>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1"/>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1"/>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1"/>
        </w:numPr>
      </w:pPr>
      <w:r>
        <w:t xml:space="preserve">User-defined class types can define conversion operators and converting constructors that can be called with a single argument. If these member functions are not declared with the keyword</w:t>
      </w:r>
      <w:r>
        <w:t xml:space="preserve"> </w:t>
      </w:r>
      <w:r>
        <w:rPr>
          <w:rStyle w:val="KeywordTok"/>
        </w:rPr>
        <w:t xml:space="preserve">explicit</w:t>
      </w:r>
      <w:r>
        <w:t xml:space="preserve"> </w:t>
      </w:r>
      <w:r>
        <w:t xml:space="preserve">they are eligible for use in implicit conversions.</w:t>
      </w:r>
    </w:p>
    <w:p>
      <w:pPr>
        <w:numPr>
          <w:ilvl w:val="0"/>
          <w:numId w:val="1011"/>
        </w:numPr>
      </w:pPr>
      <w:r>
        <w:t xml:space="preserve">Implicit conversions from an arithmetic type to</w:t>
      </w:r>
      <w:r>
        <w:t xml:space="preserve"> </w:t>
      </w:r>
      <w:r>
        <w:rPr>
          <w:rStyle w:val="DataTypeTok"/>
        </w:rPr>
        <w:t xml:space="preserve">bool</w:t>
      </w:r>
      <w:r>
        <w:t xml:space="preserve"> </w:t>
      </w:r>
      <w:r>
        <w:t xml:space="preserve">often indicate a missing comparison. Conversions from</w:t>
      </w:r>
      <w:r>
        <w:t xml:space="preserve"> </w:t>
      </w:r>
      <w:r>
        <w:rPr>
          <w:rStyle w:val="DataTypeTok"/>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KeywordTok"/>
        </w:rPr>
        <w:t xml:space="preserve">false</w:t>
      </w:r>
      <w:r>
        <w:t xml:space="preserve"> </w:t>
      </w:r>
      <w:r>
        <w:t xml:space="preserve">converting to/from zero and</w:t>
      </w:r>
      <w:r>
        <w:t xml:space="preserve"> </w:t>
      </w:r>
      <w:r>
        <w:rPr>
          <w:rStyle w:val="KeywordTok"/>
        </w:rPr>
        <w:t xml:space="preserve">true</w:t>
      </w:r>
      <w:r>
        <w:t xml:space="preserve"> </w:t>
      </w:r>
      <w:r>
        <w:t xml:space="preserve">to one and from non-zero:</w:t>
      </w:r>
    </w:p>
    <w:p>
      <w:pPr>
        <w:pStyle w:val="SourceCode"/>
      </w:pPr>
      <w:r>
        <w:rPr>
          <w:rStyle w:val="DataTypeTok"/>
        </w:rPr>
        <w:t xml:space="preserve">double</w:t>
      </w:r>
      <w:r>
        <w:rPr>
          <w:rStyle w:val="NormalTok"/>
        </w:rPr>
        <w:t xml:space="preserve"> fluxcompensation(</w:t>
      </w:r>
      <w:r>
        <w:rPr>
          <w:rStyle w:val="DataTypeTok"/>
        </w:rPr>
        <w:t xml:space="preserve">double</w:t>
      </w:r>
      <w:r>
        <w:rPr>
          <w:rStyle w:val="NormalTok"/>
        </w:rPr>
        <w:t xml:space="preserve"> flux, </w:t>
      </w:r>
      <w:r>
        <w:rPr>
          <w:rStyle w:val="DataTypeTok"/>
        </w:rPr>
        <w:t xml:space="preserve">bool</w:t>
      </w:r>
      <w:r>
        <w:rPr>
          <w:rStyle w:val="NormalTok"/>
        </w:rPr>
        <w:t xml:space="preserve"> compensate){</w:t>
      </w:r>
      <w:r>
        <w:br/>
      </w:r>
      <w:r>
        <w:rPr>
          <w:rStyle w:val="NormalTok"/>
        </w:rPr>
        <w:t xml:space="preserve">  </w:t>
      </w:r>
      <w:r>
        <w:rPr>
          <w:rStyle w:val="ControlFlowTok"/>
        </w:rPr>
        <w:t xml:space="preserve">if</w:t>
      </w:r>
      <w:r>
        <w:rPr>
          <w:rStyle w:val="NormalTok"/>
        </w:rPr>
        <w:t xml:space="preserve"> (flux) { </w:t>
      </w:r>
      <w:r>
        <w:rPr>
          <w:rStyle w:val="CommentTok"/>
        </w:rPr>
        <w:t xml:space="preserve">// double to bool conversion</w:t>
      </w:r>
      <w:r>
        <w:br/>
      </w:r>
      <w:r>
        <w:rPr>
          <w:rStyle w:val="NormalTok"/>
        </w:rPr>
        <w:t xml:space="preserve">    </w:t>
      </w:r>
      <w:r>
        <w:rPr>
          <w:rStyle w:val="DataTypeTok"/>
        </w:rPr>
        <w:t xml:space="preserve">double</w:t>
      </w:r>
      <w:r>
        <w:rPr>
          <w:rStyle w:val="NormalTok"/>
        </w:rPr>
        <w:t xml:space="preserve"> delta = compute_delta();</w:t>
      </w:r>
      <w:r>
        <w:br/>
      </w:r>
      <w:r>
        <w:rPr>
          <w:rStyle w:val="NormalTok"/>
        </w:rPr>
        <w:t xml:space="preserve">    </w:t>
      </w:r>
      <w:r>
        <w:rPr>
          <w:rStyle w:val="DataTypeTok"/>
        </w:rPr>
        <w:t xml:space="preserve">double</w:t>
      </w:r>
      <w:r>
        <w:rPr>
          <w:rStyle w:val="NormalTok"/>
        </w:rPr>
        <w:t xml:space="preserve"> </w:t>
      </w:r>
      <w:r>
        <w:rPr>
          <w:rStyle w:val="AttributeTok"/>
        </w:rPr>
        <w:t xml:space="preserve">const</w:t>
      </w:r>
      <w:r>
        <w:rPr>
          <w:rStyle w:val="NormalTok"/>
        </w:rPr>
        <w:t xml:space="preserve"> compensate_v = </w:t>
      </w:r>
      <w:r>
        <w:rPr>
          <w:rStyle w:val="FloatTok"/>
        </w:rPr>
        <w:t xml:space="preserve">1.4</w:t>
      </w:r>
      <w:r>
        <w:rPr>
          <w:rStyle w:val="NormalTok"/>
        </w:rPr>
        <w:t xml:space="preserve">;</w:t>
      </w:r>
      <w:r>
        <w:br/>
      </w:r>
      <w:r>
        <w:rPr>
          <w:rStyle w:val="NormalTok"/>
        </w:rPr>
        <w:t xml:space="preserve">    </w:t>
      </w:r>
      <w:r>
        <w:rPr>
          <w:rStyle w:val="ControlFlowTok"/>
        </w:rPr>
        <w:t xml:space="preserve">return</w:t>
      </w:r>
      <w:r>
        <w:rPr>
          <w:rStyle w:val="NormalTok"/>
        </w:rPr>
        <w:t xml:space="preserve"> flux + delta * compensate; </w:t>
      </w:r>
      <w:r>
        <w:rPr>
          <w:rStyle w:val="CommentTok"/>
        </w:rPr>
        <w:t xml:space="preserve">// bool to double conversion</w:t>
      </w:r>
      <w:r>
        <w:br/>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FloatTok"/>
        </w:rPr>
        <w:t xml:space="preserve">1.</w:t>
      </w:r>
      <w:r>
        <w:rPr>
          <w:rStyle w:val="NormalTok"/>
        </w:rPr>
        <w:t xml:space="preserve">;</w:t>
      </w:r>
      <w:r>
        <w:br/>
      </w:r>
      <w:r>
        <w:rPr>
          <w:rStyle w:val="NormalTok"/>
        </w:rPr>
        <w:t xml:space="preserve">}</w:t>
      </w:r>
    </w:p>
    <w:p>
      <w:pPr>
        <w:numPr>
          <w:ilvl w:val="0"/>
          <w:numId w:val="1012"/>
        </w:numPr>
        <w:pStyle w:val="Compact"/>
      </w:pPr>
      <w:r>
        <w:t xml:space="preserve">In a boolean context, conversions that would not occur implicily can take place, specifically, a pointer-to-bool conversion and the application of an</w:t>
      </w:r>
      <w:r>
        <w:t xml:space="preserve"> </w:t>
      </w:r>
      <w:r>
        <w:rPr>
          <w:rStyle w:val="KeywordTok"/>
        </w:rPr>
        <w:t xml:space="preserve">explicit</w:t>
      </w:r>
      <w:r>
        <w:rPr>
          <w:rStyle w:val="NormalTok"/>
        </w:rPr>
        <w:t xml:space="preserve"> </w:t>
      </w:r>
      <w:r>
        <w:rPr>
          <w:rStyle w:val="KeywordTok"/>
        </w:rPr>
        <w:t xml:space="preserve">operator</w:t>
      </w:r>
      <w:r>
        <w:rPr>
          <w:rStyle w:val="NormalTok"/>
        </w:rPr>
        <w:t xml:space="preserve"> </w:t>
      </w:r>
      <w:r>
        <w:rPr>
          <w:rStyle w:val="DataTypeTok"/>
        </w:rPr>
        <w:t xml:space="preserve">bool</w:t>
      </w:r>
      <w:r>
        <w:rPr>
          <w:rStyle w:val="NormalTok"/>
        </w:rPr>
        <w:t xml:space="preserve">()</w:t>
      </w:r>
      <w:r>
        <w:t xml:space="preserve"> </w:t>
      </w:r>
      <w:r>
        <w:t xml:space="preserve">conversion operator. These conversions are idiomatic C++ in boolean contexts; however, some prefer explicit tests to show intent, for example,</w:t>
      </w:r>
      <w:r>
        <w:t xml:space="preserve"> </w:t>
      </w:r>
      <w:r>
        <w:rPr>
          <w:rStyle w:val="ControlFlowTok"/>
        </w:rPr>
        <w:t xml:space="preserve">if</w:t>
      </w:r>
      <w:r>
        <w:rPr>
          <w:rStyle w:val="NormalTok"/>
        </w:rPr>
        <w:t xml:space="preserve"> (p) { *p = </w:t>
      </w:r>
      <w:r>
        <w:rPr>
          <w:rStyle w:val="DecValTok"/>
        </w:rPr>
        <w:t xml:space="preserve">42</w:t>
      </w:r>
      <w:r>
        <w:rPr>
          <w:rStyle w:val="NormalTok"/>
        </w:rPr>
        <w:t xml:space="preserve">; }</w:t>
      </w:r>
      <w:r>
        <w:t xml:space="preserve"> </w:t>
      </w:r>
      <w:r>
        <w:t xml:space="preserve">vs. </w:t>
      </w:r>
      <w:r>
        <w:rPr>
          <w:rStyle w:val="ControlFlowTok"/>
        </w:rPr>
        <w:t xml:space="preserve">if</w:t>
      </w:r>
      <w:r>
        <w:rPr>
          <w:rStyle w:val="NormalTok"/>
        </w:rPr>
        <w:t xml:space="preserve"> (p != </w:t>
      </w:r>
      <w:r>
        <w:rPr>
          <w:rStyle w:val="KeywordTok"/>
        </w:rPr>
        <w:t xml:space="preserve">nullptr</w:t>
      </w:r>
      <w:r>
        <w:rPr>
          <w:rStyle w:val="NormalTok"/>
        </w:rPr>
        <w:t xml:space="preserve">) { *p = </w:t>
      </w:r>
      <w:r>
        <w:rPr>
          <w:rStyle w:val="DecValTok"/>
        </w:rPr>
        <w:t xml:space="preserve">42</w:t>
      </w:r>
      <w:r>
        <w:rPr>
          <w:rStyle w:val="NormalTok"/>
        </w:rPr>
        <w:t xml:space="preserve">; }</w:t>
      </w:r>
      <w:r>
        <w:t xml:space="preserve">.</w:t>
      </w:r>
    </w:p>
    <w:p>
      <w:pPr>
        <w:pStyle w:val="FirstParagraph"/>
      </w:pPr>
      <w:r>
        <w:t xml:space="preserve">Note that type aliases (</w:t>
      </w:r>
      <w:r>
        <w:rPr>
          <w:rStyle w:val="KeywordTok"/>
        </w:rPr>
        <w:t xml:space="preserve">using</w:t>
      </w:r>
      <w:r>
        <w:t xml:space="preserve">, and</w:t>
      </w:r>
      <w:r>
        <w:t xml:space="preserve"> </w:t>
      </w:r>
      <w:r>
        <w:rPr>
          <w:rStyle w:val="KeywordTok"/>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BuiltInTok"/>
        </w:rPr>
        <w:t xml:space="preserve">std::</w:t>
      </w:r>
      <w:r>
        <w:rPr>
          <w:rStyle w:val="NormalTok"/>
        </w:rPr>
        <w:t xml:space="preserve">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KeywordTok"/>
        </w:rPr>
        <w:t xml:space="preserve">enum</w:t>
      </w:r>
      <w:r>
        <w:rPr>
          <w:rStyle w:val="NormalTok"/>
        </w:rPr>
        <w:t xml:space="preserve"> </w:t>
      </w:r>
      <w:r>
        <w:rPr>
          <w:rStyle w:val="KeywordTok"/>
        </w:rPr>
        <w:t xml:space="preserve">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KeywordTok"/>
        </w:rPr>
        <w:t xml:space="preserve">struct</w:t>
      </w:r>
      <w:r>
        <w:rPr>
          <w:rStyle w:val="NormalTok"/>
        </w:rPr>
        <w:t xml:space="preserve"> Celsius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KeywordTok"/>
        </w:rPr>
        <w:t xml:space="preserve">struct</w:t>
      </w:r>
      <w:r>
        <w:rPr>
          <w:rStyle w:val="NormalTok"/>
        </w:rPr>
        <w:t xml:space="preserve"> Fahrenheit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NormalTok"/>
        </w:rPr>
        <w:t xml:space="preserve">Fahrenheit convert_to_fahrenheit(Celsius c){</w:t>
      </w:r>
      <w:r>
        <w:br/>
      </w:r>
      <w:r>
        <w:rPr>
          <w:rStyle w:val="NormalTok"/>
        </w:rPr>
        <w:t xml:space="preserve">    </w:t>
      </w:r>
      <w:r>
        <w:rPr>
          <w:rStyle w:val="ControlFlowTok"/>
        </w:rPr>
        <w:t xml:space="preserve">return</w:t>
      </w:r>
      <w:r>
        <w:rPr>
          <w:rStyle w:val="NormalTok"/>
        </w:rPr>
        <w:t xml:space="preserve"> { </w:t>
      </w:r>
      <w:r>
        <w:rPr>
          <w:rStyle w:val="DecValTok"/>
        </w:rPr>
        <w:t xml:space="preserve">9</w:t>
      </w:r>
      <w:r>
        <w:rPr>
          <w:rStyle w:val="NormalTok"/>
        </w:rPr>
        <w:t xml:space="preserve">*c.value/</w:t>
      </w:r>
      <w:r>
        <w:rPr>
          <w:rStyle w:val="DecValTok"/>
        </w:rPr>
        <w:t xml:space="preserve">5</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w:t>
      </w:r>
      <w:r>
        <w:br/>
      </w:r>
      <w:r>
        <w:rPr>
          <w:rStyle w:val="NormalTok"/>
        </w:rPr>
        <w:t xml:space="preserve">Celsius wrong = convert_to_fahrenheit({</w:t>
      </w:r>
      <w:r>
        <w:rPr>
          <w:rStyle w:val="FloatTok"/>
        </w:rPr>
        <w:t xml:space="preserve">20.</w:t>
      </w:r>
      <w:r>
        <w:rPr>
          <w:rStyle w:val="NormalTok"/>
        </w:rPr>
        <w:t xml:space="preserve">}); </w:t>
      </w:r>
      <w:r>
        <w:rPr>
          <w:rStyle w:val="CommentTok"/>
        </w:rPr>
        <w:t xml:space="preserve">//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3"/>
        </w:numPr>
      </w:pPr>
      <w:r>
        <w:t xml:space="preserve">Use the avoidance mechanisms of ISO/IEC 24772-1:2024, 6.2.5. and provided in the different related clauses of this document.</w:t>
      </w:r>
    </w:p>
    <w:p>
      <w:pPr>
        <w:numPr>
          <w:ilvl w:val="0"/>
          <w:numId w:val="1013"/>
        </w:numPr>
      </w:pPr>
      <w:r>
        <w:t xml:space="preserve">Be aware of the rules of the type system, overload resolution, and implicit conversions to avoid vulnerabilities.</w:t>
      </w:r>
    </w:p>
    <w:p>
      <w:pPr>
        <w:numPr>
          <w:ilvl w:val="0"/>
          <w:numId w:val="1013"/>
        </w:numPr>
      </w:pPr>
      <w:r>
        <w:t xml:space="preserve">Enable compiler warnings regarding implicit conversions and use static analysis tools that provide such warnings.</w:t>
      </w:r>
    </w:p>
    <w:p>
      <w:pPr>
        <w:numPr>
          <w:ilvl w:val="0"/>
          <w:numId w:val="1013"/>
        </w:numPr>
      </w:pPr>
      <w:r>
        <w:t xml:space="preserve">Define as</w:t>
      </w:r>
      <w:r>
        <w:t xml:space="preserve"> </w:t>
      </w:r>
      <w:r>
        <w:rPr>
          <w:rStyle w:val="KeywordTok"/>
        </w:rPr>
        <w:t xml:space="preserve">explicit</w:t>
      </w:r>
      <w:r>
        <w:t xml:space="preserve"> </w:t>
      </w:r>
      <w:r>
        <w:t xml:space="preserve">any constructor of a class that can be called with a single argument of a different type .</w:t>
      </w:r>
    </w:p>
    <w:p>
      <w:pPr>
        <w:numPr>
          <w:ilvl w:val="0"/>
          <w:numId w:val="1013"/>
        </w:numPr>
      </w:pPr>
      <w:r>
        <w:t xml:space="preserve">Define any conversion operator as</w:t>
      </w:r>
      <w:r>
        <w:t xml:space="preserve"> </w:t>
      </w:r>
      <w:r>
        <w:rPr>
          <w:rStyle w:val="KeywordTok"/>
        </w:rPr>
        <w:t xml:space="preserve">explicit</w:t>
      </w:r>
    </w:p>
    <w:p>
      <w:pPr>
        <w:numPr>
          <w:ilvl w:val="0"/>
          <w:numId w:val="1013"/>
        </w:numPr>
      </w:pPr>
      <w:r>
        <w:t xml:space="preserve">Use strong types for domain values instead of the built-in types and on system boundaries, e.g., for input, convert a read value immediately to the appropriate strong type.</w:t>
      </w:r>
    </w:p>
    <w:p>
      <w:pPr>
        <w:numPr>
          <w:ilvl w:val="0"/>
          <w:numId w:val="1013"/>
        </w:numPr>
      </w:pPr>
      <w:r>
        <w:t xml:space="preserve">UIse a braced-initializer when defining variables of an arithmetic type to prevent a potential narrowing conversion from the initial value’s type.</w:t>
      </w:r>
    </w:p>
    <w:p>
      <w:pPr>
        <w:numPr>
          <w:ilvl w:val="0"/>
          <w:numId w:val="1013"/>
        </w:numPr>
      </w:pPr>
      <w:r>
        <w:t xml:space="preserve">Avoid the use of the following text-representing character types,</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 </w:t>
      </w:r>
      <w:r>
        <w:t xml:space="preserve">and</w:t>
      </w:r>
      <w:r>
        <w:t xml:space="preserve"> </w:t>
      </w:r>
      <w:r>
        <w:rPr>
          <w:rStyle w:val="VerbatimChar"/>
        </w:rPr>
        <w:t xml:space="preserve">char32_t</w:t>
      </w:r>
      <w:r>
        <w:t xml:space="preserve">, in arithmetic or relational expressions; use an appropriate text processing library instead for character classification, conversion, comparison, and further processing.</w:t>
      </w:r>
    </w:p>
    <w:p>
      <w:pPr>
        <w:numPr>
          <w:ilvl w:val="0"/>
          <w:numId w:val="1013"/>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BuiltInTok"/>
        </w:rPr>
        <w:t xml:space="preserve">std::</w:t>
      </w:r>
      <w:r>
        <w:rPr>
          <w:rStyle w:val="NormalTok"/>
        </w:rPr>
        <w:t xml:space="preserve">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BuiltInTok"/>
        </w:rPr>
        <w:t xml:space="preserve">std::</w:t>
      </w:r>
      <w:r>
        <w:rPr>
          <w:rStyle w:val="NormalTok"/>
        </w:rPr>
        <w:t xml:space="preserve">bitset&lt;N&gt;</w:t>
      </w:r>
      <w:r>
        <w:t xml:space="preserve"> </w:t>
      </w:r>
      <w:r>
        <w:t xml:space="preserve">and</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can provide suitable representations at run time, but do not support a direct mapping to machine words. In addition, be aware that</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BuiltInTok"/>
        </w:rPr>
        <w:t xml:space="preserve">std::</w:t>
      </w:r>
      <w:r>
        <w:rPr>
          <w:rStyle w:val="NormalTok"/>
        </w:rPr>
        <w:t xml:space="preserve">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NormalTok"/>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clause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BuiltInTok"/>
        </w:rPr>
        <w:t xml:space="preserve">std::</w:t>
      </w:r>
      <w:r>
        <w:rPr>
          <w:rStyle w:val="NormalTok"/>
        </w:rPr>
        <w:t xml:space="preserve">bit_cast</w:t>
      </w:r>
      <w:r>
        <w:t xml:space="preserve"> </w:t>
      </w:r>
      <w:r>
        <w:t xml:space="preserve">over other means such as</w:t>
      </w:r>
      <w:r>
        <w:t xml:space="preserve"> </w:t>
      </w:r>
      <w:r>
        <w:rPr>
          <w:rStyle w:val="KeywordTok"/>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BuiltInTok"/>
        </w:rPr>
        <w:t xml:space="preserve">std::</w:t>
      </w:r>
      <w:r>
        <w:rPr>
          <w:rStyle w:val="NormalTok"/>
        </w:rPr>
        <w:t xml:space="preserve">bitset</w:t>
      </w:r>
      <w:r>
        <w:t xml:space="preserve">, over non-portable bitfields.</w:t>
      </w:r>
    </w:p>
    <w:p>
      <w:pPr>
        <w:numPr>
          <w:ilvl w:val="0"/>
          <w:numId w:val="1014"/>
        </w:numPr>
      </w:pPr>
      <w:r>
        <w:t xml:space="preserve">Forbid the use of</w:t>
      </w:r>
      <w:r>
        <w:t xml:space="preserve"> </w:t>
      </w:r>
      <w:r>
        <w:rPr>
          <w:rStyle w:val="BuiltInTok"/>
        </w:rPr>
        <w:t xml:space="preserve">std::</w:t>
      </w:r>
      <w:r>
        <w:rPr>
          <w:rStyle w:val="NormalTok"/>
        </w:rPr>
        <w:t xml:space="preserve">memcmp</w:t>
      </w:r>
      <w:r>
        <w:t xml:space="preserve">,</w:t>
      </w:r>
      <w:r>
        <w:t xml:space="preserve"> </w:t>
      </w:r>
      <w:r>
        <w:rPr>
          <w:rStyle w:val="BuiltInTok"/>
        </w:rPr>
        <w:t xml:space="preserve">std::</w:t>
      </w:r>
      <w:r>
        <w:rPr>
          <w:rStyle w:val="NormalTok"/>
        </w:rPr>
        <w:t xml:space="preserve">memcpy</w:t>
      </w:r>
      <w:r>
        <w:t xml:space="preserve">, or</w:t>
      </w:r>
      <w:r>
        <w:t xml:space="preserve"> </w:t>
      </w:r>
      <w:r>
        <w:rPr>
          <w:rStyle w:val="BuiltInTok"/>
        </w:rPr>
        <w:t xml:space="preserve">std::</w:t>
      </w:r>
      <w:r>
        <w:rPr>
          <w:rStyle w:val="NormalTok"/>
        </w:rPr>
        <w:t xml:space="preserve">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BuiltInTok"/>
        </w:rPr>
        <w:t xml:space="preserve">std::</w:t>
      </w:r>
      <w:r>
        <w:rPr>
          <w:rStyle w:val="NormalTok"/>
        </w:rPr>
        <w:t xml:space="preserve">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BuiltInTok"/>
        </w:rPr>
        <w:t xml:space="preserve">std::</w:t>
      </w:r>
      <w:r>
        <w:rPr>
          <w:rStyle w:val="NormalTok"/>
        </w:rPr>
        <w:t xml:space="preserve">numeric_limits</w:t>
      </w:r>
      <w:r>
        <w:rPr>
          <w:rStyle w:val="BuiltInTok"/>
        </w:rPr>
        <w:t xml:space="preserve">\</w:t>
      </w:r>
      <w:r>
        <w:rPr>
          <w:rStyle w:val="NormalTok"/>
        </w:rPr>
        <w:t xml:space="preserve">&lt;T&gt;::is_iec559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rPr>
          <w:rStyle w:val="BuiltInTok"/>
        </w:rPr>
        <w:t xml:space="preserve">std::</w:t>
      </w:r>
      <w:r>
        <w:rPr>
          <w:rStyle w:val="NormalTok"/>
        </w:rPr>
        <w:t xml:space="preserve">less</w:t>
      </w:r>
      <w:r>
        <w:t xml:space="preserve"> </w:t>
      </w:r>
      <w:r>
        <w:t xml:space="preserve">is not a total order;</w:t>
      </w:r>
      <w:r>
        <w:t xml:space="preserve"> </w:t>
      </w:r>
      <w:r>
        <w:rPr>
          <w:rStyle w:val="BuiltInTok"/>
        </w:rPr>
        <w:t xml:space="preserve">std::</w:t>
      </w:r>
      <w:r>
        <w:rPr>
          <w:rStyle w:val="NormalTok"/>
        </w:rPr>
        <w:t xml:space="preserve">equal</w:t>
      </w:r>
      <w:r>
        <w:t xml:space="preserve"> </w:t>
      </w:r>
      <w:r>
        <w:t xml:space="preserve">is not equivalent to substitutability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may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KeywordTok"/>
        </w:rPr>
        <w:t xml:space="preserve">operator</w:t>
      </w:r>
      <w:r>
        <w:rPr>
          <w:rStyle w:val="NormalTok"/>
        </w:rPr>
        <w:t xml:space="preserve">&lt;=&gt;</w:t>
      </w:r>
      <w:r>
        <w:t xml:space="preserve"> </w:t>
      </w:r>
      <w:r>
        <w:t xml:space="preserve">for a floating point type is</w:t>
      </w:r>
      <w:r>
        <w:t xml:space="preserve"> </w:t>
      </w:r>
      <w:r>
        <w:rPr>
          <w:rStyle w:val="BuiltInTok"/>
        </w:rPr>
        <w:t xml:space="preserve">std::</w:t>
      </w:r>
      <w:r>
        <w:rPr>
          <w:rStyle w:val="NormalTok"/>
        </w:rPr>
        <w:t xml:space="preserve">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clause 6.4.5</w:t>
      </w:r>
    </w:p>
    <w:p>
      <w:pPr>
        <w:numPr>
          <w:ilvl w:val="0"/>
          <w:numId w:val="1015"/>
        </w:numPr>
      </w:pPr>
      <w:r>
        <w:t xml:space="preserve">Verify compliance to ISO/IEC/IEEE 60559:2011 at compile time through</w:t>
      </w:r>
      <w:r>
        <w:t xml:space="preserve"> </w:t>
      </w:r>
      <w:r>
        <w:rPr>
          <w:rStyle w:val="BuiltInTok"/>
        </w:rPr>
        <w:t xml:space="preserve">std::</w:t>
      </w:r>
      <w:r>
        <w:rPr>
          <w:rStyle w:val="NormalTok"/>
        </w:rPr>
        <w:t xml:space="preserve">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5"/>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a member of an enumeration type.</w:t>
      </w:r>
    </w:p>
    <w:p>
      <w:pPr>
        <w:pStyle w:val="BodyText"/>
      </w:pPr>
      <w:r>
        <w:t xml:space="preserve">C++ provides scoped (</w:t>
      </w:r>
      <w:r>
        <w:rPr>
          <w:rStyle w:val="KeywordTok"/>
        </w:rPr>
        <w:t xml:space="preserve">enum</w:t>
      </w:r>
      <w:r>
        <w:rPr>
          <w:rStyle w:val="NormalTok"/>
        </w:rPr>
        <w:t xml:space="preserve"> </w:t>
      </w:r>
      <w:r>
        <w:rPr>
          <w:rStyle w:val="KeywordTok"/>
        </w:rPr>
        <w:t xml:space="preserve">class</w:t>
      </w:r>
      <w:r>
        <w:t xml:space="preserve">) and unscoped (</w:t>
      </w:r>
      <w:r>
        <w:rPr>
          <w:rStyle w:val="KeywordTok"/>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 clause 6.6 applies to C++.</w:t>
      </w:r>
      <w:r>
        <w:t xml:space="preserve"> </w:t>
      </w:r>
      <w:r>
        <w:t xml:space="preserve">C++ includes some of the conversion mechanisms of C as documented in ISO 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KeywordTok"/>
        </w:rPr>
        <w:t xml:space="preserve">static_cast</w:t>
      </w:r>
      <w:r>
        <w:t xml:space="preserve">,</w:t>
      </w:r>
    </w:p>
    <w:p>
      <w:pPr>
        <w:numPr>
          <w:ilvl w:val="1"/>
          <w:numId w:val="1020"/>
        </w:numPr>
        <w:pStyle w:val="Compact"/>
      </w:pPr>
      <w:r>
        <w:rPr>
          <w:rStyle w:val="KeywordTok"/>
        </w:rPr>
        <w:t xml:space="preserve">const_cast</w:t>
      </w:r>
      <w:r>
        <w:t xml:space="preserve">,</w:t>
      </w:r>
    </w:p>
    <w:p>
      <w:pPr>
        <w:numPr>
          <w:ilvl w:val="1"/>
          <w:numId w:val="1020"/>
        </w:numPr>
        <w:pStyle w:val="Compact"/>
      </w:pPr>
      <w:r>
        <w:rPr>
          <w:rStyle w:val="KeywordTok"/>
        </w:rPr>
        <w:t xml:space="preserve">dynamic_cast</w:t>
      </w:r>
      <w:r>
        <w:t xml:space="preserve">,</w:t>
      </w:r>
    </w:p>
    <w:p>
      <w:pPr>
        <w:numPr>
          <w:ilvl w:val="1"/>
          <w:numId w:val="1020"/>
        </w:numPr>
        <w:pStyle w:val="Compact"/>
      </w:pPr>
      <w:r>
        <w:rPr>
          <w:rStyle w:val="KeywordTok"/>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DataTypeTok"/>
        </w:rPr>
        <w:t xml:space="preserve">double</w:t>
      </w:r>
      <w:r>
        <w:rPr>
          <w:rStyle w:val="NormalTok"/>
        </w:rPr>
        <w:t xml:space="preserve">(</w:t>
      </w:r>
      <w:r>
        <w:rPr>
          <w:rStyle w:val="DecValTok"/>
        </w:rPr>
        <w:t xml:space="preserve">42</w:t>
      </w:r>
      <w:r>
        <w:rPr>
          <w:rStyle w:val="NormalTok"/>
        </w:rPr>
        <w:t xml:space="preserve">)</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NormalTok"/>
        </w:rPr>
        <w:t xml:space="preserve">(</w:t>
      </w:r>
      <w:r>
        <w:rPr>
          <w:rStyle w:val="DataTypeTok"/>
        </w:rPr>
        <w:t xml:space="preserve">int</w:t>
      </w:r>
      <w:r>
        <w:rPr>
          <w:rStyle w:val="NormalTok"/>
        </w:rPr>
        <w:t xml:space="preserve">)</w:t>
      </w:r>
      <w:r>
        <w:rPr>
          <w:rStyle w:val="FloatTok"/>
        </w:rPr>
        <w:t xml:space="preserve">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KeywordTok"/>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KeywordTok"/>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KeywordTok"/>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KeywordTok"/>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NormalTok"/>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KeywordTok"/>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NormalTok"/>
        </w:rPr>
        <w:t xml:space="preserve">foo(b)</w:t>
      </w:r>
      <w:r>
        <w:t xml:space="preserve"> </w:t>
      </w:r>
      <w:r>
        <w:t xml:space="preserve">would now be illegal.</w:t>
      </w:r>
    </w:p>
    <w:p>
      <w:pPr>
        <w:pStyle w:val="BodyText"/>
      </w:pPr>
      <w:r>
        <w:t xml:space="preserve">Implications of casting away</w:t>
      </w:r>
      <w:r>
        <w:t xml:space="preserve"> </w:t>
      </w:r>
      <w:r>
        <w:rPr>
          <w:rStyle w:val="AttributeTok"/>
        </w:rPr>
        <w:t xml:space="preserve">const</w:t>
      </w:r>
      <w:r>
        <w:t xml:space="preserve"> </w:t>
      </w:r>
      <w:r>
        <w:t xml:space="preserve">using</w:t>
      </w:r>
      <w:r>
        <w:t xml:space="preserve"> </w:t>
      </w:r>
      <w:r>
        <w:rPr>
          <w:rStyle w:val="VerbatimChar"/>
        </w:rPr>
        <w:t xml:space="preserve">const_cast</w:t>
      </w:r>
      <w:r>
        <w:t xml:space="preserve"> </w:t>
      </w:r>
      <w:r>
        <w:t xml:space="preserve">are described in section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w:t>
      </w:r>
      <w:r>
        <w:t xml:space="preserve"> </w:t>
      </w:r>
      <w:r>
        <w:t xml:space="preserve">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KeywordTok"/>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BuiltInTok"/>
        </w:rPr>
        <w:t xml:space="preserve">std::</w:t>
      </w:r>
      <w:r>
        <w:rPr>
          <w:rStyle w:val="NormalTok"/>
        </w:rPr>
        <w:t xml:space="preserve">byte</w:t>
      </w:r>
      <w:r>
        <w:t xml:space="preserve"> </w:t>
      </w:r>
      <w:r>
        <w:t xml:space="preserve">is defined to address individual</w:t>
      </w:r>
      <w:r>
        <w:t xml:space="preserve"> </w:t>
      </w:r>
      <w:r>
        <w:rPr>
          <w:rStyle w:val="DataTypeTok"/>
        </w:rPr>
        <w:t xml:space="preserve">unsigned</w:t>
      </w:r>
      <w:r>
        <w:rPr>
          <w:rStyle w:val="NormalTok"/>
        </w:rPr>
        <w:t xml:space="preserve"> </w:t>
      </w:r>
      <w:r>
        <w:rPr>
          <w:rStyle w:val="DataTypeTok"/>
        </w:rPr>
        <w:t xml:space="preserve">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BuiltInTok"/>
        </w:rPr>
        <w:t xml:space="preserve">std::</w:t>
      </w:r>
      <w:r>
        <w:rPr>
          <w:rStyle w:val="NormalTok"/>
        </w:rPr>
        <w:t xml:space="preserve">bit_cast</w:t>
      </w:r>
      <w:r>
        <w:t xml:space="preserve">. This function provides the ability to preserve the bit representation when converting between unrelated types.</w:t>
      </w:r>
      <w:r>
        <w:br/>
      </w:r>
      <w:r>
        <w:t xml:space="preserve">If such is meaningful, then</w:t>
      </w:r>
      <w:r>
        <w:t xml:space="preserve"> </w:t>
      </w:r>
      <w:r>
        <w:rPr>
          <w:rStyle w:val="BuiltInTok"/>
        </w:rPr>
        <w:t xml:space="preserve">std::</w:t>
      </w:r>
      <w:r>
        <w:rPr>
          <w:rStyle w:val="NormalTok"/>
        </w:rPr>
        <w:t xml:space="preserve">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 clause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BuiltInTok"/>
        </w:rPr>
        <w:t xml:space="preserve">std::</w:t>
      </w:r>
      <w:r>
        <w:rPr>
          <w:rStyle w:val="NormalTok"/>
        </w:rPr>
        <w:t xml:space="preserve">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KeywordTok"/>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AttributeTok"/>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BuiltInTok"/>
        </w:rPr>
        <w:t xml:space="preserve">std::</w:t>
      </w:r>
      <w:r>
        <w:rPr>
          <w:rStyle w:val="NormalTok"/>
        </w:rPr>
        <w:t xml:space="preserve">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BuiltInTok"/>
        </w:rPr>
        <w:t xml:space="preserve">std::</w:t>
      </w:r>
      <w:r>
        <w:rPr>
          <w:rStyle w:val="NormalTok"/>
        </w:rPr>
        <w:t xml:space="preserve">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BuiltInTok"/>
        </w:rPr>
        <w:t xml:space="preserve">std::</w:t>
      </w:r>
      <w:r>
        <w:rPr>
          <w:rStyle w:val="NormalTok"/>
        </w:rPr>
        <w:t xml:space="preserve">basic_stringview</w:t>
      </w:r>
      <w:r>
        <w:t xml:space="preserve"> </w:t>
      </w:r>
      <w:r>
        <w:t xml:space="preserve">and</w:t>
      </w:r>
      <w:r>
        <w:t xml:space="preserve"> </w:t>
      </w:r>
      <w:r>
        <w:rPr>
          <w:rStyle w:val="BuiltInTok"/>
        </w:rPr>
        <w:t xml:space="preserve">std::</w:t>
      </w:r>
      <w:r>
        <w:rPr>
          <w:rStyle w:val="NormalTok"/>
        </w:rPr>
        <w:t xml:space="preserve">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24772-3 clause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BuiltInTok"/>
        </w:rPr>
        <w:t xml:space="preserve">std::</w:t>
      </w:r>
      <w:r>
        <w:rPr>
          <w:rStyle w:val="NormalTok"/>
        </w:rPr>
        <w:t xml:space="preserve">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BuiltInTok"/>
        </w:rPr>
        <w:t xml:space="preserve">std::</w:t>
      </w:r>
      <w:r>
        <w:rPr>
          <w:rStyle w:val="NormalTok"/>
        </w:rPr>
        <w:t xml:space="preserve">string_view</w:t>
      </w:r>
      <w:r>
        <w:t xml:space="preserve"> </w:t>
      </w:r>
      <w:r>
        <w:t xml:space="preserve">or a</w:t>
      </w:r>
      <w:r>
        <w:t xml:space="preserve"> </w:t>
      </w:r>
      <w:r>
        <w:rPr>
          <w:rStyle w:val="BuiltInTok"/>
        </w:rPr>
        <w:t xml:space="preserve">std::</w:t>
      </w:r>
      <w:r>
        <w:rPr>
          <w:rStyle w:val="NormalTok"/>
        </w:rPr>
        <w:t xml:space="preserve">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 clause 6.8.5.</w:t>
      </w:r>
    </w:p>
    <w:p>
      <w:pPr>
        <w:numPr>
          <w:ilvl w:val="0"/>
          <w:numId w:val="1028"/>
        </w:numPr>
      </w:pPr>
      <w:r>
        <w:t xml:space="preserve">Avoid C-style arrays. If unavoidable, guidance for the use of C-style arrays is</w:t>
      </w:r>
      <w:r>
        <w:t xml:space="preserve"> </w:t>
      </w:r>
      <w:r>
        <w:t xml:space="preserve">provided in TR 24772-3 clause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24772-1:2022 clause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Use the avoidance mechanisms of ISO/IEC 24772-1:2022 clause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Use the avoidance mechanisms of ISO/IEC 24772-1 clause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Use the avoidance mechanisms of ISO/IEC 24772-1 clause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1"/>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Use the avoidance mechanisms of ISO/IEC 24772-1:2019 clause 6.17.5.</w:t>
      </w:r>
    </w:p>
    <w:p>
      <w:pPr>
        <w:numPr>
          <w:ilvl w:val="0"/>
          <w:numId w:val="1043"/>
        </w:numPr>
      </w:pPr>
      <w:r>
        <w:t xml:space="preserve">Follow the rules of ISO/IEC 14882:2020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 clause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TR 24772-1:2019 clause 6.20</w:t>
      </w:r>
      <w:r>
        <w:t xml:space="preserve"> </w:t>
      </w:r>
      <w:r>
        <w:t xml:space="preserve">exists in C++, except for the second issue of limited identifier length.</w:t>
      </w:r>
      <w:r>
        <w:t xml:space="preserve"> </w:t>
      </w:r>
      <w:r>
        <w:t xml:space="preserve">In C++ all characters in an identifier are significant.</w:t>
      </w:r>
    </w:p>
    <w:p>
      <w:pPr>
        <w:pStyle w:val="BodyText"/>
      </w:pPr>
      <w:r>
        <w:t xml:space="preserve">C++ provides the scope resolution operator</w:t>
      </w:r>
      <w:r>
        <w:t xml:space="preserve"> </w:t>
      </w:r>
      <w:r>
        <w:rPr>
          <w:rStyle w:val="VerbatimChar"/>
        </w:rPr>
        <w:t xml:space="preserve">::{.cpp}</w:t>
      </w:r>
      <w:r>
        <w:t xml:space="preserve"> </w:t>
      </w:r>
      <w:r>
        <w:t xml:space="preserve">to</w:t>
      </w:r>
      <w:r>
        <w:t xml:space="preserve"> </w:t>
      </w:r>
      <w:r>
        <w:t xml:space="preserve">access identifiers from non-local scopes.</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 clause 6.41 for inheritance issues associated with name</w:t>
      </w:r>
      <w:r>
        <w:t xml:space="preserve"> </w:t>
      </w:r>
      <w:r>
        <w:t xml:space="preserve">reuse.</w:t>
      </w:r>
    </w:p>
    <w:p>
      <w:pPr>
        <w:pStyle w:val="BodyText"/>
      </w:pPr>
      <w:r>
        <w:t xml:space="preserve">Overloaded function names and operators considered in an expression</w:t>
      </w:r>
      <w:r>
        <w:t xml:space="preserve"> </w:t>
      </w:r>
      <w:r>
        <w:t xml:space="preserve">are not restricted to a simple scope hierarchy, because of argument-dependent lookup (ADL).</w:t>
      </w:r>
      <w:r>
        <w:t xml:space="preserve"> </w:t>
      </w:r>
      <w:r>
        <w:t xml:space="preserve">In generic code the unqualified function or operator selected can come from a scope based on the type</w:t>
      </w:r>
      <w:r>
        <w:t xml:space="preserve"> </w:t>
      </w:r>
      <w:r>
        <w:t xml:space="preserve">of the arguments and not from the current scope hierarchy.</w:t>
      </w:r>
      <w:r>
        <w:t xml:space="preserve"> </w:t>
      </w:r>
      <w:r>
        <w:t xml:space="preserve">The rules for which namespaces are eligible for lookup of unqualified functions and operators are</w:t>
      </w:r>
      <w:r>
        <w:t xml:space="preserve"> </w:t>
      </w:r>
      <w:r>
        <w:t xml:space="preserve">intricate, but required to make overloaded operators work.</w:t>
      </w:r>
    </w:p>
    <w:p>
      <w:pPr>
        <w:pStyle w:val="BodyText"/>
      </w:pPr>
      <w:r>
        <w:t xml:space="preserve">In addition, if implicit conversions can happen on arguments, the overload selected by ADL can be</w:t>
      </w:r>
      <w:r>
        <w:t xml:space="preserve"> </w:t>
      </w:r>
      <w:r>
        <w:t xml:space="preserve">different from programmer expectation even in non-generic code,</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on a namespace-level of such an operator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The latter is achieved by declaring all corresponding overloads as</w:t>
      </w:r>
      <w:r>
        <w:t xml:space="preserve"> </w:t>
      </w:r>
      <w:r>
        <w:rPr>
          <w:rStyle w:val="KeywordTok"/>
        </w:rPr>
        <w:t xml:space="preserve">friend</w:t>
      </w:r>
      <w:r>
        <w:t xml:space="preserve"> </w:t>
      </w:r>
      <w:r>
        <w:t xml:space="preserve">functions</w:t>
      </w:r>
      <w:r>
        <w:t xml:space="preserve"> </w:t>
      </w:r>
      <w:r>
        <w:t xml:space="preserve">in the class that take the class’ objects as arguments.</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p>
      <w:pPr>
        <w:numPr>
          <w:ilvl w:val="1"/>
          <w:numId w:val="1047"/>
        </w:numPr>
        <w:pStyle w:val="SourceCode"/>
      </w:pPr>
      <w:r>
        <w:rPr>
          <w:rStyle w:val="VerbatimChar"/>
        </w:rPr>
        <w:t xml:space="preserve">  DCL60-CPP. Obey the one-definition</w:t>
      </w:r>
    </w:p>
    <w:p>
      <w:pPr>
        <w:numPr>
          <w:ilvl w:val="1"/>
          <w:numId w:val="1000"/>
        </w:numPr>
      </w:pPr>
      <w:r>
        <w:t xml:space="preserve">rule (6.21)</w:t>
      </w:r>
    </w:p>
    <w:p>
      <w:pPr>
        <w:numPr>
          <w:ilvl w:val="1"/>
          <w:numId w:val="1047"/>
        </w:numPr>
        <w:pStyle w:val="SourceCode"/>
      </w:pPr>
      <w:r>
        <w:rPr>
          <w:rStyle w:val="VerbatimChar"/>
        </w:rPr>
        <w:t xml:space="preserve">  DCL40-C. Do not create incompatible declarations of the same</w:t>
      </w:r>
    </w:p>
    <w:p>
      <w:pPr>
        <w:numPr>
          <w:ilvl w:val="1"/>
          <w:numId w:val="1000"/>
        </w:numPr>
      </w:pPr>
      <w:r>
        <w:t xml:space="preserve">function or object (6.21)</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TR 24772-1:2019 clause 6.21 exists in C++.</w:t>
      </w:r>
      <w:r>
        <w:t xml:space="preserve"> </w:t>
      </w:r>
      <w:r>
        <w:t xml:space="preserve">It can occur in particular when a used library changes its API.</w:t>
      </w:r>
      <w:r>
        <w:t xml:space="preserve"> </w:t>
      </w:r>
      <w:r>
        <w:t xml:space="preserve">The situations where it exists are related to the following cases:</w:t>
      </w:r>
    </w:p>
    <w:p>
      <w:pPr>
        <w:numPr>
          <w:ilvl w:val="0"/>
          <w:numId w:val="1048"/>
        </w:numPr>
        <w:pStyle w:val="Compact"/>
      </w:pPr>
      <w:r>
        <w:t xml:space="preserve">Template specialization, where clause 6.40 [#SYM] applies;</w:t>
      </w:r>
    </w:p>
    <w:p>
      <w:pPr>
        <w:numPr>
          <w:ilvl w:val="0"/>
          <w:numId w:val="1048"/>
        </w:numPr>
        <w:pStyle w:val="Compact"/>
      </w:pPr>
      <w:r>
        <w:t xml:space="preserve">Overloading, where clause 6.20 [#YOW] applies;</w:t>
      </w:r>
    </w:p>
    <w:p>
      <w:pPr>
        <w:numPr>
          <w:ilvl w:val="0"/>
          <w:numId w:val="1048"/>
        </w:numPr>
        <w:pStyle w:val="Compact"/>
      </w:pPr>
      <w:r>
        <w:t xml:space="preserve">Overriding, where clause 6.41 [#RIP] 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p>
    <w:p>
      <w:pPr>
        <w:pStyle w:val="BodyText"/>
      </w:pPr>
      <w:r>
        <w:t xml:space="preserve">Overload resolution applies preference rules in order to select among</w:t>
      </w:r>
      <w:r>
        <w:t xml:space="preserve"> </w:t>
      </w:r>
      <w:r>
        <w:t xml:space="preserve">multiple matching functions or function templates as a</w:t>
      </w:r>
      <w:r>
        <w:t xml:space="preserve"> </w:t>
      </w:r>
      <w:r>
        <w:t xml:space="preserve">means to resolve the ambiguity among these functions.</w:t>
      </w:r>
      <w:r>
        <w:t xml:space="preserve"> </w:t>
      </w:r>
      <w:r>
        <w:t xml:space="preserve">Hence, for calls that are not perfect matches, the user cannot</w:t>
      </w:r>
      <w:r>
        <w:t xml:space="preserve"> </w:t>
      </w:r>
      <w:r>
        <w:t xml:space="preserve">guarantee in the presence of later changes which function is called, as another,</w:t>
      </w:r>
      <w:r>
        <w:t xml:space="preserve"> </w:t>
      </w:r>
      <w:r>
        <w:t xml:space="preserve">better match can be introduced subsequently.</w:t>
      </w:r>
      <w:r>
        <w:t xml:space="preserve"> </w:t>
      </w:r>
      <w:r>
        <w:t xml:space="preserve">The call in question will then change its binding without warning upon its next compilation.</w:t>
      </w:r>
      <w:r>
        <w:t xml:space="preserve"> </w:t>
      </w:r>
      <w:r>
        <w:t xml:space="preserve">For cases, where the preference rules do not resolve the ambiguity, the resulting error message by the compiler avoids the vulnerability.</w:t>
      </w:r>
      <w:r>
        <w:t xml:space="preserve"> </w:t>
      </w:r>
      <w:r>
        <w:t xml:space="preserve">Function template specializations are not considered during overload resolution; only the base template is considered.</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9"/>
        </w:numPr>
        <w:pStyle w:val="Compact"/>
      </w:pPr>
      <w:r>
        <w:t xml:space="preserve">an overload,</w:t>
      </w:r>
    </w:p>
    <w:p>
      <w:pPr>
        <w:numPr>
          <w:ilvl w:val="0"/>
          <w:numId w:val="1049"/>
        </w:numPr>
        <w:pStyle w:val="Compact"/>
      </w:pPr>
      <w:r>
        <w:t xml:space="preserve">a using directive,</w:t>
      </w:r>
    </w:p>
    <w:p>
      <w:pPr>
        <w:numPr>
          <w:ilvl w:val="0"/>
          <w:numId w:val="1049"/>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9"/>
        </w:numPr>
        <w:pStyle w:val="Compact"/>
      </w:pPr>
      <w:r>
        <w:t xml:space="preserve">a non-template function that is preferred to a function template,</w:t>
      </w:r>
    </w:p>
    <w:p>
      <w:pPr>
        <w:numPr>
          <w:ilvl w:val="0"/>
          <w:numId w:val="1049"/>
        </w:numPr>
        <w:pStyle w:val="Compact"/>
      </w:pPr>
      <w:r>
        <w:t xml:space="preserve">a template specialization.</w:t>
      </w:r>
    </w:p>
    <w:p>
      <w:pPr>
        <w:pStyle w:val="FirstParagraph"/>
      </w:pPr>
      <w:r>
        <w:t xml:space="preserve">A</w:t>
      </w:r>
      <w:r>
        <w:t xml:space="preserve"> </w:t>
      </w:r>
      <w:r>
        <w:rPr>
          <w:rStyle w:val="KeywordTok"/>
        </w:rPr>
        <w:t xml:space="preserve">using</w:t>
      </w:r>
      <w:r>
        <w:t xml:space="preserve"> </w:t>
      </w:r>
      <w:r>
        <w:t xml:space="preserve">directive broadens the possible scopes that will be examined for</w:t>
      </w:r>
      <w:r>
        <w:t xml:space="preserve"> </w:t>
      </w:r>
      <w:r>
        <w:t xml:space="preserve">names during lookup.</w:t>
      </w:r>
      <w:r>
        <w:br/>
      </w:r>
      <w:r>
        <w:t xml:space="preserve">Where lookup searches a namespace referred to by a</w:t>
      </w:r>
      <w:r>
        <w:t xml:space="preserve"> </w:t>
      </w:r>
      <w:r>
        <w:rPr>
          <w:rStyle w:val="KeywordTok"/>
        </w:rPr>
        <w:t xml:space="preserve">using</w:t>
      </w:r>
      <w:r>
        <w:t xml:space="preserve"> </w:t>
      </w:r>
      <w:r>
        <w:t xml:space="preserve">directive, all names in that namespace will be visible but some can be unwanted.</w:t>
      </w:r>
      <w:r>
        <w:br/>
      </w:r>
      <w:r>
        <w:t xml:space="preserve">A</w:t>
      </w:r>
      <w:r>
        <w:t xml:space="preserve"> </w:t>
      </w:r>
      <w:r>
        <w:rPr>
          <w:i/>
        </w:rPr>
        <w:t xml:space="preserve">using</w:t>
      </w:r>
      <w:r>
        <w:t xml:space="preserve"> </w:t>
      </w:r>
      <w:r>
        <w:t xml:space="preserve">declaration, on the other hand, declares only the specified name</w:t>
      </w:r>
      <w:r>
        <w:t xml:space="preserve"> </w:t>
      </w:r>
      <w:r>
        <w:t xml:space="preserve">into the scope of the</w:t>
      </w:r>
      <w:r>
        <w:t xml:space="preserve"> </w:t>
      </w:r>
      <w:r>
        <w:rPr>
          <w:rStyle w:val="KeywordTok"/>
        </w:rPr>
        <w:t xml:space="preserve">using</w:t>
      </w:r>
      <w:r>
        <w:t xml:space="preserve"> </w:t>
      </w:r>
      <w:r>
        <w:t xml:space="preserve">declaration.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0"/>
        </w:numPr>
      </w:pPr>
      <w:r>
        <w:t xml:space="preserve">Use the avoidance mechanisms of clauses 6.20.2, 6.40.2, and 6.41.2 as applicable.</w:t>
      </w:r>
    </w:p>
    <w:p>
      <w:pPr>
        <w:numPr>
          <w:ilvl w:val="0"/>
          <w:numId w:val="1050"/>
        </w:numPr>
      </w:pPr>
      <w:r>
        <w:t xml:space="preserve">Consider using fully qualified names for calls that rely on an implicit conversions.</w:t>
      </w:r>
    </w:p>
    <w:p>
      <w:pPr>
        <w:numPr>
          <w:ilvl w:val="0"/>
          <w:numId w:val="1050"/>
        </w:numPr>
      </w:pPr>
      <w:r>
        <w:t xml:space="preserve">Consider using named function objects instead of function names for calling a function to suppress overload resolution using argument dependent lookup (ADL).</w:t>
      </w:r>
    </w:p>
    <w:p>
      <w:pPr>
        <w:numPr>
          <w:ilvl w:val="0"/>
          <w:numId w:val="1050"/>
        </w:numPr>
      </w:pPr>
      <w:r>
        <w:t xml:space="preserve">Avoid implicit conversions of function arguments.</w:t>
      </w:r>
    </w:p>
    <w:p>
      <w:pPr>
        <w:numPr>
          <w:ilvl w:val="0"/>
          <w:numId w:val="1050"/>
        </w:numPr>
      </w:pPr>
      <w:r>
        <w:t xml:space="preserve">Prefer using declarations to using directives.</w:t>
      </w:r>
    </w:p>
    <w:p>
      <w:pPr>
        <w:numPr>
          <w:ilvl w:val="0"/>
          <w:numId w:val="1050"/>
        </w:numPr>
      </w:pPr>
      <w:r>
        <w:t xml:space="preserve">Do not overload and use default arguments for the same set of functions.</w:t>
      </w:r>
    </w:p>
    <w:p>
      <w:pPr>
        <w:numPr>
          <w:ilvl w:val="0"/>
          <w:numId w:val="1050"/>
        </w:numPr>
      </w:pPr>
      <w:r>
        <w:t xml:space="preserve">Do not specialize function templates.</w:t>
      </w:r>
    </w:p>
    <w:p>
      <w:pPr>
        <w:numPr>
          <w:ilvl w:val="0"/>
          <w:numId w:val="1050"/>
        </w:numPr>
      </w:pPr>
      <w:r>
        <w:t xml:space="preserve">For template specialization, ensure that specializations are declared as follows:</w:t>
      </w:r>
    </w:p>
    <w:p>
      <w:pPr>
        <w:numPr>
          <w:ilvl w:val="1"/>
          <w:numId w:val="1051"/>
        </w:numPr>
      </w:pPr>
      <w:r>
        <w:t xml:space="preserve">In the same file as the primary template; or</w:t>
      </w:r>
    </w:p>
    <w:p>
      <w:pPr>
        <w:numPr>
          <w:ilvl w:val="1"/>
          <w:numId w:val="1051"/>
        </w:numPr>
      </w:pPr>
      <w:r>
        <w:t xml:space="preserve">In the same file as the user-defined type for which the</w:t>
      </w:r>
      <w:r>
        <w:t xml:space="preserve"> </w:t>
      </w:r>
      <w:r>
        <w:t xml:space="preserve">specialization is declared.</w:t>
      </w:r>
    </w:p>
    <w:p>
      <w:pPr>
        <w:numPr>
          <w:ilvl w:val="0"/>
          <w:numId w:val="1050"/>
        </w:numPr>
      </w:pPr>
      <w:r>
        <w:t xml:space="preserve">Define an entity in only one file to prevent ODR-violations.</w:t>
      </w:r>
    </w:p>
    <w:p>
      <w:pPr>
        <w:numPr>
          <w:ilvl w:val="0"/>
          <w:numId w:val="1050"/>
        </w:numPr>
      </w:pPr>
      <w:r>
        <w:t xml:space="preserve">Ensure that no ODR-violations occur, i.e., through a static analysis tool.</w:t>
      </w:r>
    </w:p>
    <w:p>
      <w:pPr>
        <w:numPr>
          <w:ilvl w:val="0"/>
          <w:numId w:val="1050"/>
        </w:numPr>
      </w:pPr>
      <w:r>
        <w:t xml:space="preserve">Use a version-aware analysis tool to identify situations where preference rules cause a silent change of name binding between versions.</w:t>
      </w:r>
    </w:p>
    <w:p>
      <w:pPr>
        <w:numPr>
          <w:ilvl w:val="0"/>
          <w:numId w:val="1050"/>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2"/>
        </w:numPr>
        <w:pStyle w:val="Compact"/>
      </w:pPr>
      <w:r>
        <w:t xml:space="preserve">Use the avoidance mechanisms of ISO/IEC 24772-1 subclause 6.22.5</w:t>
      </w:r>
    </w:p>
    <w:p>
      <w:pPr>
        <w:numPr>
          <w:ilvl w:val="0"/>
          <w:numId w:val="1052"/>
        </w:numPr>
        <w:pStyle w:val="Compact"/>
      </w:pPr>
      <w:r>
        <w:t xml:space="preserve">Initialize every object defined, including data members, such as by providing an initializer for each variable definition.</w:t>
      </w:r>
    </w:p>
    <w:p>
      <w:pPr>
        <w:numPr>
          <w:ilvl w:val="0"/>
          <w:numId w:val="1052"/>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2"/>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2"/>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2"/>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2"/>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2"/>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 and</w:t>
      </w:r>
    </w:p>
    <w:p>
      <w:pPr>
        <w:numPr>
          <w:ilvl w:val="0"/>
          <w:numId w:val="1053"/>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4"/>
        </w:numPr>
      </w:pPr>
      <w:r>
        <w:t xml:space="preserve">Use the avoidance mechanisms of ISO/IEC 24772-1 Clause</w:t>
      </w:r>
      <w:r>
        <w:t xml:space="preserve"> </w:t>
      </w:r>
      <w:r>
        <w:t xml:space="preserve">6.23.5 [JCW].</w:t>
      </w:r>
    </w:p>
    <w:p>
      <w:pPr>
        <w:numPr>
          <w:ilvl w:val="0"/>
          <w:numId w:val="1054"/>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4"/>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4"/>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4"/>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5"/>
        </w:numPr>
        <w:pStyle w:val="Compact"/>
      </w:pPr>
      <w:r>
        <w:t xml:space="preserve">Write accesses to objects in that expression,</w:t>
      </w:r>
    </w:p>
    <w:p>
      <w:pPr>
        <w:numPr>
          <w:ilvl w:val="0"/>
          <w:numId w:val="1055"/>
        </w:numPr>
        <w:pStyle w:val="Compact"/>
      </w:pPr>
      <w:r>
        <w:t xml:space="preserve">Reading a volatile object,</w:t>
      </w:r>
    </w:p>
    <w:p>
      <w:pPr>
        <w:numPr>
          <w:ilvl w:val="0"/>
          <w:numId w:val="1055"/>
        </w:numPr>
        <w:pStyle w:val="Compact"/>
      </w:pPr>
      <w:r>
        <w:t xml:space="preserve">Calling a library I/O function, and</w:t>
      </w:r>
    </w:p>
    <w:p>
      <w:pPr>
        <w:numPr>
          <w:ilvl w:val="0"/>
          <w:numId w:val="1055"/>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6"/>
        </w:numPr>
      </w:pPr>
      <w:r>
        <w:t xml:space="preserve">Use the avoidance mechanisms of ISO/IEC 24772-1 clause</w:t>
      </w:r>
      <w:r>
        <w:t xml:space="preserve"> </w:t>
      </w:r>
      <w:r>
        <w:t xml:space="preserve">6.24.5.</w:t>
      </w:r>
    </w:p>
    <w:p>
      <w:pPr>
        <w:numPr>
          <w:ilvl w:val="0"/>
          <w:numId w:val="1056"/>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6"/>
        </w:numPr>
      </w:pPr>
      <w:r>
        <w:t xml:space="preserve">Avoid overloading logical operators (&amp;&amp; and ||), as these</w:t>
      </w:r>
      <w:r>
        <w:t xml:space="preserve"> </w:t>
      </w:r>
      <w:r>
        <w:t xml:space="preserve">overloaded versions will not short-circuit.</w:t>
      </w:r>
    </w:p>
    <w:p>
      <w:pPr>
        <w:numPr>
          <w:ilvl w:val="0"/>
          <w:numId w:val="1056"/>
        </w:numPr>
      </w:pPr>
      <w:r>
        <w:t xml:space="preserve">Avoid overloading the comma operator, as the</w:t>
      </w:r>
      <w:r>
        <w:t xml:space="preserve"> </w:t>
      </w:r>
      <w:r>
        <w:t xml:space="preserve">overloaded version has unspecified order of evaluation of its arguments.</w:t>
      </w:r>
    </w:p>
    <w:p>
      <w:pPr>
        <w:numPr>
          <w:ilvl w:val="0"/>
          <w:numId w:val="1056"/>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6"/>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6"/>
        </w:numPr>
      </w:pPr>
      <w:r>
        <w:t xml:space="preserve">Avoid placing multiple operations with side effects in a single</w:t>
      </w:r>
      <w:r>
        <w:t xml:space="preserve"> </w:t>
      </w:r>
      <w:r>
        <w:t xml:space="preserve">expression.</w:t>
      </w:r>
    </w:p>
    <w:p>
      <w:pPr>
        <w:numPr>
          <w:ilvl w:val="0"/>
          <w:numId w:val="1056"/>
        </w:numPr>
      </w:pPr>
      <w:r>
        <w:t xml:space="preserve">Write simple code expressions and statements so that within any</w:t>
      </w:r>
      <w:r>
        <w:t xml:space="preserve"> </w:t>
      </w:r>
      <w:r>
        <w:t xml:space="preserve">expression or statement an object is one of:</w:t>
      </w:r>
    </w:p>
    <w:p>
      <w:pPr>
        <w:numPr>
          <w:ilvl w:val="1"/>
          <w:numId w:val="1057"/>
        </w:numPr>
        <w:pStyle w:val="SourceCode"/>
      </w:pPr>
      <w:r>
        <w:rPr>
          <w:rStyle w:val="VerbatimChar"/>
        </w:rPr>
        <w:t xml:space="preserve">  Read from;</w:t>
      </w:r>
    </w:p>
    <w:p>
      <w:pPr>
        <w:numPr>
          <w:ilvl w:val="1"/>
          <w:numId w:val="1057"/>
        </w:numPr>
        <w:pStyle w:val="SourceCode"/>
      </w:pPr>
      <w:r>
        <w:rPr>
          <w:rStyle w:val="VerbatimChar"/>
        </w:rPr>
        <w:t xml:space="preserve">  Only modified once; or</w:t>
      </w:r>
    </w:p>
    <w:p>
      <w:pPr>
        <w:numPr>
          <w:ilvl w:val="1"/>
          <w:numId w:val="1057"/>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6"/>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8"/>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 clause 6.25.5.</w:t>
      </w:r>
    </w:p>
    <w:p>
      <w:pPr>
        <w:numPr>
          <w:ilvl w:val="0"/>
          <w:numId w:val="1059"/>
        </w:numPr>
      </w:pPr>
      <w:r>
        <w:t xml:space="preserve">Simplify expressions to aid in code readability and help future maintainers understand the intent and nuances of the code. For example by,</w:t>
      </w:r>
    </w:p>
    <w:p>
      <w:pPr>
        <w:numPr>
          <w:ilvl w:val="1"/>
          <w:numId w:val="1060"/>
        </w:numPr>
        <w:pStyle w:val="Compact"/>
      </w:pPr>
      <w:r>
        <w:t xml:space="preserve">using parentheses around sub-expressions to limit precedence confusion,</w:t>
      </w:r>
    </w:p>
    <w:p>
      <w:pPr>
        <w:numPr>
          <w:ilvl w:val="1"/>
          <w:numId w:val="1060"/>
        </w:numPr>
        <w:pStyle w:val="Compact"/>
      </w:pPr>
      <w:r>
        <w:t xml:space="preserve">extracting intermediate results into const variables with a meaningful name, or</w:t>
      </w:r>
    </w:p>
    <w:p>
      <w:pPr>
        <w:numPr>
          <w:ilvl w:val="1"/>
          <w:numId w:val="1060"/>
        </w:numPr>
        <w:pStyle w:val="Compact"/>
      </w:pPr>
      <w:r>
        <w:t xml:space="preserve">extracting a subexpression into a function with a meaningful name.</w:t>
      </w:r>
    </w:p>
    <w:p>
      <w:pPr>
        <w:numPr>
          <w:ilvl w:val="0"/>
          <w:numId w:val="1059"/>
        </w:numPr>
      </w:pPr>
      <w:r>
        <w:t xml:space="preserve">Prohibit assignments embedded within other statements and expressions.</w:t>
      </w:r>
    </w:p>
    <w:p>
      <w:pPr>
        <w:numPr>
          <w:ilvl w:val="0"/>
          <w:numId w:val="1059"/>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9"/>
        </w:numPr>
      </w:pPr>
      <w:r>
        <w:t xml:space="preserve">Avoid the use of unary plus, since it is almost always a no-op for built-in types.</w:t>
      </w:r>
    </w:p>
    <w:p>
      <w:pPr>
        <w:numPr>
          <w:ilvl w:val="0"/>
          <w:numId w:val="1059"/>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9"/>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9"/>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9"/>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9"/>
        </w:numPr>
      </w:pPr>
      <w:r>
        <w:t xml:space="preserve">Prohibit conflicting side-effects in sub-expressions.</w:t>
      </w:r>
    </w:p>
    <w:p>
      <w:pPr>
        <w:numPr>
          <w:ilvl w:val="0"/>
          <w:numId w:val="1059"/>
        </w:numPr>
      </w:pPr>
      <w:r>
        <w:t xml:space="preserve">Avoid defining semantics of overloaded operators to deviate from the semantics of these operators for the built-in types.</w:t>
      </w:r>
    </w:p>
    <w:p>
      <w:pPr>
        <w:numPr>
          <w:ilvl w:val="0"/>
          <w:numId w:val="1059"/>
        </w:numPr>
      </w:pPr>
      <w:r>
        <w:t xml:space="preserve">Prefer defaulted and synthesized comparison operators over individual overloads to ensure that all of the related comparison operators behave consistently.</w:t>
      </w:r>
    </w:p>
    <w:p>
      <w:pPr>
        <w:numPr>
          <w:ilvl w:val="0"/>
          <w:numId w:val="1059"/>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1"/>
        </w:numPr>
        <w:pStyle w:val="Compact"/>
      </w:pPr>
      <w:r>
        <w:t xml:space="preserve">Apply the avoidance mechanisms of ISO/IEC 24772-1 clause 6.26.5.</w:t>
      </w:r>
    </w:p>
    <w:p>
      <w:pPr>
        <w:numPr>
          <w:ilvl w:val="0"/>
          <w:numId w:val="1061"/>
        </w:numPr>
        <w:pStyle w:val="Compact"/>
      </w:pPr>
      <w:r>
        <w:t xml:space="preserve">Define functions that are intentionally deactivated as</w:t>
      </w:r>
      <w:r>
        <w:t xml:space="preserve"> </w:t>
      </w:r>
      <w:r>
        <w:rPr>
          <w:rStyle w:val="NormalTok"/>
        </w:rPr>
        <w:t xml:space="preserve">= </w:t>
      </w:r>
      <w:r>
        <w:rPr>
          <w:rStyle w:val="KeywordTok"/>
        </w:rPr>
        <w:t xml:space="preserve">delete</w:t>
      </w:r>
    </w:p>
    <w:p>
      <w:pPr>
        <w:numPr>
          <w:ilvl w:val="0"/>
          <w:numId w:val="1061"/>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w:t>
      </w:r>
    </w:p>
    <w:p>
      <w:pPr>
        <w:numPr>
          <w:ilvl w:val="0"/>
          <w:numId w:val="1061"/>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2"/>
        </w:numPr>
      </w:pPr>
      <w:r>
        <w:t xml:space="preserve">Apply the avoidance mechanisms of ISO/IEC 24772-1 clause 6.27.5</w:t>
      </w:r>
    </w:p>
    <w:p>
      <w:pPr>
        <w:numPr>
          <w:ilvl w:val="0"/>
          <w:numId w:val="1062"/>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2"/>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2"/>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6.28.5.</w:t>
      </w:r>
    </w:p>
    <w:p>
      <w:pPr>
        <w:numPr>
          <w:ilvl w:val="0"/>
          <w:numId w:val="1063"/>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3"/>
        </w:numPr>
      </w:pPr>
      <w:r>
        <w:t xml:space="preserve">Declare loop variables in the initializer of the loop statement</w:t>
      </w:r>
    </w:p>
    <w:p>
      <w:pPr>
        <w:numPr>
          <w:ilvl w:val="0"/>
          <w:numId w:val="1063"/>
        </w:numPr>
      </w:pPr>
      <w:r>
        <w:t xml:space="preserve">Prefer the standard library algorithms over hand-crafted loops.</w:t>
      </w:r>
    </w:p>
    <w:p>
      <w:pPr>
        <w:numPr>
          <w:ilvl w:val="0"/>
          <w:numId w:val="1063"/>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4"/>
        </w:numPr>
      </w:pPr>
      <w:r>
        <w:t xml:space="preserve">Use the avoidance mechanisms of ISO/IEC 24772-1 clause 6.29.5.</w:t>
      </w:r>
    </w:p>
    <w:p>
      <w:pPr>
        <w:numPr>
          <w:ilvl w:val="0"/>
          <w:numId w:val="1064"/>
        </w:numPr>
      </w:pPr>
      <w:r>
        <w:t xml:space="preserve">Do not modify a loop control variable within a loop.</w:t>
      </w:r>
    </w:p>
    <w:p>
      <w:pPr>
        <w:numPr>
          <w:ilvl w:val="0"/>
          <w:numId w:val="1064"/>
        </w:numPr>
      </w:pPr>
      <w:r>
        <w:t xml:space="preserve">Use a range-for loop in preference to general loops.</w:t>
      </w:r>
    </w:p>
    <w:p>
      <w:pPr>
        <w:numPr>
          <w:ilvl w:val="0"/>
          <w:numId w:val="1064"/>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5"/>
        </w:numPr>
      </w:pPr>
      <w:r>
        <w:t xml:space="preserve">Range-based for loops</w:t>
      </w:r>
    </w:p>
    <w:p>
      <w:pPr>
        <w:numPr>
          <w:ilvl w:val="0"/>
          <w:numId w:val="1065"/>
        </w:numPr>
      </w:pPr>
      <w:r>
        <w:rPr>
          <w:rStyle w:val="NormalTok"/>
        </w:rPr>
        <w:t xml:space="preserve">std</w:t>
      </w:r>
      <w:r>
        <w:t xml:space="preserve"> </w:t>
      </w:r>
      <w:r>
        <w:t xml:space="preserve">algorithms</w:t>
      </w:r>
    </w:p>
    <w:p>
      <w:pPr>
        <w:numPr>
          <w:ilvl w:val="0"/>
          <w:numId w:val="1065"/>
        </w:numPr>
      </w:pPr>
      <w:r>
        <w:t xml:space="preserve">Iterator style loops terminated by</w:t>
      </w:r>
      <w:r>
        <w:t xml:space="preserve"> </w:t>
      </w:r>
      <w:r>
        <w:rPr>
          <w:rStyle w:val="NormalTok"/>
        </w:rPr>
        <w:t xml:space="preserve">!=</w:t>
      </w:r>
    </w:p>
    <w:p>
      <w:pPr>
        <w:numPr>
          <w:ilvl w:val="0"/>
          <w:numId w:val="1065"/>
        </w:numPr>
      </w:pPr>
      <w:r>
        <w:t xml:space="preserve">Container classes</w:t>
      </w:r>
    </w:p>
    <w:p>
      <w:pPr>
        <w:numPr>
          <w:ilvl w:val="0"/>
          <w:numId w:val="1065"/>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6.30.5.</w:t>
      </w:r>
    </w:p>
    <w:p>
      <w:pPr>
        <w:numPr>
          <w:ilvl w:val="0"/>
          <w:numId w:val="1066"/>
        </w:numPr>
      </w:pPr>
      <w:r>
        <w:t xml:space="preserve">Use careful programming, testing of border conditions, and static</w:t>
      </w:r>
      <w:r>
        <w:t xml:space="preserve"> </w:t>
      </w:r>
      <w:r>
        <w:t xml:space="preserve">analysis tools to detect off-by-one errors in C++.</w:t>
      </w:r>
    </w:p>
    <w:p>
      <w:pPr>
        <w:numPr>
          <w:ilvl w:val="0"/>
          <w:numId w:val="1066"/>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7"/>
        </w:numPr>
      </w:pPr>
      <w:r>
        <w:t xml:space="preserve">Use the avoidance mechanisms of ISO/IEC 24772-1 clause 6.31.5.</w:t>
      </w:r>
    </w:p>
    <w:p>
      <w:pPr>
        <w:numPr>
          <w:ilvl w:val="0"/>
          <w:numId w:val="1067"/>
        </w:numPr>
      </w:pPr>
      <w:r>
        <w:t xml:space="preserve">Write clear and concise structured code to make code as</w:t>
      </w:r>
      <w:r>
        <w:t xml:space="preserve"> </w:t>
      </w:r>
      <w:r>
        <w:t xml:space="preserve">understandable as possible.</w:t>
      </w:r>
    </w:p>
    <w:p>
      <w:pPr>
        <w:numPr>
          <w:ilvl w:val="0"/>
          <w:numId w:val="1067"/>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7"/>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8"/>
        </w:numPr>
        <w:pStyle w:val="Compact"/>
      </w:pPr>
      <w:r>
        <w:t xml:space="preserve">without a qualification a member function can be called on rvalues and non-const lvalues, and</w:t>
      </w:r>
    </w:p>
    <w:p>
      <w:pPr>
        <w:numPr>
          <w:ilvl w:val="0"/>
          <w:numId w:val="1068"/>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9"/>
        </w:numPr>
      </w:pPr>
      <w:r>
        <w:t xml:space="preserve">Apply the avoidance mechanisms of ISO/IEC 24772-1 6.32.5.</w:t>
      </w:r>
    </w:p>
    <w:p>
      <w:pPr>
        <w:numPr>
          <w:ilvl w:val="0"/>
          <w:numId w:val="1069"/>
        </w:numPr>
      </w:pPr>
      <w:r>
        <w:t xml:space="preserve">Prefer pass-by-value and pass-by-const-reference over other means of</w:t>
      </w:r>
      <w:r>
        <w:t xml:space="preserve"> </w:t>
      </w:r>
      <w:r>
        <w:t xml:space="preserve">parameter declaration.</w:t>
      </w:r>
    </w:p>
    <w:p>
      <w:pPr>
        <w:numPr>
          <w:ilvl w:val="0"/>
          <w:numId w:val="1069"/>
        </w:numPr>
      </w:pPr>
      <w:r>
        <w:t xml:space="preserve">Prefer reference parameters over corresponding pointer parameters.</w:t>
      </w:r>
    </w:p>
    <w:p>
      <w:pPr>
        <w:numPr>
          <w:ilvl w:val="0"/>
          <w:numId w:val="1069"/>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9"/>
        </w:numPr>
      </w:pPr>
      <w:r>
        <w:t xml:space="preserve">Unless the moved-from state is well-defined, always reassign a variable passed by rvalue-reference before subsequent use after the call.</w:t>
      </w:r>
    </w:p>
    <w:p>
      <w:pPr>
        <w:numPr>
          <w:ilvl w:val="0"/>
          <w:numId w:val="1069"/>
        </w:numPr>
      </w:pPr>
      <w:r>
        <w:t xml:space="preserve">Use forwarding reference parameters only,</w:t>
      </w:r>
      <w:r>
        <w:t xml:space="preserve"> </w:t>
      </w:r>
      <w:r>
        <w:t xml:space="preserve">if perfect forwarding is needed in the body of a function template or generic lambda.</w:t>
      </w:r>
    </w:p>
    <w:p>
      <w:pPr>
        <w:numPr>
          <w:ilvl w:val="0"/>
          <w:numId w:val="1069"/>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9"/>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9"/>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0"/>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0"/>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1"/>
        </w:numPr>
        <w:pStyle w:val="Compact"/>
      </w:pPr>
      <w:r>
        <w:t xml:space="preserve">Returning the</w:t>
      </w:r>
      <w:r>
        <w:t xml:space="preserve"> </w:t>
      </w:r>
      <w:r>
        <w:rPr>
          <w:i/>
        </w:rPr>
        <w:t xml:space="preserve">pointer-like</w:t>
      </w:r>
      <w:r>
        <w:t xml:space="preserve"> </w:t>
      </w:r>
      <w:r>
        <w:t xml:space="preserve">value from a function;</w:t>
      </w:r>
    </w:p>
    <w:p>
      <w:pPr>
        <w:numPr>
          <w:ilvl w:val="1"/>
          <w:numId w:val="1071"/>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0"/>
        </w:numPr>
      </w:pPr>
      <w:r>
        <w:t xml:space="preserve">Avoid capturing by reference in a lambda that will be used non-locally, that is</w:t>
      </w:r>
    </w:p>
    <w:p>
      <w:pPr>
        <w:numPr>
          <w:ilvl w:val="1"/>
          <w:numId w:val="1072"/>
        </w:numPr>
        <w:pStyle w:val="Compact"/>
      </w:pPr>
      <w:r>
        <w:t xml:space="preserve">returned,</w:t>
      </w:r>
    </w:p>
    <w:p>
      <w:pPr>
        <w:numPr>
          <w:ilvl w:val="1"/>
          <w:numId w:val="1072"/>
        </w:numPr>
        <w:pStyle w:val="Compact"/>
      </w:pPr>
      <w:r>
        <w:t xml:space="preserve">passed to another thread or coroutine, or</w:t>
      </w:r>
    </w:p>
    <w:p>
      <w:pPr>
        <w:numPr>
          <w:ilvl w:val="1"/>
          <w:numId w:val="1072"/>
        </w:numPr>
        <w:pStyle w:val="Compact"/>
      </w:pPr>
      <w:r>
        <w:t xml:space="preserve">stored in a variable with a longer lifetime than the captured variables.</w:t>
      </w:r>
    </w:p>
    <w:p>
      <w:pPr>
        <w:numPr>
          <w:ilvl w:val="0"/>
          <w:numId w:val="1070"/>
        </w:numPr>
      </w:pPr>
      <w:r>
        <w:t xml:space="preserve">Avoid relying on lifetime extension of temporaries by binding them to named references;</w:t>
      </w:r>
      <w:r>
        <w:t xml:space="preserve"> </w:t>
      </w:r>
      <w:r>
        <w:t xml:space="preserve">use (local) variables instead.</w:t>
      </w:r>
    </w:p>
    <w:p>
      <w:pPr>
        <w:numPr>
          <w:ilvl w:val="0"/>
          <w:numId w:val="1070"/>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70"/>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0"/>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70"/>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3"/>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4"/>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5"/>
        </w:numPr>
      </w:pPr>
      <w:r>
        <w:t xml:space="preserve">Use the avoidance mechanisms of ISO/IEC TR 24772-1:2019 clause 6.34.5.</w:t>
      </w:r>
    </w:p>
    <w:p>
      <w:pPr>
        <w:numPr>
          <w:ilvl w:val="0"/>
          <w:numId w:val="1075"/>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5"/>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6"/>
        </w:numPr>
      </w:pPr>
      <w:r>
        <w:t xml:space="preserve">Apply the avoidance mechanisms of ISO/IEC 24772-1 6.36.5;</w:t>
      </w:r>
    </w:p>
    <w:p>
      <w:pPr>
        <w:numPr>
          <w:ilvl w:val="0"/>
          <w:numId w:val="1076"/>
        </w:numPr>
      </w:pPr>
      <w:r>
        <w:t xml:space="preserve">Develop an error management strategy, including:</w:t>
      </w:r>
    </w:p>
    <w:p>
      <w:pPr>
        <w:numPr>
          <w:ilvl w:val="1"/>
          <w:numId w:val="1077"/>
        </w:numPr>
        <w:pStyle w:val="Compact"/>
      </w:pPr>
      <w:r>
        <w:t xml:space="preserve">error-detection,</w:t>
      </w:r>
    </w:p>
    <w:p>
      <w:pPr>
        <w:numPr>
          <w:ilvl w:val="1"/>
          <w:numId w:val="1077"/>
        </w:numPr>
        <w:pStyle w:val="Compact"/>
      </w:pPr>
      <w:r>
        <w:t xml:space="preserve">error-reporting, and</w:t>
      </w:r>
    </w:p>
    <w:p>
      <w:pPr>
        <w:numPr>
          <w:ilvl w:val="1"/>
          <w:numId w:val="1077"/>
        </w:numPr>
        <w:pStyle w:val="Compact"/>
      </w:pPr>
      <w:r>
        <w:t xml:space="preserve">error-handling,</w:t>
      </w:r>
      <w:r>
        <w:t xml:space="preserve"> </w:t>
      </w:r>
      <w:r>
        <w:t xml:space="preserve">that, based on context, selects the most appropriate mechanism(s) from the different ones provided by C++;</w:t>
      </w:r>
    </w:p>
    <w:p>
      <w:pPr>
        <w:numPr>
          <w:ilvl w:val="0"/>
          <w:numId w:val="1076"/>
        </w:numPr>
      </w:pPr>
      <w:r>
        <w:t xml:space="preserve">Prohibit error handling based on unsynchronized global state;</w:t>
      </w:r>
    </w:p>
    <w:p>
      <w:pPr>
        <w:numPr>
          <w:ilvl w:val="0"/>
          <w:numId w:val="1076"/>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6"/>
        </w:numPr>
      </w:pPr>
      <w:r>
        <w:t xml:space="preserve">Use static analysis tools to detect and report missing or ineffective error detection or handling;</w:t>
      </w:r>
    </w:p>
    <w:p>
      <w:pPr>
        <w:numPr>
          <w:ilvl w:val="0"/>
          <w:numId w:val="1076"/>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6"/>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6"/>
        </w:numPr>
      </w:pPr>
      <w:r>
        <w:t xml:space="preserve">If static objects with dynamic initialization cannot be avoided, prefer function-scope static objects to namespace-scope objects.</w:t>
      </w:r>
    </w:p>
    <w:p>
      <w:pPr>
        <w:numPr>
          <w:ilvl w:val="0"/>
          <w:numId w:val="1076"/>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6"/>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8"/>
        </w:numPr>
      </w:pPr>
      <w:r>
        <w:t xml:space="preserve">Prohibit casts that reinterpret data values.</w:t>
      </w:r>
    </w:p>
    <w:p>
      <w:pPr>
        <w:numPr>
          <w:ilvl w:val="0"/>
          <w:numId w:val="1078"/>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8"/>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8"/>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8"/>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9"/>
        </w:numPr>
      </w:pPr>
      <w:r>
        <w:t xml:space="preserve">Follow the avoidance mechanisms of ISO/IEC 24772-1 clause 6.38.5.</w:t>
      </w:r>
    </w:p>
    <w:p>
      <w:pPr>
        <w:numPr>
          <w:ilvl w:val="0"/>
          <w:numId w:val="1079"/>
        </w:numPr>
      </w:pPr>
      <w:r>
        <w:t xml:space="preserve">Use and create value types.</w:t>
      </w:r>
    </w:p>
    <w:p>
      <w:pPr>
        <w:numPr>
          <w:ilvl w:val="0"/>
          <w:numId w:val="1079"/>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80"/>
        </w:numPr>
        <w:pStyle w:val="Compact"/>
      </w:pPr>
      <w:r>
        <w:t xml:space="preserve">when reference semantics is required, e.g., for side effects, or</w:t>
      </w:r>
    </w:p>
    <w:p>
      <w:pPr>
        <w:numPr>
          <w:ilvl w:val="1"/>
          <w:numId w:val="1080"/>
        </w:numPr>
        <w:pStyle w:val="Compact"/>
      </w:pPr>
      <w:r>
        <w:t xml:space="preserve">when copying is prohibitively expensive.</w:t>
      </w:r>
    </w:p>
    <w:p>
      <w:pPr>
        <w:numPr>
          <w:ilvl w:val="0"/>
          <w:numId w:val="1079"/>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9"/>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9"/>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1"/>
        </w:numPr>
      </w:pPr>
      <w:r>
        <w:t xml:space="preserve">Apply the avoidance mechanism of ISO/IEC 24772-1:2024 6.39.5</w:t>
      </w:r>
    </w:p>
    <w:p>
      <w:pPr>
        <w:numPr>
          <w:ilvl w:val="0"/>
          <w:numId w:val="1081"/>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1"/>
        </w:numPr>
      </w:pPr>
      <w:r>
        <w:t xml:space="preserve">Avoid mixing C-based functions and C++ memory management functions.</w:t>
      </w:r>
    </w:p>
    <w:p>
      <w:pPr>
        <w:numPr>
          <w:ilvl w:val="0"/>
          <w:numId w:val="1081"/>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1"/>
        </w:numPr>
      </w:pPr>
      <w:r>
        <w:t xml:space="preserve">Prefer containers standard library containers over other forms of memory management.</w:t>
      </w:r>
    </w:p>
    <w:p>
      <w:pPr>
        <w:numPr>
          <w:ilvl w:val="0"/>
          <w:numId w:val="1081"/>
        </w:numPr>
      </w:pPr>
      <w:r>
        <w:t xml:space="preserve">Use smart pointers and their factory functions to allocate and manage heap memory.</w:t>
      </w:r>
    </w:p>
    <w:p>
      <w:pPr>
        <w:numPr>
          <w:ilvl w:val="0"/>
          <w:numId w:val="1081"/>
        </w:numPr>
      </w:pPr>
      <w:r>
        <w:t xml:space="preserve">For heap fragmentation issues, use special memory resource objects with appropriate allocation strategies.</w:t>
      </w:r>
    </w:p>
    <w:p>
      <w:pPr>
        <w:numPr>
          <w:ilvl w:val="0"/>
          <w:numId w:val="1081"/>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1"/>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1"/>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2"/>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2"/>
        </w:numPr>
        <w:pStyle w:val="Compact"/>
      </w:pPr>
      <w:r>
        <w:t xml:space="preserve">They have no runtime overhead;</w:t>
      </w:r>
    </w:p>
    <w:p>
      <w:pPr>
        <w:numPr>
          <w:ilvl w:val="0"/>
          <w:numId w:val="1082"/>
        </w:numPr>
        <w:pStyle w:val="Compact"/>
      </w:pPr>
      <w:r>
        <w:t xml:space="preserve">They do not have any implicit run-time memory usage; and</w:t>
      </w:r>
    </w:p>
    <w:p>
      <w:pPr>
        <w:numPr>
          <w:ilvl w:val="0"/>
          <w:numId w:val="1082"/>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3"/>
        </w:numPr>
      </w:pPr>
      <w:r>
        <w:t xml:space="preserve">Follow the avoidance mechanisms of ISO/IEC 24772-1 subclause 6.40.5. and the guidance provided in the different related sections of this document.</w:t>
      </w:r>
    </w:p>
    <w:p>
      <w:pPr>
        <w:numPr>
          <w:ilvl w:val="0"/>
          <w:numId w:val="1083"/>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3"/>
        </w:numPr>
      </w:pPr>
      <w:r>
        <w:t xml:space="preserve">Consider using</w:t>
      </w:r>
      <w:r>
        <w:t xml:space="preserve"> </w:t>
      </w:r>
      <w:r>
        <w:rPr>
          <w:i/>
        </w:rPr>
        <w:t xml:space="preserve">concepts</w:t>
      </w:r>
      <w:r>
        <w:t xml:space="preserve"> </w:t>
      </w:r>
      <w:r>
        <w:t xml:space="preserve">to constrain template parameters.</w:t>
      </w:r>
    </w:p>
    <w:p>
      <w:pPr>
        <w:numPr>
          <w:ilvl w:val="0"/>
          <w:numId w:val="1083"/>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3"/>
        </w:numPr>
      </w:pPr>
      <w:r>
        <w:t xml:space="preserve">Be aware that a constructor template or assignment operator function</w:t>
      </w:r>
      <w:r>
        <w:t xml:space="preserve"> </w:t>
      </w:r>
      <w:r>
        <w:t xml:space="preserve">template will not replace compiler-provided special member functions.</w:t>
      </w:r>
    </w:p>
    <w:p>
      <w:pPr>
        <w:numPr>
          <w:ilvl w:val="0"/>
          <w:numId w:val="1083"/>
        </w:numPr>
      </w:pPr>
      <w:r>
        <w:t xml:space="preserve">For generic operator functions, consider providing them as hidden</w:t>
      </w:r>
      <w:r>
        <w:t xml:space="preserve"> </w:t>
      </w:r>
      <w:r>
        <w:t xml:space="preserve">friends through mix-in class templates.</w:t>
      </w:r>
    </w:p>
    <w:p>
      <w:pPr>
        <w:numPr>
          <w:ilvl w:val="0"/>
          <w:numId w:val="1083"/>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3"/>
        </w:numPr>
      </w:pPr>
      <w:r>
        <w:t xml:space="preserve">For template specialization, ensure that specializations are declared as follows:</w:t>
      </w:r>
    </w:p>
    <w:p>
      <w:pPr>
        <w:numPr>
          <w:ilvl w:val="1"/>
          <w:numId w:val="1084"/>
        </w:numPr>
      </w:pPr>
      <w:r>
        <w:t xml:space="preserve">In the same file as the primary template; or</w:t>
      </w:r>
    </w:p>
    <w:p>
      <w:pPr>
        <w:numPr>
          <w:ilvl w:val="1"/>
          <w:numId w:val="1084"/>
        </w:numPr>
      </w:pPr>
      <w:r>
        <w:t xml:space="preserve">In the same file as the user-defined type for which the</w:t>
      </w:r>
      <w:r>
        <w:t xml:space="preserve"> </w:t>
      </w:r>
      <w:r>
        <w:t xml:space="preserve">specialization is declared.</w:t>
      </w:r>
    </w:p>
    <w:p>
      <w:pPr>
        <w:numPr>
          <w:ilvl w:val="0"/>
          <w:numId w:val="1083"/>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5"/>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5"/>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5"/>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6"/>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6"/>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6"/>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6"/>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clause 41.5.</w:t>
      </w:r>
    </w:p>
    <w:p>
      <w:pPr>
        <w:numPr>
          <w:ilvl w:val="0"/>
          <w:numId w:val="1087"/>
        </w:numPr>
        <w:pStyle w:val="Compact"/>
      </w:pPr>
      <w:r>
        <w:t xml:space="preserve">Avoid multiple inheritance.</w:t>
      </w:r>
    </w:p>
    <w:p>
      <w:pPr>
        <w:numPr>
          <w:ilvl w:val="0"/>
          <w:numId w:val="1087"/>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7"/>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7"/>
        </w:numPr>
        <w:pStyle w:val="Compact"/>
      </w:pPr>
      <w:r>
        <w:t xml:space="preserve">Prefer composition over inheritance.</w:t>
      </w:r>
    </w:p>
    <w:p>
      <w:pPr>
        <w:numPr>
          <w:ilvl w:val="0"/>
          <w:numId w:val="1087"/>
        </w:numPr>
        <w:pStyle w:val="Compact"/>
      </w:pPr>
      <w:r>
        <w:t xml:space="preserve">Keep inheritance hierarchies shallow.</w:t>
      </w:r>
    </w:p>
    <w:p>
      <w:pPr>
        <w:numPr>
          <w:ilvl w:val="0"/>
          <w:numId w:val="1087"/>
        </w:numPr>
        <w:pStyle w:val="Compact"/>
      </w:pPr>
      <w:r>
        <w:t xml:space="preserve">Avoid the use of virtual member functions unless unbounded run-time polymorphism can be justified.</w:t>
      </w:r>
    </w:p>
    <w:p>
      <w:pPr>
        <w:numPr>
          <w:ilvl w:val="0"/>
          <w:numId w:val="1087"/>
        </w:numPr>
        <w:pStyle w:val="Compact"/>
      </w:pPr>
      <w:r>
        <w:t xml:space="preserve">If a class has any virtual functions, ensure it has a virtual destructor.</w:t>
      </w:r>
    </w:p>
    <w:p>
      <w:pPr>
        <w:numPr>
          <w:ilvl w:val="0"/>
          <w:numId w:val="1087"/>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7"/>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7"/>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7"/>
        </w:numPr>
        <w:pStyle w:val="Compact"/>
      </w:pPr>
      <w:r>
        <w:t xml:space="preserve">Do not assume that a private virtual function cannot be overridden.</w:t>
      </w:r>
    </w:p>
    <w:p>
      <w:pPr>
        <w:numPr>
          <w:ilvl w:val="0"/>
          <w:numId w:val="1087"/>
        </w:numPr>
        <w:pStyle w:val="Compact"/>
      </w:pPr>
      <w:r>
        <w:t xml:space="preserve">Consider using fully-qualified names to address members of a base class.</w:t>
      </w:r>
    </w:p>
    <w:p>
      <w:pPr>
        <w:numPr>
          <w:ilvl w:val="0"/>
          <w:numId w:val="1087"/>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7"/>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7"/>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7"/>
        </w:numPr>
        <w:pStyle w:val="Compact"/>
      </w:pPr>
      <w:r>
        <w:t xml:space="preserve">Prohibit mixing virtual and non-virtual inheritance of the same base class in a hierarchy.</w:t>
      </w:r>
    </w:p>
    <w:p>
      <w:pPr>
        <w:numPr>
          <w:ilvl w:val="0"/>
          <w:numId w:val="1087"/>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7"/>
        </w:numPr>
        <w:pStyle w:val="Compact"/>
      </w:pPr>
      <w:r>
        <w:t xml:space="preserve">Use static analysis tools, including compilers from different sources, to:</w:t>
      </w:r>
    </w:p>
    <w:p>
      <w:pPr>
        <w:numPr>
          <w:ilvl w:val="1"/>
          <w:numId w:val="1088"/>
        </w:numPr>
        <w:pStyle w:val="Compact"/>
      </w:pPr>
      <w:r>
        <w:t xml:space="preserve">detect hiding of member names in virtual base classes, and</w:t>
      </w:r>
    </w:p>
    <w:p>
      <w:pPr>
        <w:numPr>
          <w:ilvl w:val="1"/>
          <w:numId w:val="1088"/>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9"/>
        </w:numPr>
      </w:pPr>
      <w:r>
        <w:t xml:space="preserve">Apply the avoidance mechanisms of ISO/IEC 24772-1 6.42.5</w:t>
      </w:r>
    </w:p>
    <w:p>
      <w:pPr>
        <w:numPr>
          <w:ilvl w:val="0"/>
          <w:numId w:val="1089"/>
        </w:numPr>
      </w:pPr>
      <w:r>
        <w:t xml:space="preserve">Use static analysis tools that identify violations of preconditions and postconditions.</w:t>
      </w:r>
    </w:p>
    <w:p>
      <w:pPr>
        <w:numPr>
          <w:ilvl w:val="0"/>
          <w:numId w:val="1089"/>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90"/>
        </w:numPr>
      </w:pPr>
      <w:r>
        <w:t xml:space="preserve">At a call site, consider whether virtual dispatch is desired: if</w:t>
      </w:r>
      <w:r>
        <w:t xml:space="preserve"> </w:t>
      </w:r>
      <w:r>
        <w:t xml:space="preserve">not, construct the call using the qualified name.</w:t>
      </w:r>
    </w:p>
    <w:p>
      <w:pPr>
        <w:numPr>
          <w:ilvl w:val="0"/>
          <w:numId w:val="1090"/>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1"/>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1"/>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1"/>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1"/>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2"/>
        </w:numPr>
      </w:pPr>
      <w:r>
        <w:t xml:space="preserve">are the only ones that can be performed implicitly</w:t>
      </w:r>
    </w:p>
    <w:p>
      <w:pPr>
        <w:numPr>
          <w:ilvl w:val="0"/>
          <w:numId w:val="1092"/>
        </w:numPr>
      </w:pPr>
      <w:r>
        <w:t xml:space="preserve">can cause object slicing</w:t>
      </w:r>
      <w:r>
        <w:t xml:space="preserve"> </w:t>
      </w:r>
      <w:r>
        <w:t xml:space="preserve">when a copy of a base class object is created from a derived class object.</w:t>
      </w:r>
    </w:p>
    <w:p>
      <w:pPr>
        <w:numPr>
          <w:ilvl w:val="0"/>
          <w:numId w:val="1092"/>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3"/>
        </w:numPr>
      </w:pPr>
      <w:r>
        <w:t xml:space="preserve">are explicit;</w:t>
      </w:r>
    </w:p>
    <w:p>
      <w:pPr>
        <w:numPr>
          <w:ilvl w:val="0"/>
          <w:numId w:val="1093"/>
        </w:numPr>
      </w:pPr>
      <w:r>
        <w:t xml:space="preserve">can be done safely with</w:t>
      </w:r>
      <w:r>
        <w:t xml:space="preserve"> </w:t>
      </w:r>
      <w:r>
        <w:rPr>
          <w:rStyle w:val="KeywordTok"/>
        </w:rPr>
        <w:t xml:space="preserve">dynamic_cast</w:t>
      </w:r>
    </w:p>
    <w:p>
      <w:pPr>
        <w:numPr>
          <w:ilvl w:val="0"/>
          <w:numId w:val="1093"/>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4"/>
        </w:numPr>
      </w:pPr>
      <w:r>
        <w:t xml:space="preserve">are explicit</w:t>
      </w:r>
    </w:p>
    <w:p>
      <w:pPr>
        <w:numPr>
          <w:ilvl w:val="0"/>
          <w:numId w:val="1094"/>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4"/>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5"/>
        </w:numPr>
      </w:pPr>
      <w:r>
        <w:t xml:space="preserve">Follow the avoidance mechanisms of ISO/IEC 24772-1 clause 6.44.5.</w:t>
      </w:r>
    </w:p>
    <w:p>
      <w:pPr>
        <w:numPr>
          <w:ilvl w:val="0"/>
          <w:numId w:val="1095"/>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5"/>
        </w:numPr>
      </w:pPr>
      <w:r>
        <w:t xml:space="preserve">Avoid designs relying on downcasts or crosscasts;</w:t>
      </w:r>
      <w:r>
        <w:t xml:space="preserve"> </w:t>
      </w:r>
      <w:r>
        <w:t xml:space="preserve">rely on proper virtual member functions in the base classes instead.</w:t>
      </w:r>
    </w:p>
    <w:p>
      <w:pPr>
        <w:numPr>
          <w:ilvl w:val="0"/>
          <w:numId w:val="1095"/>
        </w:numPr>
      </w:pPr>
      <w:r>
        <w:t xml:space="preserve">Avoid explicit upcast, rely on implicit conversion.</w:t>
      </w:r>
    </w:p>
    <w:p>
      <w:pPr>
        <w:numPr>
          <w:ilvl w:val="0"/>
          <w:numId w:val="1095"/>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5"/>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5"/>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5"/>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6"/>
        </w:numPr>
        <w:pStyle w:val="Compact"/>
      </w:pPr>
      <w:r>
        <w:t xml:space="preserve">Prohibit identifiers containing a double underscore</w:t>
      </w:r>
      <w:r>
        <w:t xml:space="preserve"> </w:t>
      </w:r>
      <w:r>
        <w:rPr>
          <w:rStyle w:val="VerbatimChar"/>
        </w:rPr>
        <w:t xml:space="preserve">__</w:t>
      </w:r>
      <w:r>
        <w:t xml:space="preserve">.</w:t>
      </w:r>
    </w:p>
    <w:p>
      <w:pPr>
        <w:numPr>
          <w:ilvl w:val="0"/>
          <w:numId w:val="1096"/>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6"/>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6"/>
        </w:numPr>
        <w:pStyle w:val="Compact"/>
      </w:pPr>
      <w:r>
        <w:t xml:space="preserve">Prohibit the declaration of names in reserved namespaces.</w:t>
      </w:r>
    </w:p>
    <w:p>
      <w:pPr>
        <w:numPr>
          <w:ilvl w:val="0"/>
          <w:numId w:val="1096"/>
        </w:numPr>
        <w:pStyle w:val="Compact"/>
      </w:pPr>
      <w:r>
        <w:t xml:space="preserve">Prohibit the specialization of a restricted template.</w:t>
      </w:r>
    </w:p>
    <w:p>
      <w:pPr>
        <w:numPr>
          <w:ilvl w:val="0"/>
          <w:numId w:val="1096"/>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7"/>
        </w:numPr>
      </w:pPr>
      <w:r>
        <w:t xml:space="preserve">Follow the avoidance mechanisms of ISO/IEC 24772-1 clause 6.47.5.</w:t>
      </w:r>
    </w:p>
    <w:p>
      <w:pPr>
        <w:numPr>
          <w:ilvl w:val="0"/>
          <w:numId w:val="1097"/>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7"/>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samed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8"/>
        </w:numPr>
      </w:pPr>
      <w:r>
        <w:t xml:space="preserve">Apply the avoidance mechanisms of ISO/IEC 24772-1 clause 6.47.5</w:t>
      </w:r>
    </w:p>
    <w:p>
      <w:pPr>
        <w:numPr>
          <w:ilvl w:val="0"/>
          <w:numId w:val="1098"/>
        </w:numPr>
      </w:pPr>
      <w:r>
        <w:t xml:space="preserve">Use standard layout types for interoperable interfaces.</w:t>
      </w:r>
    </w:p>
    <w:p>
      <w:pPr>
        <w:numPr>
          <w:ilvl w:val="0"/>
          <w:numId w:val="1098"/>
        </w:numPr>
      </w:pPr>
      <w:r>
        <w:t xml:space="preserve">Use language linkage facilities that support the languages being used.</w:t>
      </w:r>
    </w:p>
    <w:p>
      <w:pPr>
        <w:numPr>
          <w:ilvl w:val="0"/>
          <w:numId w:val="1098"/>
        </w:numPr>
      </w:pPr>
      <w:r>
        <w:t xml:space="preserve">Use static analysis tools to ensure the correctness of function signatures across multilanguage interfaces.</w:t>
      </w:r>
    </w:p>
    <w:p>
      <w:pPr>
        <w:numPr>
          <w:ilvl w:val="0"/>
          <w:numId w:val="1098"/>
        </w:numPr>
      </w:pPr>
      <w:r>
        <w:t xml:space="preserve">Be aware that the static initialization phase and dynamic</w:t>
      </w:r>
      <w:r>
        <w:t xml:space="preserve"> </w:t>
      </w:r>
      <w:r>
        <w:t xml:space="preserve">initialization are required for every language system and every imported library incorporated</w:t>
      </w:r>
      <w:r>
        <w:t xml:space="preserve"> </w:t>
      </w:r>
      <w:r>
        <w:t xml:space="preserve">in the program before the main program begins execution.</w:t>
      </w:r>
    </w:p>
    <w:p>
      <w:pPr>
        <w:numPr>
          <w:ilvl w:val="0"/>
          <w:numId w:val="1098"/>
        </w:numPr>
      </w:pPr>
      <w:r>
        <w:t xml:space="preserve">Be aware that C++ exceptions are not usually compatible with</w:t>
      </w:r>
      <w:r>
        <w:t xml:space="preserve"> </w:t>
      </w:r>
      <w:r>
        <w:t xml:space="preserve">exceptions in other languages.</w:t>
      </w:r>
    </w:p>
    <w:p>
      <w:pPr>
        <w:numPr>
          <w:ilvl w:val="0"/>
          <w:numId w:val="1098"/>
        </w:numPr>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Apply the avoidance mechanisms of ISO/IEC 24772-1 6.48.5 and ISO/IEC 24772-3 6.48.2.</w:t>
      </w:r>
    </w:p>
    <w:p>
      <w:pPr>
        <w:numPr>
          <w:ilvl w:val="0"/>
          <w:numId w:val="1099"/>
        </w:numPr>
        <w:pStyle w:val="Compact"/>
      </w:pPr>
      <w:r>
        <w:t xml:space="preserve">Apply the avoidance mechanisms of 6.11.2 Pointer type conversions [HFC].</w:t>
      </w:r>
    </w:p>
    <w:p>
      <w:pPr>
        <w:numPr>
          <w:ilvl w:val="0"/>
          <w:numId w:val="1099"/>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100"/>
        </w:numPr>
      </w:pPr>
      <w:r>
        <w:t xml:space="preserve">Follow the avoidance mechanisms of ISO/IEC 24772-1 6.49.5.</w:t>
      </w:r>
    </w:p>
    <w:p>
      <w:pPr>
        <w:numPr>
          <w:ilvl w:val="0"/>
          <w:numId w:val="1100"/>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2" w:name="X165926c342ab175b2667683b6cb7551fc7b18d8"/>
    <w:p>
      <w:pPr>
        <w:pStyle w:val="Heading2"/>
      </w:pPr>
      <w:r>
        <w:t xml:space="preserve">6.50. Unanticipated Exceptions from Library Routines [HJW]</w:t>
      </w:r>
    </w:p>
    <w:bookmarkStart w:id="190" w:name="applicability-to-language"/>
    <w:p>
      <w:pPr>
        <w:pStyle w:val="Heading3"/>
      </w:pPr>
      <w:r>
        <w:t xml:space="preserve">6.50.1 Applicability to language</w:t>
      </w:r>
    </w:p>
    <w:p>
      <w:pPr>
        <w:pStyle w:val="FirstParagraph"/>
      </w:pPr>
      <w:r>
        <w:t xml:space="preserve">The vulnerability as documented in ISO IEC 24772-1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undefined.</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89" w:name="OYB"/>
      <w:r>
        <w:t xml:space="preserve">Ignored Error Status and Unhandled Exceptions</w:t>
      </w:r>
      <w:r>
        <w:t xml:space="preserve"> </w:t>
      </w:r>
      <w:r>
        <w:t xml:space="preserve">[OYB]</w:t>
      </w:r>
      <w:bookmarkEnd w:id="189"/>
      <w:r>
        <w:t xml:space="preserve">.</w:t>
      </w:r>
    </w:p>
    <w:bookmarkEnd w:id="190"/>
    <w:bookmarkStart w:id="191"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 IEC 24772-1 6.50.</w:t>
      </w:r>
    </w:p>
    <w:p>
      <w:pPr>
        <w:numPr>
          <w:ilvl w:val="0"/>
          <w:numId w:val="1101"/>
        </w:numPr>
      </w:pPr>
      <w:r>
        <w:t xml:space="preserve">Apply the avoidance mechanisms of clause 6.36.2 for catching and handling</w:t>
      </w:r>
      <w:r>
        <w:t xml:space="preserve"> </w:t>
      </w:r>
      <w:r>
        <w:t xml:space="preserve">exceptions.</w:t>
      </w:r>
    </w:p>
    <w:p>
      <w:pPr>
        <w:numPr>
          <w:ilvl w:val="0"/>
          <w:numId w:val="1101"/>
        </w:numPr>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1"/>
    <w:bookmarkEnd w:id="192"/>
    <w:bookmarkStart w:id="195" w:name="NMP"/>
    <w:p>
      <w:pPr>
        <w:pStyle w:val="Heading2"/>
      </w:pPr>
      <w:r>
        <w:t xml:space="preserve">6.51 Pre-processor Directives [NMP]</w:t>
      </w:r>
    </w:p>
    <w:bookmarkStart w:id="193"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bookmarkEnd w:id="193"/>
    <w:bookmarkStart w:id="19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2"/>
        </w:numPr>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w:t>
      </w:r>
    </w:p>
    <w:p>
      <w:pPr>
        <w:numPr>
          <w:ilvl w:val="1"/>
          <w:numId w:val="1103"/>
        </w:numPr>
        <w:pStyle w:val="Compact"/>
      </w:pPr>
      <w:r>
        <w:t xml:space="preserve">its parameters and body are parenthesized;</w:t>
      </w:r>
    </w:p>
    <w:p>
      <w:pPr>
        <w:numPr>
          <w:ilvl w:val="1"/>
          <w:numId w:val="1103"/>
        </w:numPr>
        <w:pStyle w:val="Compact"/>
      </w:pPr>
      <w:r>
        <w:t xml:space="preserve">each argument is evaluated at most once;</w:t>
      </w:r>
    </w:p>
    <w:p>
      <w:pPr>
        <w:numPr>
          <w:ilvl w:val="1"/>
          <w:numId w:val="1103"/>
        </w:numPr>
        <w:pStyle w:val="Compact"/>
      </w:pPr>
      <w:r>
        <w:t xml:space="preserve">the replaced code does not have side effects.</w:t>
      </w:r>
    </w:p>
    <w:p>
      <w:pPr>
        <w:numPr>
          <w:ilvl w:val="0"/>
          <w:numId w:val="1102"/>
        </w:numPr>
      </w:pPr>
      <w:r>
        <w:t xml:space="preserve">Ensure that arguments to function-like macros do not resemble a preprocessing directive.</w:t>
      </w:r>
    </w:p>
    <w:p>
      <w:pPr>
        <w:numPr>
          <w:ilvl w:val="0"/>
          <w:numId w:val="1102"/>
        </w:numPr>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2"/>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2"/>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2"/>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2"/>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2"/>
        </w:numPr>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w:t>
      </w:r>
    </w:p>
    <w:bookmarkEnd w:id="194"/>
    <w:bookmarkEnd w:id="195"/>
    <w:bookmarkStart w:id="198" w:name="Xe4ed1f6d7e7049a22cf11fb58e9b78561722b0b"/>
    <w:p>
      <w:pPr>
        <w:pStyle w:val="Heading2"/>
      </w:pPr>
      <w:r>
        <w:t xml:space="preserve">6.52 Suppression of Language-defined Run-time Checking [MXB]</w:t>
      </w:r>
    </w:p>
    <w:bookmarkStart w:id="196"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6"/>
    <w:bookmarkStart w:id="197"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6.52.5.</w:t>
      </w:r>
    </w:p>
    <w:bookmarkEnd w:id="197"/>
    <w:bookmarkEnd w:id="198"/>
    <w:bookmarkStart w:id="201" w:name="X2e6df9becdc68c65fdb33865090fafdb8a33550"/>
    <w:p>
      <w:pPr>
        <w:pStyle w:val="Heading2"/>
      </w:pPr>
      <w:r>
        <w:t xml:space="preserve">6.53 Provision of Inherently Unsafe Operations [SKL]</w:t>
      </w:r>
    </w:p>
    <w:bookmarkStart w:id="199" w:name="applicability-to-language"/>
    <w:p>
      <w:pPr>
        <w:pStyle w:val="Heading3"/>
      </w:pPr>
      <w:r>
        <w:t xml:space="preserve">6.53.1 Applicability to language</w:t>
      </w:r>
    </w:p>
    <w:p>
      <w:pPr>
        <w:pStyle w:val="FirstParagraph"/>
      </w:pPr>
      <w:r>
        <w:t xml:space="preserve">The vulnerability as described in ISO/IEC 24772-1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199"/>
    <w:bookmarkStart w:id="200"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 6.53.5 and ISO/IEC TR 24772-3 6.53.2.</w:t>
      </w:r>
    </w:p>
    <w:p>
      <w:pPr>
        <w:numPr>
          <w:ilvl w:val="0"/>
          <w:numId w:val="1104"/>
        </w:numPr>
      </w:pPr>
      <w:r>
        <w:t xml:space="preserve">Enable checks that warn about unsafe operations.</w:t>
      </w:r>
    </w:p>
    <w:p>
      <w:pPr>
        <w:numPr>
          <w:ilvl w:val="0"/>
          <w:numId w:val="1104"/>
        </w:numPr>
      </w:pPr>
      <w:r>
        <w:t xml:space="preserve">Apply static analysis tools to detect unsafe constructs.</w:t>
      </w:r>
    </w:p>
    <w:bookmarkEnd w:id="200"/>
    <w:bookmarkEnd w:id="201"/>
    <w:bookmarkStart w:id="204" w:name="BRS"/>
    <w:p>
      <w:pPr>
        <w:pStyle w:val="Heading2"/>
      </w:pPr>
      <w:r>
        <w:t xml:space="preserve">6.54 Obscure Language Features [BRS]</w:t>
      </w:r>
    </w:p>
    <w:bookmarkStart w:id="202" w:name="applicability-of-language"/>
    <w:p>
      <w:pPr>
        <w:pStyle w:val="Heading3"/>
      </w:pPr>
      <w:r>
        <w:t xml:space="preserve">6.54.1 Applicability of language</w:t>
      </w:r>
    </w:p>
    <w:p>
      <w:pPr>
        <w:pStyle w:val="FirstParagraph"/>
      </w:pPr>
      <w:r>
        <w:t xml:space="preserve">The vulnerability as described in ISO IEC 24772-1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2"/>
    <w:bookmarkStart w:id="203"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6.54.5.</w:t>
      </w:r>
      <w:r>
        <w:t xml:space="preserve"> </w:t>
      </w:r>
      <w:r>
        <w:t xml:space="preserve">- Use static analysis tools, including multiple compilers from different sources and with appropriate levels of checking to help identify occurrences of obscure language features.</w:t>
      </w:r>
    </w:p>
    <w:bookmarkEnd w:id="203"/>
    <w:bookmarkEnd w:id="204"/>
    <w:bookmarkStart w:id="207" w:name="unspecified-behaviour-bqf"/>
    <w:p>
      <w:pPr>
        <w:pStyle w:val="Heading2"/>
      </w:pPr>
      <w:r>
        <w:t xml:space="preserve">6.55 Unspecified Behaviour [BQF]</w:t>
      </w:r>
    </w:p>
    <w:bookmarkStart w:id="205" w:name="applicability-of-language"/>
    <w:p>
      <w:pPr>
        <w:pStyle w:val="Heading3"/>
      </w:pPr>
      <w:r>
        <w:t xml:space="preserve">6.55.1 Applicability of language</w:t>
      </w:r>
    </w:p>
    <w:p>
      <w:pPr>
        <w:pStyle w:val="FirstParagraph"/>
      </w:pPr>
      <w:r>
        <w:t xml:space="preserve">The vulnerability as described in ISO/IEC 24772-1 6.55 applies to C++, as documented in 4.7.</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bookmarkEnd w:id="205"/>
    <w:bookmarkStart w:id="206"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5"/>
        </w:numPr>
      </w:pPr>
      <w:r>
        <w:t xml:space="preserve">Apply the avoidance mechanisms of ISO/IEC 24772-1 6.55.5.</w:t>
      </w:r>
    </w:p>
    <w:p>
      <w:pPr>
        <w:numPr>
          <w:ilvl w:val="0"/>
          <w:numId w:val="1105"/>
        </w:numPr>
      </w:pPr>
      <w:r>
        <w:t xml:space="preserve">Use static analysis tools and multiple compilers/tools from different sources to help identify occurrences of unspecified behaviour.</w:t>
      </w:r>
    </w:p>
    <w:bookmarkEnd w:id="206"/>
    <w:bookmarkEnd w:id="207"/>
    <w:bookmarkStart w:id="210" w:name="EWF"/>
    <w:p>
      <w:pPr>
        <w:pStyle w:val="Heading2"/>
      </w:pPr>
      <w:r>
        <w:t xml:space="preserve">6.56 Undefined Behaviour [EWF]</w:t>
      </w:r>
    </w:p>
    <w:bookmarkStart w:id="208" w:name="applicability-to-language"/>
    <w:p>
      <w:pPr>
        <w:pStyle w:val="Heading3"/>
      </w:pPr>
      <w:r>
        <w:t xml:space="preserve">6.56.1 Applicability to language</w:t>
      </w:r>
    </w:p>
    <w:p>
      <w:pPr>
        <w:pStyle w:val="FirstParagraph"/>
      </w:pPr>
      <w:r>
        <w:t xml:space="preserve">The vulnerability as described in ISO IEC 24772-1 6.56 applies to C++. See 4.7.</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6"/>
        </w:numPr>
        <w:pStyle w:val="Compact"/>
      </w:pPr>
      <w:r>
        <w:t xml:space="preserve">Compilers optimize based on the assumed lack of undefined behaviour, that can result in the incorrect pruning of code paths</w:t>
      </w:r>
    </w:p>
    <w:p>
      <w:pPr>
        <w:numPr>
          <w:ilvl w:val="0"/>
          <w:numId w:val="1106"/>
        </w:numPr>
        <w:pStyle w:val="Compact"/>
      </w:pPr>
      <w:r>
        <w:t xml:space="preserve">Compiler (or tool chain) changes or updates can result in previously undetected undefined behaviour being manifested with serious consequences.</w:t>
      </w:r>
    </w:p>
    <w:p>
      <w:pPr>
        <w:numPr>
          <w:ilvl w:val="0"/>
          <w:numId w:val="1106"/>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6"/>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8"/>
    <w:bookmarkStart w:id="209"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7"/>
        </w:numPr>
      </w:pPr>
      <w:r>
        <w:t xml:space="preserve">Follow the avoidance mechanisms of ISO/IEC 24772-1 6.56.5.</w:t>
      </w:r>
    </w:p>
    <w:p>
      <w:pPr>
        <w:numPr>
          <w:ilvl w:val="0"/>
          <w:numId w:val="1107"/>
        </w:numPr>
      </w:pPr>
      <w:r>
        <w:t xml:space="preserve">Exploit compile-time evaluation whenever possible to detect undefined behaviour.</w:t>
      </w:r>
    </w:p>
    <w:p>
      <w:pPr>
        <w:numPr>
          <w:ilvl w:val="0"/>
          <w:numId w:val="1107"/>
        </w:numPr>
      </w:pPr>
      <w:r>
        <w:t xml:space="preserve">Use static analysis tools to help identify occurrences and consequences of undefined behaviour.</w:t>
      </w:r>
    </w:p>
    <w:p>
      <w:pPr>
        <w:numPr>
          <w:ilvl w:val="0"/>
          <w:numId w:val="1107"/>
        </w:numPr>
      </w:pPr>
      <w:r>
        <w:t xml:space="preserve">Use runtime tools such as an address sanitizer and related tools.</w:t>
      </w:r>
    </w:p>
    <w:p>
      <w:pPr>
        <w:numPr>
          <w:ilvl w:val="0"/>
          <w:numId w:val="1107"/>
        </w:numPr>
      </w:pPr>
      <w:r>
        <w:t xml:space="preserve">Use multiple compilers/tools and different optimization levels to increase the chance of identifying constructs that have undefined behaviours.</w:t>
      </w:r>
    </w:p>
    <w:p>
      <w:pPr>
        <w:numPr>
          <w:ilvl w:val="0"/>
          <w:numId w:val="1107"/>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7"/>
        </w:numPr>
      </w:pPr>
      <w:r>
        <w:t xml:space="preserve">Explicitly test or use assertions for situations that can cause undefined behaviour.</w:t>
      </w:r>
    </w:p>
    <w:bookmarkEnd w:id="209"/>
    <w:bookmarkEnd w:id="210"/>
    <w:bookmarkStart w:id="213" w:name="implementation-defined-behaviour-fab"/>
    <w:p>
      <w:pPr>
        <w:pStyle w:val="Heading2"/>
      </w:pPr>
      <w:r>
        <w:t xml:space="preserve">6.57 Implementation-defined Behaviour [FAB]</w:t>
      </w:r>
    </w:p>
    <w:bookmarkStart w:id="211" w:name="applicability-to-language"/>
    <w:p>
      <w:pPr>
        <w:pStyle w:val="Heading3"/>
      </w:pPr>
      <w:r>
        <w:t xml:space="preserve">6.57.1 Applicability to language</w:t>
      </w:r>
    </w:p>
    <w:p>
      <w:pPr>
        <w:pStyle w:val="FirstParagraph"/>
      </w:pPr>
      <w:r>
        <w:t xml:space="preserve">The vulnerability as described in ISO IEC 24772-1 6.57 applies to C++.</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8"/>
        </w:numPr>
      </w:pPr>
      <w:r>
        <w:t xml:space="preserve">A given implementation may change or remove an implementation-defined behaviour; and</w:t>
      </w:r>
    </w:p>
    <w:p>
      <w:pPr>
        <w:numPr>
          <w:ilvl w:val="0"/>
          <w:numId w:val="1108"/>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1"/>
    <w:bookmarkStart w:id="212"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9"/>
        </w:numPr>
      </w:pPr>
      <w:r>
        <w:t xml:space="preserve">Apply the avoidance mechanisms of ISO/IEC 24772-1 clause 6.57.5.</w:t>
      </w:r>
    </w:p>
    <w:p>
      <w:pPr>
        <w:numPr>
          <w:ilvl w:val="0"/>
          <w:numId w:val="1109"/>
        </w:numPr>
      </w:pPr>
      <w:r>
        <w:t xml:space="preserve">Eliminate to the extent possible any reliance on implementation-defined behaviour from programs in order to increase portability.</w:t>
      </w:r>
    </w:p>
    <w:p>
      <w:pPr>
        <w:numPr>
          <w:ilvl w:val="0"/>
          <w:numId w:val="1109"/>
        </w:numPr>
      </w:pPr>
      <w:r>
        <w:t xml:space="preserve">Use multiple compilers and tools to increase the likelyhood of identifying</w:t>
      </w:r>
      <w:r>
        <w:t xml:space="preserve"> </w:t>
      </w:r>
      <w:r>
        <w:t xml:space="preserve">constructs that have implementation-defined behaviours.</w:t>
      </w:r>
    </w:p>
    <w:p>
      <w:pPr>
        <w:numPr>
          <w:ilvl w:val="0"/>
          <w:numId w:val="1109"/>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2"/>
    <w:bookmarkEnd w:id="213"/>
    <w:bookmarkStart w:id="216" w:name="deprecated-language-features-mem"/>
    <w:p>
      <w:pPr>
        <w:pStyle w:val="Heading2"/>
      </w:pPr>
      <w:r>
        <w:t xml:space="preserve">6.58 Deprecated Language Features [MEM]</w:t>
      </w:r>
    </w:p>
    <w:bookmarkStart w:id="214" w:name="applicability-to-language"/>
    <w:p>
      <w:pPr>
        <w:pStyle w:val="Heading3"/>
      </w:pPr>
      <w:r>
        <w:t xml:space="preserve">6.58.1 Applicability to language</w:t>
      </w:r>
    </w:p>
    <w:p>
      <w:pPr>
        <w:pStyle w:val="FirstParagraph"/>
      </w:pPr>
      <w:r>
        <w:t xml:space="preserve">The vulnerability as described in ISO IEC 24772-1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4"/>
    <w:bookmarkStart w:id="215"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10"/>
        </w:numPr>
      </w:pPr>
      <w:r>
        <w:t xml:space="preserve">Apply the avoidance mechanisms of ISO/IEC 24772-1 clause 6.58.5.</w:t>
      </w:r>
    </w:p>
    <w:p>
      <w:pPr>
        <w:numPr>
          <w:ilvl w:val="0"/>
          <w:numId w:val="1110"/>
        </w:numPr>
      </w:pPr>
      <w:r>
        <w:t xml:space="preserve">Enable compiler options or use static analysis tools that identify the</w:t>
      </w:r>
      <w:r>
        <w:t xml:space="preserve"> </w:t>
      </w:r>
      <w:r>
        <w:t xml:space="preserve">use of deprecated features.</w:t>
      </w:r>
    </w:p>
    <w:p>
      <w:pPr>
        <w:numPr>
          <w:ilvl w:val="0"/>
          <w:numId w:val="1110"/>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5"/>
    <w:bookmarkEnd w:id="216"/>
    <w:bookmarkStart w:id="219" w:name="CGA"/>
    <w:p>
      <w:pPr>
        <w:pStyle w:val="Heading2"/>
      </w:pPr>
      <w:r>
        <w:t xml:space="preserve">6.59 Concurrency – Activation [CGA]</w:t>
      </w:r>
    </w:p>
    <w:bookmarkStart w:id="217"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7"/>
    <w:bookmarkStart w:id="218"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1"/>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1"/>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1"/>
        </w:numPr>
        <w:pStyle w:val="Compact"/>
      </w:pPr>
      <w:r>
        <w:t xml:space="preserve">When handling the exception thrown due to failure to create a thread, ensure that potentially dependent other threads are informed.</w:t>
      </w:r>
    </w:p>
    <w:p>
      <w:pPr>
        <w:numPr>
          <w:ilvl w:val="0"/>
          <w:numId w:val="1111"/>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1"/>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1"/>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8"/>
    <w:bookmarkEnd w:id="219"/>
    <w:bookmarkStart w:id="221" w:name="concurrency-directed-termination-cgt"/>
    <w:p>
      <w:pPr>
        <w:pStyle w:val="Heading2"/>
      </w:pPr>
      <w:r>
        <w:t xml:space="preserve">6.60 Concurrency – Directed termination [CGT]</w:t>
      </w:r>
    </w:p>
    <w:bookmarkStart w:id="220"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0"/>
    <w:bookmarkEnd w:id="221"/>
    <w:bookmarkStart w:id="222"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 threads created using the C library, follow the avoidance mechanisms of ISO/IEC TR 24772-3.</w:t>
      </w:r>
    </w:p>
    <w:p>
      <w:pPr>
        <w:numPr>
          <w:ilvl w:val="0"/>
          <w:numId w:val="1112"/>
        </w:numPr>
      </w:pPr>
      <w:r>
        <w:t xml:space="preserve">Follow the avoidance mechanisms of ISO/IEC 24772-1 clause 6.60.5.</w:t>
      </w:r>
    </w:p>
    <w:p>
      <w:pPr>
        <w:numPr>
          <w:ilvl w:val="0"/>
          <w:numId w:val="1112"/>
        </w:numPr>
      </w:pPr>
      <w:r>
        <w:t xml:space="preserve">Use code reviews and static analysis tools if available, to ensure that threads correctly terminate.</w:t>
      </w:r>
    </w:p>
    <w:bookmarkEnd w:id="222"/>
    <w:bookmarkStart w:id="225" w:name="CGX"/>
    <w:p>
      <w:pPr>
        <w:pStyle w:val="Heading2"/>
      </w:pPr>
      <w:r>
        <w:t xml:space="preserve">6.61 Concurrent Data Access [CGX]</w:t>
      </w:r>
    </w:p>
    <w:bookmarkStart w:id="223"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3"/>
    <w:bookmarkStart w:id="224"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3"/>
        </w:numPr>
      </w:pPr>
      <w:r>
        <w:t xml:space="preserve">Place all mutable data in memory accessible to only one thread at a time;</w:t>
      </w:r>
    </w:p>
    <w:p>
      <w:pPr>
        <w:numPr>
          <w:ilvl w:val="0"/>
          <w:numId w:val="1113"/>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3"/>
        </w:numPr>
      </w:pPr>
      <w:r>
        <w:t xml:space="preserve">Prohibit calling lock and unlock facilities directly.</w:t>
      </w:r>
    </w:p>
    <w:p>
      <w:pPr>
        <w:numPr>
          <w:ilvl w:val="0"/>
          <w:numId w:val="1113"/>
        </w:numPr>
      </w:pPr>
      <w:r>
        <w:t xml:space="preserve">Forbid the use of volatile for synchronization;</w:t>
      </w:r>
    </w:p>
    <w:p>
      <w:pPr>
        <w:numPr>
          <w:ilvl w:val="0"/>
          <w:numId w:val="1113"/>
        </w:numPr>
      </w:pPr>
      <w:r>
        <w:t xml:space="preserve">Avoid specifying memory orders on atomic operations other than sequential consistency;</w:t>
      </w:r>
    </w:p>
    <w:p>
      <w:pPr>
        <w:numPr>
          <w:ilvl w:val="0"/>
          <w:numId w:val="1113"/>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3"/>
        </w:numPr>
      </w:pPr>
      <w:r>
        <w:t xml:space="preserve">Pass all thread function arguments by non-pointer-like values.</w:t>
      </w:r>
    </w:p>
    <w:bookmarkEnd w:id="224"/>
    <w:bookmarkEnd w:id="225"/>
    <w:bookmarkStart w:id="229" w:name="concurrency-premature-termination-cgs"/>
    <w:p>
      <w:pPr>
        <w:pStyle w:val="Heading2"/>
      </w:pPr>
      <w:r>
        <w:t xml:space="preserve">6.62 Concurrency – Premature Termination [CGS]</w:t>
      </w:r>
    </w:p>
    <w:bookmarkStart w:id="226" w:name="applicability-to-language"/>
    <w:p>
      <w:pPr>
        <w:pStyle w:val="Heading3"/>
      </w:pPr>
      <w:r>
        <w:t xml:space="preserve">6.62.1 Applicability to language</w:t>
      </w:r>
    </w:p>
    <w:bookmarkEnd w:id="226"/>
    <w:bookmarkStart w:id="227"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7"/>
    <w:bookmarkStart w:id="228"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4"/>
        </w:numPr>
      </w:pPr>
      <w:r>
        <w:t xml:space="preserve">Use the avoidance mechanisms of ISO/IEC 24772-1 clause 6.63.5.</w:t>
      </w:r>
    </w:p>
    <w:p>
      <w:pPr>
        <w:numPr>
          <w:ilvl w:val="0"/>
          <w:numId w:val="1114"/>
        </w:numPr>
      </w:pPr>
      <w:r>
        <w:t xml:space="preserve">Use low-level operating system primitives or other APIs where</w:t>
      </w:r>
      <w:r>
        <w:t xml:space="preserve"> </w:t>
      </w:r>
      <w:r>
        <w:t xml:space="preserve">available to check that a required thread is still active.</w:t>
      </w:r>
    </w:p>
    <w:p>
      <w:pPr>
        <w:numPr>
          <w:ilvl w:val="0"/>
          <w:numId w:val="1114"/>
        </w:numPr>
      </w:pPr>
      <w:r>
        <w:t xml:space="preserve">Prohibit explicit or implicit calls to program-terminating functions whenever active threads are executing.</w:t>
      </w:r>
    </w:p>
    <w:p>
      <w:pPr>
        <w:numPr>
          <w:ilvl w:val="0"/>
          <w:numId w:val="1114"/>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4"/>
        </w:numPr>
      </w:pPr>
      <w:r>
        <w:t xml:space="preserve">Return some indication of conditions resulting in premature termination</w:t>
      </w:r>
    </w:p>
    <w:p>
      <w:pPr>
        <w:numPr>
          <w:ilvl w:val="0"/>
          <w:numId w:val="1114"/>
        </w:numPr>
      </w:pPr>
      <w:r>
        <w:t xml:space="preserve">Ensure that the main program joins all created threads that need to complete</w:t>
      </w:r>
      <w:r>
        <w:t xml:space="preserve"> </w:t>
      </w:r>
      <w:r>
        <w:t xml:space="preserve">normally, such as by using the std::jthread type.</w:t>
      </w:r>
    </w:p>
    <w:bookmarkEnd w:id="228"/>
    <w:bookmarkEnd w:id="229"/>
    <w:bookmarkStart w:id="232" w:name="uncontrolled-format-string-shl"/>
    <w:p>
      <w:pPr>
        <w:pStyle w:val="Heading2"/>
      </w:pPr>
      <w:r>
        <w:t xml:space="preserve">6.64 Uncontrolled Format String [SHL]</w:t>
      </w:r>
    </w:p>
    <w:bookmarkStart w:id="230"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0"/>
    <w:bookmarkStart w:id="231"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5"/>
        </w:numPr>
      </w:pPr>
      <w:r>
        <w:t xml:space="preserve">Forbid the use of the C library facilities provided by</w:t>
      </w:r>
      <w:r>
        <w:t xml:space="preserve"> </w:t>
      </w:r>
      <w:r>
        <w:rPr>
          <w:rStyle w:val="VerbatimChar"/>
          <w:b/>
        </w:rPr>
        <w:t xml:space="preserve">&lt;cstdio&gt;</w:t>
      </w:r>
      <w:r>
        <w:t xml:space="preserve">.</w:t>
      </w:r>
    </w:p>
    <w:p>
      <w:pPr>
        <w:numPr>
          <w:ilvl w:val="0"/>
          <w:numId w:val="1115"/>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5"/>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1"/>
    <w:bookmarkEnd w:id="232"/>
    <w:bookmarkEnd w:id="233"/>
    <w:bookmarkStart w:id="238" w:name="UJO"/>
    <w:p>
      <w:pPr>
        <w:pStyle w:val="Heading1"/>
      </w:pPr>
      <w:r>
        <w:t xml:space="preserve">6.65 Modifying constants [UJO]</w:t>
      </w:r>
    </w:p>
    <w:bookmarkStart w:id="236" w:name="applicability-to-language"/>
    <w:p>
      <w:pPr>
        <w:pStyle w:val="Heading3"/>
      </w:pPr>
      <w:r>
        <w:t xml:space="preserve">6.65.1 Applicability to language</w:t>
      </w:r>
    </w:p>
    <w:p>
      <w:pPr>
        <w:pStyle w:val="FirstParagraph"/>
      </w:pPr>
      <w:r>
        <w:t xml:space="preserve">The vulnerability as documented in ISO/IEC 24772-1 clause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4" w:name="EWF"/>
      <w:r>
        <w:t xml:space="preserve">Undefined Behavior [EWF]</w:t>
      </w:r>
      <w:bookmarkEnd w:id="234"/>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5" w:name="FLC"/>
      <w:r>
        <w:t xml:space="preserve">Conversion Errors [FLC]</w:t>
      </w:r>
      <w:bookmarkEnd w:id="235"/>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6"/>
    <w:bookmarkStart w:id="237"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6"/>
        </w:numPr>
      </w:pPr>
      <w:r>
        <w:t xml:space="preserve">Apply the avoidance mechanisms of ISO IEC 24772-1 clause 6.65.5.</w:t>
      </w:r>
    </w:p>
    <w:p>
      <w:pPr>
        <w:numPr>
          <w:ilvl w:val="0"/>
          <w:numId w:val="1116"/>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6"/>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6"/>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6"/>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6"/>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6"/>
        </w:numPr>
      </w:pPr>
      <w:r>
        <w:t xml:space="preserve">Ensure in concurrent code, that mutable data members are implicitly or explicitly synchronized.</w:t>
      </w:r>
    </w:p>
    <w:p>
      <w:pPr>
        <w:numPr>
          <w:ilvl w:val="0"/>
          <w:numId w:val="1116"/>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6"/>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7"/>
    <w:bookmarkEnd w:id="238"/>
    <w:bookmarkStart w:id="239" w:name="language-specific-vulnerabilities-for-c"/>
    <w:p>
      <w:pPr>
        <w:pStyle w:val="Heading1"/>
      </w:pPr>
      <w:r>
        <w:t xml:space="preserve">7. Language specific vulnerabilities for C++</w:t>
      </w:r>
    </w:p>
    <w:p>
      <w:pPr>
        <w:pStyle w:val="FirstParagraph"/>
      </w:pPr>
      <w:r>
        <w:t xml:space="preserve">TBD</w:t>
      </w:r>
    </w:p>
    <w:bookmarkEnd w:id="239"/>
    <w:bookmarkStart w:id="241"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7"/>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7"/>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7"/>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7"/>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7"/>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0"/>
      </w:r>
      <w:r>
        <w:t xml:space="preserve">.</w:t>
      </w:r>
    </w:p>
    <w:p>
      <w:pPr>
        <w:numPr>
          <w:ilvl w:val="0"/>
          <w:numId w:val="1117"/>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7"/>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7"/>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7"/>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7"/>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7"/>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7"/>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7"/>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7"/>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7"/>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7"/>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7"/>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7"/>
        </w:numPr>
        <w:pStyle w:val="SourceCode"/>
      </w:pPr>
      <w:r>
        <w:rPr>
          <w:rStyle w:val="VerbatimChar"/>
        </w:rPr>
        <w:t xml:space="preserve">Creating an Annex that lists deprecated features.</w:t>
      </w:r>
    </w:p>
    <w:bookmarkEnd w:id="241"/>
    <w:bookmarkStart w:id="255"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2"/>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3">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4">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5">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6">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7">
        <w:r>
          <w:rPr>
            <w:rStyle w:val="Hyperlink"/>
          </w:rPr>
          <w:t xml:space="preserve">http://myweb.lmu.edu/dondi/share/pl/type-checking-v02.pdf</w:t>
        </w:r>
      </w:hyperlink>
    </w:p>
    <w:p>
      <w:pPr>
        <w:pStyle w:val="Bibliography1"/>
      </w:pPr>
      <w:r>
        <w:t xml:space="preserve">[32] MISRA Limited. "</w:t>
      </w:r>
      <w:hyperlink r:id="rId248">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49">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0">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1">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2">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3">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4">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5"/>
    <w:bookmarkStart w:id="256" w:name="index"/>
    <w:p>
      <w:pPr>
        <w:pStyle w:val="Heading1"/>
      </w:pPr>
      <w:r>
        <w:t xml:space="preserve">Index</w:t>
      </w:r>
    </w:p>
    <w:p>
      <w:pPr>
        <w:pStyle w:val="Bibliography1"/>
      </w:pPr>
      <w:r>
        <w:t xml:space="preserve">LHS (left-hand side), 22</w:t>
      </w:r>
    </w:p>
    <w:bookmarkEnd w:id="2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0">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2">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1" Target="http://archive.gao.gov/t2pbat6/145960.pdf" TargetMode="External" /><Relationship Type="http://schemas.openxmlformats.org/officeDocument/2006/relationships/hyperlink" Id="rId249" Target="http://cwe.mitre.org/" TargetMode="External" /><Relationship Type="http://schemas.openxmlformats.org/officeDocument/2006/relationships/hyperlink" Id="rId245" Target="http://en.wikisource.org/wiki/Ariane_501_Inquiry_Board_report" TargetMode="External" /><Relationship Type="http://schemas.openxmlformats.org/officeDocument/2006/relationships/hyperlink" Id="rId243" Target="http://esamultimedia.esa.int/docs/esa-x-1819eng.pdf" TargetMode="External" /><Relationship Type="http://schemas.openxmlformats.org/officeDocument/2006/relationships/hyperlink" Id="rId247" Target="http://myweb.lmu.edu/dondi/share/pl/type-checking-v02.pdf" TargetMode="External" /><Relationship Type="http://schemas.openxmlformats.org/officeDocument/2006/relationships/hyperlink" Id="rId254" Target="http://www.adaic.org/docs/95style/95style.pdf" TargetMode="External" /><Relationship Type="http://schemas.openxmlformats.org/officeDocument/2006/relationships/hyperlink" Id="rId246" Target="http://www.cert.org/books/secure-coding" TargetMode="External" /><Relationship Type="http://schemas.openxmlformats.org/officeDocument/2006/relationships/hyperlink" Id="rId244" Target="http://www.embedded.com/1999/9907/9907feat2.htm" TargetMode="External" /><Relationship Type="http://schemas.openxmlformats.org/officeDocument/2006/relationships/hyperlink" Id="rId248" Target="http://www.misra.org.uk/" TargetMode="External" /><Relationship Type="http://schemas.openxmlformats.org/officeDocument/2006/relationships/hyperlink" Id="rId250" Target="http://www.nsc.liu.se/wg25/book" TargetMode="External" /><Relationship Type="http://schemas.openxmlformats.org/officeDocument/2006/relationships/hyperlink" Id="rId252"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3"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1" Target="http://archive.gao.gov/t2pbat6/145960.pdf" TargetMode="External" /><Relationship Type="http://schemas.openxmlformats.org/officeDocument/2006/relationships/hyperlink" Id="rId249" Target="http://cwe.mitre.org/" TargetMode="External" /><Relationship Type="http://schemas.openxmlformats.org/officeDocument/2006/relationships/hyperlink" Id="rId245" Target="http://en.wikisource.org/wiki/Ariane_501_Inquiry_Board_report" TargetMode="External" /><Relationship Type="http://schemas.openxmlformats.org/officeDocument/2006/relationships/hyperlink" Id="rId243" Target="http://esamultimedia.esa.int/docs/esa-x-1819eng.pdf" TargetMode="External" /><Relationship Type="http://schemas.openxmlformats.org/officeDocument/2006/relationships/hyperlink" Id="rId247" Target="http://myweb.lmu.edu/dondi/share/pl/type-checking-v02.pdf" TargetMode="External" /><Relationship Type="http://schemas.openxmlformats.org/officeDocument/2006/relationships/hyperlink" Id="rId254" Target="http://www.adaic.org/docs/95style/95style.pdf" TargetMode="External" /><Relationship Type="http://schemas.openxmlformats.org/officeDocument/2006/relationships/hyperlink" Id="rId246" Target="http://www.cert.org/books/secure-coding" TargetMode="External" /><Relationship Type="http://schemas.openxmlformats.org/officeDocument/2006/relationships/hyperlink" Id="rId244" Target="http://www.embedded.com/1999/9907/9907feat2.htm" TargetMode="External" /><Relationship Type="http://schemas.openxmlformats.org/officeDocument/2006/relationships/hyperlink" Id="rId248" Target="http://www.misra.org.uk/" TargetMode="External" /><Relationship Type="http://schemas.openxmlformats.org/officeDocument/2006/relationships/hyperlink" Id="rId250" Target="http://www.nsc.liu.se/wg25/book" TargetMode="External" /><Relationship Type="http://schemas.openxmlformats.org/officeDocument/2006/relationships/hyperlink" Id="rId252"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3"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2026-05-11T16:24:42Z</dcterms:created>
  <dcterms:modified xsi:type="dcterms:W3CDTF">2026-05-11T16:24:42Z</dcterms:modified>
</cp:coreProperties>
</file>

<file path=docProps/custom.xml><?xml version="1.0" encoding="utf-8"?>
<Properties xmlns="http://schemas.openxmlformats.org/officeDocument/2006/custom-properties" xmlns:vt="http://schemas.openxmlformats.org/officeDocument/2006/docPropsVTypes"/>
</file>