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1"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6"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The use of library and compiler-provided checks which will almost always require the explicit enabling the checks.</w:t>
      </w:r>
      <w:r>
        <w:t xml:space="preserve"> </w:t>
      </w:r>
      <w:r>
        <w:t xml:space="preserve">### 6.51.2 Avoidance mechanisms for language users</w:t>
      </w:r>
    </w:p>
    <w:p>
      <w:pPr>
        <w:pStyle w:val="BodyText"/>
      </w:pPr>
      <w:r>
        <w:t xml:space="preserve">To avoid the vulnerability or mitigate its ill effects, C++ software developers can apply the avoidance mechanisms of ISO/IEC 24772-1 clause 6.52.5.</w:t>
      </w:r>
    </w:p>
    <w:bookmarkEnd w:id="195"/>
    <w:bookmarkEnd w:id="196"/>
    <w:bookmarkStart w:id="199" w:name="X2e6df9becdc68c65fdb33865090fafdb8a33550"/>
    <w:p>
      <w:pPr>
        <w:pStyle w:val="Heading2"/>
      </w:pPr>
      <w:r>
        <w:t xml:space="preserve">6.53 Provision of Inherently Unsafe Operations [SKL]</w:t>
      </w:r>
    </w:p>
    <w:bookmarkStart w:id="197"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7"/>
    <w:bookmarkStart w:id="198"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198"/>
    <w:bookmarkEnd w:id="199"/>
    <w:bookmarkStart w:id="202" w:name="BRS"/>
    <w:p>
      <w:pPr>
        <w:pStyle w:val="Heading2"/>
      </w:pPr>
      <w:r>
        <w:t xml:space="preserve">6.54 Obscure Language Features [BRS]</w:t>
      </w:r>
    </w:p>
    <w:bookmarkStart w:id="200"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bookmarkEnd w:id="200"/>
    <w:bookmarkStart w:id="201"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clause 6.54.5.</w:t>
      </w:r>
    </w:p>
    <w:p>
      <w:pPr>
        <w:numPr>
          <w:ilvl w:val="0"/>
          <w:numId w:val="1104"/>
        </w:numPr>
      </w:pPr>
      <w:r>
        <w:t xml:space="preserve">Use static analysis tools, including multiple compilers from different sources to help identify occurrences of obscure language features.</w:t>
      </w:r>
    </w:p>
    <w:bookmarkEnd w:id="201"/>
    <w:bookmarkEnd w:id="202"/>
    <w:bookmarkStart w:id="205" w:name="unspecified-behaviour-bqf"/>
    <w:p>
      <w:pPr>
        <w:pStyle w:val="Heading2"/>
      </w:pPr>
      <w:r>
        <w:t xml:space="preserve">6.55 Unspecified Behaviour [BQF]</w:t>
      </w:r>
    </w:p>
    <w:bookmarkStart w:id="203"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3"/>
    <w:bookmarkStart w:id="204"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4"/>
    <w:bookmarkEnd w:id="205"/>
    <w:bookmarkStart w:id="208" w:name="EWF"/>
    <w:p>
      <w:pPr>
        <w:pStyle w:val="Heading2"/>
      </w:pPr>
      <w:r>
        <w:t xml:space="preserve">6.56 Undefined Behaviour [EWF]</w:t>
      </w:r>
    </w:p>
    <w:bookmarkStart w:id="206"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6"/>
    <w:bookmarkStart w:id="207"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7"/>
    <w:bookmarkEnd w:id="208"/>
    <w:bookmarkStart w:id="211" w:name="implementation-defined-behaviour-fab"/>
    <w:p>
      <w:pPr>
        <w:pStyle w:val="Heading2"/>
      </w:pPr>
      <w:r>
        <w:t xml:space="preserve">6.57 Implementation-defined Behaviour [FAB]</w:t>
      </w:r>
    </w:p>
    <w:bookmarkStart w:id="209"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09"/>
    <w:bookmarkStart w:id="210"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0"/>
    <w:bookmarkEnd w:id="211"/>
    <w:bookmarkStart w:id="214" w:name="deprecated-language-features-mem"/>
    <w:p>
      <w:pPr>
        <w:pStyle w:val="Heading2"/>
      </w:pPr>
      <w:r>
        <w:t xml:space="preserve">6.58 Deprecated Language Features [MEM]</w:t>
      </w:r>
    </w:p>
    <w:bookmarkStart w:id="212"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2"/>
    <w:bookmarkStart w:id="213"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3"/>
    <w:bookmarkEnd w:id="214"/>
    <w:bookmarkStart w:id="217" w:name="CGA"/>
    <w:p>
      <w:pPr>
        <w:pStyle w:val="Heading2"/>
      </w:pPr>
      <w:r>
        <w:t xml:space="preserve">6.59 Concurrency – Activation [CGA]</w:t>
      </w:r>
    </w:p>
    <w:bookmarkStart w:id="215"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5"/>
    <w:bookmarkStart w:id="216"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6"/>
    <w:bookmarkEnd w:id="217"/>
    <w:bookmarkStart w:id="219" w:name="concurrency-directed-termination-cgt"/>
    <w:p>
      <w:pPr>
        <w:pStyle w:val="Heading2"/>
      </w:pPr>
      <w:r>
        <w:t xml:space="preserve">6.60 Concurrency – Directed termination [CGT]</w:t>
      </w:r>
    </w:p>
    <w:bookmarkStart w:id="218"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8"/>
    <w:bookmarkEnd w:id="219"/>
    <w:bookmarkStart w:id="220"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0"/>
    <w:bookmarkStart w:id="223" w:name="CGX"/>
    <w:p>
      <w:pPr>
        <w:pStyle w:val="Heading2"/>
      </w:pPr>
      <w:r>
        <w:t xml:space="preserve">6.61 Concurrent Data Access [CGX]</w:t>
      </w:r>
    </w:p>
    <w:bookmarkStart w:id="221"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1"/>
    <w:bookmarkStart w:id="222"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2"/>
    <w:bookmarkEnd w:id="223"/>
    <w:bookmarkStart w:id="227" w:name="concurrency-premature-termination-cgs"/>
    <w:p>
      <w:pPr>
        <w:pStyle w:val="Heading2"/>
      </w:pPr>
      <w:r>
        <w:t xml:space="preserve">6.62 Concurrency – Premature Termination [CGS]</w:t>
      </w:r>
    </w:p>
    <w:bookmarkStart w:id="224" w:name="applicability-to-language"/>
    <w:p>
      <w:pPr>
        <w:pStyle w:val="Heading3"/>
      </w:pPr>
      <w:r>
        <w:t xml:space="preserve">6.62.1 Applicability to language</w:t>
      </w:r>
    </w:p>
    <w:bookmarkEnd w:id="224"/>
    <w:bookmarkStart w:id="225"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5"/>
    <w:bookmarkStart w:id="226"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6"/>
    <w:bookmarkEnd w:id="227"/>
    <w:bookmarkStart w:id="230" w:name="uncontrolled-format-string-shl"/>
    <w:p>
      <w:pPr>
        <w:pStyle w:val="Heading2"/>
      </w:pPr>
      <w:r>
        <w:t xml:space="preserve">6.64 Uncontrolled Format String [SHL]</w:t>
      </w:r>
    </w:p>
    <w:bookmarkStart w:id="228"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8"/>
    <w:bookmarkStart w:id="229"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29"/>
    <w:bookmarkEnd w:id="230"/>
    <w:bookmarkEnd w:id="231"/>
    <w:bookmarkStart w:id="236" w:name="UJO"/>
    <w:p>
      <w:pPr>
        <w:pStyle w:val="Heading1"/>
      </w:pPr>
      <w:r>
        <w:t xml:space="preserve">6.65 Modifying constants [UJO]</w:t>
      </w:r>
    </w:p>
    <w:bookmarkStart w:id="234"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2" w:name="EWF"/>
      <w:r>
        <w:t xml:space="preserve">Undefined Behavior [EWF]</w:t>
      </w:r>
      <w:bookmarkEnd w:id="232"/>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3" w:name="FLC"/>
      <w:r>
        <w:t xml:space="preserve">Conversion Errors [FLC]</w:t>
      </w:r>
      <w:bookmarkEnd w:id="233"/>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4"/>
    <w:bookmarkStart w:id="235"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5"/>
    <w:bookmarkEnd w:id="236"/>
    <w:bookmarkStart w:id="237" w:name="language-specific-vulnerabilities-for-c"/>
    <w:p>
      <w:pPr>
        <w:pStyle w:val="Heading1"/>
      </w:pPr>
      <w:r>
        <w:t xml:space="preserve">7. Language specific vulnerabilities for C++</w:t>
      </w:r>
    </w:p>
    <w:p>
      <w:pPr>
        <w:pStyle w:val="FirstParagraph"/>
      </w:pPr>
      <w:r>
        <w:t xml:space="preserve">TBD</w:t>
      </w:r>
    </w:p>
    <w:bookmarkEnd w:id="237"/>
    <w:bookmarkStart w:id="239"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8"/>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39"/>
    <w:bookmarkStart w:id="253"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0"/>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1">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2">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3">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4">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5">
        <w:r>
          <w:rPr>
            <w:rStyle w:val="Hyperlink"/>
          </w:rPr>
          <w:t xml:space="preserve">http://myweb.lmu.edu/dondi/share/pl/type-checking-v02.pdf</w:t>
        </w:r>
      </w:hyperlink>
    </w:p>
    <w:p>
      <w:pPr>
        <w:pStyle w:val="Bibliography1"/>
      </w:pPr>
      <w:r>
        <w:t xml:space="preserve">[32] MISRA Limited. "</w:t>
      </w:r>
      <w:hyperlink r:id="rId246">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7">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8">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49">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0">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1">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2">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3"/>
    <w:bookmarkStart w:id="254" w:name="index"/>
    <w:p>
      <w:pPr>
        <w:pStyle w:val="Heading1"/>
      </w:pPr>
      <w:r>
        <w:t xml:space="preserve">Index</w:t>
      </w:r>
    </w:p>
    <w:p>
      <w:pPr>
        <w:pStyle w:val="Bibliography1"/>
      </w:pPr>
      <w:r>
        <w:t xml:space="preserve">LHS (left-hand side), 22</w:t>
      </w:r>
    </w:p>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2026-03-02T14:54:24Z</dcterms:created>
  <dcterms:modified xsi:type="dcterms:W3CDTF">2026-03-02T14:54:24Z</dcterms:modified>
</cp:coreProperties>
</file>

<file path=docProps/custom.xml><?xml version="1.0" encoding="utf-8"?>
<Properties xmlns="http://schemas.openxmlformats.org/officeDocument/2006/custom-properties" xmlns:vt="http://schemas.openxmlformats.org/officeDocument/2006/docPropsVTypes"/>
</file>