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Arguments to called functions should not be subject to implicit conversions.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TR 24772-1:2019 clause 6.52 does not apply to C++, because there is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clause 6.52.5.</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and ISO/IEC TR 24772-3:2020 clause 6.53.5.</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clause 6.54.5.</w:t>
      </w:r>
      <w:r>
        <w:t xml:space="preserve"> </w:t>
      </w:r>
      <w:r>
        <w:t xml:space="preserve">- Use static analysis tools, including multiple compilers from different sources and with appropriate levels of checking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clause 6.55.5.</w:t>
      </w:r>
    </w:p>
    <w:p>
      <w:pPr>
        <w:numPr>
          <w:ilvl w:val="0"/>
          <w:numId w:val="1105"/>
        </w:numPr>
      </w:pPr>
      <w:r>
        <w:t xml:space="preserve">Use static analysis tools and multiple compilers/tools from different sources to help identify occurrences of 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2026-03-16T17:38:04Z</dcterms:created>
  <dcterms:modified xsi:type="dcterms:W3CDTF">2026-03-16T17:38:04Z</dcterms:modified>
</cp:coreProperties>
</file>

<file path=docProps/custom.xml><?xml version="1.0" encoding="utf-8"?>
<Properties xmlns="http://schemas.openxmlformats.org/officeDocument/2006/custom-properties" xmlns:vt="http://schemas.openxmlformats.org/officeDocument/2006/docPropsVTypes"/>
</file>