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p>
      <w:pPr>
        <w:pStyle w:val="BodyText"/>
      </w:pPr>
      <w:r>
        <w:rPr>
          <w:b/>
        </w:rPr>
        <w:t xml:space="preserve">TODO copie from generics:</w:t>
      </w:r>
      <w:r>
        <w:t xml:space="preserve">*</w:t>
      </w:r>
      <w:r>
        <w:t xml:space="preserve"> </w:t>
      </w:r>
      <w:r>
        <w:t xml:space="preserve">TODO: most of the following should go into section 4…</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0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09"/>
        </w:numPr>
        <w:pStyle w:val="Compact"/>
      </w:pPr>
      <w:r>
        <w:t xml:space="preserve">They have no runtime overhead;</w:t>
      </w:r>
    </w:p>
    <w:p>
      <w:pPr>
        <w:numPr>
          <w:ilvl w:val="0"/>
          <w:numId w:val="1009"/>
        </w:numPr>
        <w:pStyle w:val="Compact"/>
      </w:pPr>
      <w:r>
        <w:t xml:space="preserve">They do not have any implicit run-time memory usage; and</w:t>
      </w:r>
    </w:p>
    <w:p>
      <w:pPr>
        <w:numPr>
          <w:ilvl w:val="0"/>
          <w:numId w:val="100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1"/>
        </w:numPr>
        <w:pStyle w:val="Compact"/>
      </w:pPr>
      <w:r>
        <w:t xml:space="preserve">throwing an exception.</w:t>
      </w:r>
    </w:p>
    <w:p>
      <w:pPr>
        <w:numPr>
          <w:ilvl w:val="0"/>
          <w:numId w:val="1011"/>
        </w:numPr>
        <w:pStyle w:val="Compact"/>
      </w:pPr>
      <w:r>
        <w:t xml:space="preserve">returning an error code, including a special value denoting success.</w:t>
      </w:r>
    </w:p>
    <w:p>
      <w:pPr>
        <w:numPr>
          <w:ilvl w:val="0"/>
          <w:numId w:val="1011"/>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1"/>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2"/>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2"/>
        </w:numPr>
      </w:pPr>
      <w:r>
        <w:t xml:space="preserve">Letting a program thread await and respond to sets of events in the order that they are received.</w:t>
      </w:r>
    </w:p>
    <w:p>
      <w:pPr>
        <w:numPr>
          <w:ilvl w:val="0"/>
          <w:numId w:val="1012"/>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3"/>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3"/>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3"/>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3"/>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3"/>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3"/>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3"/>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3"/>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3"/>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4"/>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24772-1:2024, 6.2.5. and provided in the related clauses of this document.</w:t>
      </w:r>
    </w:p>
    <w:p>
      <w:pPr>
        <w:numPr>
          <w:ilvl w:val="0"/>
          <w:numId w:val="1015"/>
        </w:numPr>
      </w:pPr>
      <w:r>
        <w:t xml:space="preserve">Be aware of the rules of the type system, overload resolution, and implicit conversions to avoid vulnerabilities.</w:t>
      </w:r>
    </w:p>
    <w:p>
      <w:pPr>
        <w:numPr>
          <w:ilvl w:val="0"/>
          <w:numId w:val="1015"/>
        </w:numPr>
      </w:pPr>
      <w:r>
        <w:t xml:space="preserve">Enable compiler warnings regarding implicit conversions and use static analysis tools that provide such warnings.</w:t>
      </w:r>
    </w:p>
    <w:p>
      <w:pPr>
        <w:numPr>
          <w:ilvl w:val="0"/>
          <w:numId w:val="1015"/>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5"/>
        </w:numPr>
      </w:pPr>
      <w:r>
        <w:t xml:space="preserve">Define any conversion operator as</w:t>
      </w:r>
      <w:r>
        <w:t xml:space="preserve"> </w:t>
      </w:r>
      <w:r>
        <w:rPr>
          <w:rStyle w:val="VerbatimChar"/>
        </w:rPr>
        <w:t xml:space="preserve">explicit</w:t>
      </w:r>
    </w:p>
    <w:p>
      <w:pPr>
        <w:numPr>
          <w:ilvl w:val="0"/>
          <w:numId w:val="1015"/>
        </w:numPr>
      </w:pPr>
      <w:r>
        <w:t xml:space="preserve">Use strong types instead of the built-in types for domain values and on system boundaries, e.g., for input, convert a read value immediately to the appropriate strong type.</w:t>
      </w:r>
    </w:p>
    <w:p>
      <w:pPr>
        <w:numPr>
          <w:ilvl w:val="0"/>
          <w:numId w:val="1015"/>
        </w:numPr>
      </w:pPr>
      <w:r>
        <w:t xml:space="preserve">Use a braced-initializer when defining variables of an arithmetic type to prevent a potential narrowing conversion from the initial value’s type.</w:t>
      </w:r>
    </w:p>
    <w:p>
      <w:pPr>
        <w:numPr>
          <w:ilvl w:val="0"/>
          <w:numId w:val="1015"/>
        </w:numPr>
      </w:pPr>
      <w:r>
        <w:t xml:space="preserve">Avoid the use of the following text-representing character types,</w:t>
      </w:r>
    </w:p>
    <w:p>
      <w:pPr>
        <w:numPr>
          <w:ilvl w:val="1"/>
          <w:numId w:val="1016"/>
        </w:numPr>
        <w:pStyle w:val="Compact"/>
      </w:pPr>
      <w:r>
        <w:rPr>
          <w:rStyle w:val="VerbatimChar"/>
        </w:rPr>
        <w:t xml:space="preserve">char</w:t>
      </w:r>
      <w:r>
        <w:t xml:space="preserve">,</w:t>
      </w:r>
    </w:p>
    <w:p>
      <w:pPr>
        <w:numPr>
          <w:ilvl w:val="1"/>
          <w:numId w:val="1016"/>
        </w:numPr>
        <w:pStyle w:val="Compact"/>
      </w:pPr>
      <w:r>
        <w:rPr>
          <w:rStyle w:val="VerbatimChar"/>
        </w:rPr>
        <w:t xml:space="preserve">char8_t</w:t>
      </w:r>
      <w:r>
        <w:t xml:space="preserve">,</w:t>
      </w:r>
    </w:p>
    <w:p>
      <w:pPr>
        <w:numPr>
          <w:ilvl w:val="1"/>
          <w:numId w:val="1016"/>
        </w:numPr>
        <w:pStyle w:val="Compact"/>
      </w:pPr>
      <w:r>
        <w:rPr>
          <w:rStyle w:val="VerbatimChar"/>
        </w:rPr>
        <w:t xml:space="preserve">wchar_t</w:t>
      </w:r>
      <w:r>
        <w:t xml:space="preserve">,</w:t>
      </w:r>
    </w:p>
    <w:p>
      <w:pPr>
        <w:numPr>
          <w:ilvl w:val="1"/>
          <w:numId w:val="1016"/>
        </w:numPr>
        <w:pStyle w:val="Compact"/>
      </w:pPr>
      <w:r>
        <w:rPr>
          <w:rStyle w:val="VerbatimChar"/>
        </w:rPr>
        <w:t xml:space="preserve">char16_t</w:t>
      </w:r>
      <w:r>
        <w:t xml:space="preserve"> </w:t>
      </w:r>
      <w:r>
        <w:t xml:space="preserve">and</w:t>
      </w:r>
    </w:p>
    <w:p>
      <w:pPr>
        <w:numPr>
          <w:ilvl w:val="1"/>
          <w:numId w:val="1016"/>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5"/>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24772-3 6.3.2</w:t>
      </w:r>
    </w:p>
    <w:p>
      <w:pPr>
        <w:numPr>
          <w:ilvl w:val="0"/>
          <w:numId w:val="1017"/>
        </w:numPr>
      </w:pPr>
      <w:r>
        <w:t xml:space="preserve">Prohibit the use of shift operations to implement multiplication or division by powers of two.</w:t>
      </w:r>
    </w:p>
    <w:p>
      <w:pPr>
        <w:numPr>
          <w:ilvl w:val="0"/>
          <w:numId w:val="1017"/>
        </w:numPr>
      </w:pPr>
      <w:r>
        <w:t xml:space="preserve">Use built-in bitwise operations only with operands of unsigned integral types or enums with an unsigned underlying type.</w:t>
      </w:r>
    </w:p>
    <w:p>
      <w:pPr>
        <w:numPr>
          <w:ilvl w:val="0"/>
          <w:numId w:val="1017"/>
        </w:numPr>
      </w:pPr>
      <w:r>
        <w:t xml:space="preserve">When performing bitwise operations on operands of an unsigned type that gets promoted to a signed integral type, cast the result to the corresponding unsigned type immediately.</w:t>
      </w:r>
    </w:p>
    <w:p>
      <w:pPr>
        <w:numPr>
          <w:ilvl w:val="0"/>
          <w:numId w:val="1017"/>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7"/>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7"/>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7"/>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8"/>
        </w:numPr>
      </w:pPr>
      <w:r>
        <w:t xml:space="preserve">Apply the avoidance mechanisms of ISO/IEC 24772-1 6.4.5</w:t>
      </w:r>
    </w:p>
    <w:p>
      <w:pPr>
        <w:numPr>
          <w:ilvl w:val="0"/>
          <w:numId w:val="1018"/>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8"/>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8"/>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6.5 and ISO IEC TR 24772-3,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9"/>
        </w:numPr>
      </w:pPr>
      <w:r>
        <w:t xml:space="preserve">Prefer</w:t>
      </w:r>
      <w:r>
        <w:t xml:space="preserve"> </w:t>
      </w:r>
      <w:r>
        <w:rPr>
          <w:i/>
        </w:rPr>
        <w:t xml:space="preserve">scoped enumerations</w:t>
      </w:r>
      <w:r>
        <w:t xml:space="preserve"> </w:t>
      </w:r>
      <w:r>
        <w:t xml:space="preserve">with an explicit fixed underlying type.</w:t>
      </w:r>
    </w:p>
    <w:p>
      <w:pPr>
        <w:numPr>
          <w:ilvl w:val="1"/>
          <w:numId w:val="1020"/>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20"/>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20"/>
        </w:numPr>
        <w:pStyle w:val="SourceCode"/>
      </w:pPr>
      <w:r>
        <w:rPr>
          <w:rStyle w:val="VerbatimChar"/>
        </w:rPr>
        <w:t xml:space="preserve">  See MISRA C++ 8.5.3 </w:t>
      </w:r>
    </w:p>
    <w:p>
      <w:pPr>
        <w:numPr>
          <w:ilvl w:val="1"/>
          <w:numId w:val="1020"/>
        </w:numPr>
        <w:pStyle w:val="SourceCode"/>
      </w:pPr>
      <w:r>
        <w:rPr>
          <w:rStyle w:val="VerbatimChar"/>
        </w:rPr>
        <w:t xml:space="preserve">  See MISRA C++ 28.5.5 </w:t>
      </w:r>
    </w:p>
    <w:p>
      <w:pPr>
        <w:numPr>
          <w:ilvl w:val="0"/>
          <w:numId w:val="1019"/>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21"/>
        </w:numPr>
      </w:pPr>
      <w:r>
        <w:t xml:space="preserve">For an enumeration type with a fixed underlying type, prohibit the assignment of integer values that are outside the range of the enumeration’s underlying type.</w:t>
      </w:r>
    </w:p>
    <w:p>
      <w:pPr>
        <w:numPr>
          <w:ilvl w:val="1"/>
          <w:numId w:val="1021"/>
        </w:numPr>
      </w:pPr>
      <w:r>
        <w:t xml:space="preserve">For an enumeration type with no fixed underlying type, prohibit the assignment of integer values that cannot be represented by the enumeration type.</w:t>
      </w:r>
    </w:p>
    <w:p>
      <w:pPr>
        <w:numPr>
          <w:ilvl w:val="1"/>
          <w:numId w:val="1021"/>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7.3 [conv] of [C++23]</w:t>
      </w:r>
    </w:p>
    <w:p>
      <w:pPr>
        <w:pStyle w:val="BodyText"/>
      </w:pPr>
      <w:r>
        <w:t xml:space="preserve">Explicit conversions use one of the mechanisms provided by C++ through a</w:t>
      </w:r>
    </w:p>
    <w:p>
      <w:pPr>
        <w:numPr>
          <w:ilvl w:val="0"/>
          <w:numId w:val="1022"/>
        </w:numPr>
        <w:pStyle w:val="Compact"/>
      </w:pPr>
      <w:r>
        <w:t xml:space="preserve">type conversion operator</w:t>
      </w:r>
    </w:p>
    <w:p>
      <w:pPr>
        <w:numPr>
          <w:ilvl w:val="1"/>
          <w:numId w:val="1023"/>
        </w:numPr>
        <w:pStyle w:val="Compact"/>
      </w:pPr>
      <w:r>
        <w:rPr>
          <w:rStyle w:val="VerbatimChar"/>
        </w:rPr>
        <w:t xml:space="preserve">static_cast</w:t>
      </w:r>
      <w:r>
        <w:t xml:space="preserve">,</w:t>
      </w:r>
    </w:p>
    <w:p>
      <w:pPr>
        <w:numPr>
          <w:ilvl w:val="1"/>
          <w:numId w:val="1023"/>
        </w:numPr>
        <w:pStyle w:val="Compact"/>
      </w:pPr>
      <w:r>
        <w:rPr>
          <w:rStyle w:val="VerbatimChar"/>
        </w:rPr>
        <w:t xml:space="preserve">const_cast</w:t>
      </w:r>
      <w:r>
        <w:t xml:space="preserve">,</w:t>
      </w:r>
    </w:p>
    <w:p>
      <w:pPr>
        <w:numPr>
          <w:ilvl w:val="1"/>
          <w:numId w:val="1023"/>
        </w:numPr>
        <w:pStyle w:val="Compact"/>
      </w:pPr>
      <w:r>
        <w:rPr>
          <w:rStyle w:val="VerbatimChar"/>
        </w:rPr>
        <w:t xml:space="preserve">dynamic_cast</w:t>
      </w:r>
      <w:r>
        <w:t xml:space="preserve">,</w:t>
      </w:r>
    </w:p>
    <w:p>
      <w:pPr>
        <w:numPr>
          <w:ilvl w:val="1"/>
          <w:numId w:val="1023"/>
        </w:numPr>
        <w:pStyle w:val="Compact"/>
      </w:pPr>
      <w:r>
        <w:rPr>
          <w:rStyle w:val="VerbatimChar"/>
        </w:rPr>
        <w:t xml:space="preserve">reinterpret_cast</w:t>
      </w:r>
      <w:r>
        <w:t xml:space="preserve">,</w:t>
      </w:r>
    </w:p>
    <w:p>
      <w:pPr>
        <w:numPr>
          <w:ilvl w:val="0"/>
          <w:numId w:val="1022"/>
        </w:numPr>
        <w:pStyle w:val="Compact"/>
      </w:pPr>
      <w:r>
        <w:t xml:space="preserve">constructor notation with</w:t>
      </w:r>
    </w:p>
    <w:p>
      <w:pPr>
        <w:numPr>
          <w:ilvl w:val="1"/>
          <w:numId w:val="1024"/>
        </w:numPr>
        <w:pStyle w:val="Compact"/>
      </w:pPr>
      <w:r>
        <w:t xml:space="preserve">parentheses (e.g.,</w:t>
      </w:r>
      <w:r>
        <w:t xml:space="preserve"> </w:t>
      </w:r>
      <w:r>
        <w:rPr>
          <w:rStyle w:val="VerbatimChar"/>
        </w:rPr>
        <w:t xml:space="preserve">double(42)</w:t>
      </w:r>
      <w:r>
        <w:t xml:space="preserve">) or</w:t>
      </w:r>
    </w:p>
    <w:p>
      <w:pPr>
        <w:numPr>
          <w:ilvl w:val="1"/>
          <w:numId w:val="1024"/>
        </w:numPr>
        <w:pStyle w:val="Compact"/>
      </w:pPr>
      <w:r>
        <w:t xml:space="preserve">braces (e.g., int{</w:t>
      </w:r>
      <w:r>
        <w:t xml:space="preserve">‘</w:t>
      </w:r>
      <w:r>
        <w:t xml:space="preserve">a</w:t>
      </w:r>
      <w:r>
        <w:t xml:space="preserve">’</w:t>
      </w:r>
      <w:r>
        <w:t xml:space="preserve">}) which prevents narrowing conversions, or</w:t>
      </w:r>
    </w:p>
    <w:p>
      <w:pPr>
        <w:numPr>
          <w:ilvl w:val="0"/>
          <w:numId w:val="1022"/>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5"/>
        </w:numPr>
      </w:pPr>
      <w:r>
        <w:t xml:space="preserve">Apply the avoidance mechanisms of ISO/IEC 24772-1:2024 6.6.5:</w:t>
      </w:r>
    </w:p>
    <w:p>
      <w:pPr>
        <w:numPr>
          <w:ilvl w:val="0"/>
          <w:numId w:val="1025"/>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5"/>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5"/>
        </w:numPr>
      </w:pPr>
      <w:r>
        <w:t xml:space="preserve">Avoid narrowing conversions. (see C++ Core Guidelines ES.46)</w:t>
      </w:r>
    </w:p>
    <w:p>
      <w:pPr>
        <w:numPr>
          <w:ilvl w:val="0"/>
          <w:numId w:val="1025"/>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5"/>
        </w:numPr>
      </w:pPr>
      <w:r>
        <w:t xml:space="preserve">Declare</w:t>
      </w:r>
      <w:r>
        <w:t xml:space="preserve"> </w:t>
      </w:r>
      <w:r>
        <w:rPr>
          <w:rStyle w:val="VerbatimChar"/>
        </w:rPr>
        <w:t xml:space="preserve">explicit</w:t>
      </w:r>
    </w:p>
    <w:p>
      <w:pPr>
        <w:numPr>
          <w:ilvl w:val="1"/>
          <w:numId w:val="1026"/>
        </w:numPr>
        <w:pStyle w:val="Compact"/>
      </w:pPr>
      <w:r>
        <w:t xml:space="preserve">constructors callable with a single argument; and</w:t>
      </w:r>
    </w:p>
    <w:p>
      <w:pPr>
        <w:numPr>
          <w:ilvl w:val="1"/>
          <w:numId w:val="1026"/>
        </w:numPr>
        <w:pStyle w:val="Compact"/>
      </w:pPr>
      <w:r>
        <w:t xml:space="preserve">conversion functions.</w:t>
      </w:r>
      <w:r>
        <w:t xml:space="preserve"> </w:t>
      </w:r>
      <w:r>
        <w:t xml:space="preserve">(see C++ Core guidelines C.46 and C.164)</w:t>
      </w:r>
    </w:p>
    <w:p>
      <w:pPr>
        <w:numPr>
          <w:ilvl w:val="0"/>
          <w:numId w:val="1025"/>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5"/>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5"/>
        </w:numPr>
      </w:pPr>
      <w:r>
        <w:t xml:space="preserve">Avoid widening the result of an arithmetic operation; prefer instead to widen the type of</w:t>
      </w:r>
      <w:r>
        <w:t xml:space="preserve"> </w:t>
      </w:r>
      <w:r>
        <w:t xml:space="preserve">one or more of the operands</w:t>
      </w:r>
    </w:p>
    <w:p>
      <w:pPr>
        <w:numPr>
          <w:ilvl w:val="0"/>
          <w:numId w:val="1025"/>
        </w:numPr>
      </w:pPr>
      <w:r>
        <w:t xml:space="preserve">Prohibit mixing signed and unsigned arithmetic (see C++ Core Guidelines ES100)</w:t>
      </w:r>
    </w:p>
    <w:p>
      <w:pPr>
        <w:numPr>
          <w:ilvl w:val="0"/>
          <w:numId w:val="1025"/>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5"/>
        </w:numPr>
      </w:pPr>
      <w:r>
        <w:t xml:space="preserve">Avoid implicit conversions between character types and other types.</w:t>
      </w:r>
    </w:p>
    <w:p>
      <w:pPr>
        <w:numPr>
          <w:ilvl w:val="0"/>
          <w:numId w:val="1025"/>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5"/>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7"/>
        </w:numPr>
      </w:pPr>
      <w:r>
        <w:t xml:space="preserve">Avoid C-style strings.</w:t>
      </w:r>
    </w:p>
    <w:p>
      <w:pPr>
        <w:numPr>
          <w:ilvl w:val="0"/>
          <w:numId w:val="1027"/>
        </w:numPr>
      </w:pPr>
      <w:r>
        <w:t xml:space="preserve">If using C-style strings is unavoidable, apply the avoidance mechanisms of ISO/IEC TR 24772-3:2020 6.7.2.</w:t>
      </w:r>
    </w:p>
    <w:p>
      <w:pPr>
        <w:numPr>
          <w:ilvl w:val="0"/>
          <w:numId w:val="1027"/>
        </w:numPr>
      </w:pPr>
      <w:r>
        <w:t xml:space="preserve">Ensure that explicit overflow checks are performed for all string operations.</w:t>
      </w:r>
    </w:p>
    <w:p>
      <w:pPr>
        <w:numPr>
          <w:ilvl w:val="0"/>
          <w:numId w:val="1027"/>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7"/>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7"/>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8"/>
        </w:numPr>
        <w:pStyle w:val="Compact"/>
      </w:pPr>
      <w:r>
        <w:t xml:space="preserve">wrong input range #1, e.g., passing unrelated iterators,</w:t>
      </w:r>
    </w:p>
    <w:p>
      <w:pPr>
        <w:numPr>
          <w:ilvl w:val="0"/>
          <w:numId w:val="1028"/>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w:t>
      </w:r>
      <w:r>
        <w:t xml:space="preserve"> </w:t>
      </w:r>
      <w:bookmarkStart w:id="58" w:name="CJM"/>
      <w:r>
        <w:t xml:space="preserve">6.7 String 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9"/>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9"/>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9"/>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9"/>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9"/>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30"/>
        </w:numPr>
        <w:pStyle w:val="Compact"/>
      </w:pPr>
      <w:hyperlink r:id="rId59">
        <w:r>
          <w:rPr>
            <w:rStyle w:val="Hyperlink"/>
          </w:rPr>
          <w:t xml:space="preserve">SEI CTR50-CPP</w:t>
        </w:r>
      </w:hyperlink>
    </w:p>
    <w:p>
      <w:pPr>
        <w:numPr>
          <w:ilvl w:val="0"/>
          <w:numId w:val="1030"/>
        </w:numPr>
        <w:pStyle w:val="Compact"/>
      </w:pPr>
      <w:hyperlink r:id="rId60">
        <w:r>
          <w:rPr>
            <w:rStyle w:val="Hyperlink"/>
          </w:rPr>
          <w:t xml:space="preserve">SEI CTR53-CPP</w:t>
        </w:r>
      </w:hyperlink>
    </w:p>
    <w:p>
      <w:pPr>
        <w:numPr>
          <w:ilvl w:val="0"/>
          <w:numId w:val="1030"/>
        </w:numPr>
        <w:pStyle w:val="Compact"/>
      </w:pPr>
      <w:hyperlink r:id="rId61">
        <w:r>
          <w:rPr>
            <w:rStyle w:val="Hyperlink"/>
          </w:rPr>
          <w:t xml:space="preserve">SEI CTR55-CPP</w:t>
        </w:r>
      </w:hyperlink>
    </w:p>
    <w:p>
      <w:pPr>
        <w:numPr>
          <w:ilvl w:val="0"/>
          <w:numId w:val="1030"/>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6.8.5.</w:t>
      </w:r>
    </w:p>
    <w:p>
      <w:pPr>
        <w:numPr>
          <w:ilvl w:val="0"/>
          <w:numId w:val="1031"/>
        </w:numPr>
      </w:pPr>
      <w:r>
        <w:t xml:space="preserve">Avoid C-style arrays. If unavoidable, guidance for the use of C-style arrays is provided in ISO/IEC TR 24772-3:2020 6.8.2.</w:t>
      </w:r>
    </w:p>
    <w:p>
      <w:pPr>
        <w:numPr>
          <w:ilvl w:val="0"/>
          <w:numId w:val="1031"/>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1"/>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1"/>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1"/>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1"/>
        </w:numPr>
      </w:pPr>
      <w:r>
        <w:t xml:space="preserve">Prefer using range-based or iterator-based algorithms, such as those of the standard</w:t>
      </w:r>
      <w:r>
        <w:t xml:space="preserve"> </w:t>
      </w:r>
      <w:r>
        <w:t xml:space="preserve">library, over pointer-manipulating or indexing loops.</w:t>
      </w:r>
    </w:p>
    <w:p>
      <w:pPr>
        <w:numPr>
          <w:ilvl w:val="0"/>
          <w:numId w:val="1031"/>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1"/>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1"/>
        </w:numPr>
      </w:pPr>
      <w:r>
        <w:t xml:space="preserve">Ensure that ranges and iterators passed to algorithms are not invalidated for the duration of the loop.</w:t>
      </w:r>
    </w:p>
    <w:p>
      <w:pPr>
        <w:numPr>
          <w:ilvl w:val="0"/>
          <w:numId w:val="1031"/>
        </w:numPr>
      </w:pPr>
      <w:r>
        <w:t xml:space="preserve">When performing random access by indexing, apply the avoidance mechanisms of</w:t>
      </w:r>
      <w:r>
        <w:t xml:space="preserve"> </w:t>
      </w:r>
      <w:hyperlink w:anchor="XYZ">
        <w:r>
          <w:rPr>
            <w:rStyle w:val="Hyperlink"/>
          </w:rPr>
          <w:t xml:space="preserve">6.9.2</w:t>
        </w:r>
      </w:hyperlink>
      <w:r>
        <w:t xml:space="preserve">.</w:t>
      </w:r>
    </w:p>
    <w:p>
      <w:pPr>
        <w:numPr>
          <w:ilvl w:val="0"/>
          <w:numId w:val="1031"/>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6.9.5.</w:t>
      </w:r>
    </w:p>
    <w:p>
      <w:pPr>
        <w:numPr>
          <w:ilvl w:val="0"/>
          <w:numId w:val="1032"/>
        </w:numPr>
      </w:pPr>
      <w:r>
        <w:t xml:space="preserve">Follow the advice from clause</w:t>
      </w:r>
      <w:r>
        <w:t xml:space="preserve"> </w:t>
      </w:r>
      <w:hyperlink w:anchor="HCB">
        <w:r>
          <w:rPr>
            <w:rStyle w:val="Hyperlink"/>
          </w:rPr>
          <w:t xml:space="preserve">6.8.2</w:t>
        </w:r>
      </w:hyperlink>
      <w:r>
        <w:t xml:space="preserve">.</w:t>
      </w:r>
    </w:p>
    <w:p>
      <w:pPr>
        <w:numPr>
          <w:ilvl w:val="0"/>
          <w:numId w:val="1032"/>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2"/>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3"/>
        </w:numPr>
      </w:pPr>
      <w:r>
        <w:t xml:space="preserve">Apply the avoidance mechanisms of ISO/IEC 24772-1:2024 6.10.5.</w:t>
      </w:r>
    </w:p>
    <w:p>
      <w:pPr>
        <w:numPr>
          <w:ilvl w:val="0"/>
          <w:numId w:val="1033"/>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3"/>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3"/>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3"/>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3"/>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3"/>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4"/>
        </w:numPr>
      </w:pPr>
      <w:r>
        <w:t xml:space="preserve">Use the avoidance mechanisms of ISO/IEC 24772-1:2024 clause 6.11.5.</w:t>
      </w:r>
    </w:p>
    <w:p>
      <w:pPr>
        <w:numPr>
          <w:ilvl w:val="0"/>
          <w:numId w:val="1034"/>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4"/>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4"/>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4"/>
        </w:numPr>
      </w:pPr>
      <w:r>
        <w:t xml:space="preserve">If pointer and reference conversions cannot be avoided, treat compiler warnings that are</w:t>
      </w:r>
      <w:r>
        <w:t xml:space="preserve"> </w:t>
      </w:r>
      <w:r>
        <w:t xml:space="preserve">issued for such conversions as hard errors.</w:t>
      </w:r>
    </w:p>
    <w:p>
      <w:pPr>
        <w:numPr>
          <w:ilvl w:val="0"/>
          <w:numId w:val="1034"/>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explicit pointer arithmetic, especially on a pointer to a single object.</w:t>
      </w:r>
    </w:p>
    <w:p>
      <w:pPr>
        <w:numPr>
          <w:ilvl w:val="0"/>
          <w:numId w:val="1035"/>
        </w:numPr>
      </w:pPr>
      <w:r>
        <w:t xml:space="preserve">Prefer calling range-based algorithms over pointer arithmetic.</w:t>
      </w:r>
    </w:p>
    <w:p>
      <w:pPr>
        <w:numPr>
          <w:ilvl w:val="0"/>
          <w:numId w:val="1035"/>
        </w:numPr>
      </w:pPr>
      <w:r>
        <w:t xml:space="preserve">Use the avoidance mechanisms of</w:t>
      </w:r>
      <w:r>
        <w:t xml:space="preserve"> </w:t>
      </w:r>
      <w:hyperlink w:anchor="HCB">
        <w:r>
          <w:rPr>
            <w:rStyle w:val="Hyperlink"/>
          </w:rPr>
          <w:t xml:space="preserve">6.8.2</w:t>
        </w:r>
      </w:hyperlink>
      <w:r>
        <w:t xml:space="preserve">.</w:t>
      </w:r>
    </w:p>
    <w:p>
      <w:pPr>
        <w:numPr>
          <w:ilvl w:val="0"/>
          <w:numId w:val="1035"/>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6"/>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6"/>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6"/>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6"/>
        </w:numPr>
        <w:pStyle w:val="Compact"/>
      </w:pPr>
      <w:r>
        <w:t xml:space="preserve">what is the lifetime of the target of the pointer?</w:t>
      </w:r>
    </w:p>
    <w:p>
      <w:pPr>
        <w:numPr>
          <w:ilvl w:val="0"/>
          <w:numId w:val="1036"/>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7"/>
        </w:numPr>
      </w:pPr>
      <w:r>
        <w:t xml:space="preserve">Avoid the need for pointers by using values.</w:t>
      </w:r>
    </w:p>
    <w:p>
      <w:pPr>
        <w:numPr>
          <w:ilvl w:val="0"/>
          <w:numId w:val="1037"/>
        </w:numPr>
      </w:pPr>
      <w:r>
        <w:t xml:space="preserve">Prefer references over pointers for parameters.</w:t>
      </w:r>
    </w:p>
    <w:p>
      <w:pPr>
        <w:numPr>
          <w:ilvl w:val="0"/>
          <w:numId w:val="1037"/>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7"/>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7"/>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7"/>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7"/>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8"/>
        </w:numPr>
        <w:pStyle w:val="Compact"/>
      </w:pPr>
      <w:r>
        <w:t xml:space="preserve">References (the term value here includes references)</w:t>
      </w:r>
    </w:p>
    <w:p>
      <w:pPr>
        <w:numPr>
          <w:ilvl w:val="0"/>
          <w:numId w:val="1038"/>
        </w:numPr>
        <w:pStyle w:val="Compact"/>
      </w:pPr>
      <w:r>
        <w:t xml:space="preserve">Pointers</w:t>
      </w:r>
    </w:p>
    <w:p>
      <w:pPr>
        <w:numPr>
          <w:ilvl w:val="0"/>
          <w:numId w:val="1038"/>
        </w:numPr>
        <w:pStyle w:val="Compact"/>
      </w:pPr>
      <w:r>
        <w:t xml:space="preserve">Iterators</w:t>
      </w:r>
    </w:p>
    <w:p>
      <w:pPr>
        <w:numPr>
          <w:ilvl w:val="0"/>
          <w:numId w:val="1038"/>
        </w:numPr>
        <w:pStyle w:val="Compact"/>
      </w:pPr>
      <w:r>
        <w:t xml:space="preserve">Views, e.g.,</w:t>
      </w:r>
    </w:p>
    <w:p>
      <w:pPr>
        <w:numPr>
          <w:ilvl w:val="1"/>
          <w:numId w:val="1039"/>
        </w:numPr>
        <w:pStyle w:val="Compact"/>
      </w:pPr>
      <w:r>
        <w:rPr>
          <w:rStyle w:val="BuiltInTok"/>
        </w:rPr>
        <w:t xml:space="preserve">std::</w:t>
      </w:r>
      <w:r>
        <w:rPr>
          <w:rStyle w:val="NormalTok"/>
        </w:rPr>
        <w:t xml:space="preserve">string_view</w:t>
      </w:r>
    </w:p>
    <w:p>
      <w:pPr>
        <w:numPr>
          <w:ilvl w:val="1"/>
          <w:numId w:val="1039"/>
        </w:numPr>
        <w:pStyle w:val="Compact"/>
      </w:pPr>
      <w:r>
        <w:rPr>
          <w:rStyle w:val="BuiltInTok"/>
        </w:rPr>
        <w:t xml:space="preserve">std::</w:t>
      </w:r>
      <w:r>
        <w:rPr>
          <w:rStyle w:val="NormalTok"/>
        </w:rPr>
        <w:t xml:space="preserve">span</w:t>
      </w:r>
    </w:p>
    <w:p>
      <w:pPr>
        <w:numPr>
          <w:ilvl w:val="0"/>
          <w:numId w:val="1038"/>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6.14.5.</w:t>
      </w:r>
    </w:p>
    <w:p>
      <w:pPr>
        <w:numPr>
          <w:ilvl w:val="0"/>
          <w:numId w:val="1040"/>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40"/>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40"/>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40"/>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40"/>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40"/>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40"/>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1"/>
        </w:numPr>
        <w:pStyle w:val="Compact"/>
      </w:pPr>
      <w:r>
        <w:t xml:space="preserve">although signed integers are defined to be represented as two’s complement, signed integer overflow is undefined behaviour,</w:t>
      </w:r>
    </w:p>
    <w:p>
      <w:pPr>
        <w:numPr>
          <w:ilvl w:val="0"/>
          <w:numId w:val="1041"/>
        </w:numPr>
        <w:pStyle w:val="Compact"/>
      </w:pPr>
      <w:r>
        <w:t xml:space="preserve">unsigned integer arithmetic is defined to wrap-around (modulo arithmetic) and not overflow,</w:t>
      </w:r>
    </w:p>
    <w:p>
      <w:pPr>
        <w:numPr>
          <w:ilvl w:val="0"/>
          <w:numId w:val="1041"/>
        </w:numPr>
        <w:pStyle w:val="Compact"/>
      </w:pPr>
      <w:r>
        <w:t xml:space="preserve">expressions of integral type can implicitly convert to other integral types, even when passed as function arguments,</w:t>
      </w:r>
    </w:p>
    <w:p>
      <w:pPr>
        <w:numPr>
          <w:ilvl w:val="0"/>
          <w:numId w:val="1041"/>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1"/>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2"/>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2"/>
        </w:numPr>
        <w:pStyle w:val="Compact"/>
      </w:pPr>
      <w:r>
        <w:t xml:space="preserve">refrain from relying on integral promotion and implicit conversions, and</w:t>
      </w:r>
    </w:p>
    <w:p>
      <w:pPr>
        <w:numPr>
          <w:ilvl w:val="0"/>
          <w:numId w:val="1042"/>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6.15.5.</w:t>
      </w:r>
    </w:p>
    <w:p>
      <w:pPr>
        <w:numPr>
          <w:ilvl w:val="0"/>
          <w:numId w:val="1043"/>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3"/>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3"/>
        </w:numPr>
      </w:pPr>
      <w:r>
        <w:t xml:space="preserve">Avoid implicit integral promotions and integral conversions, especially on function arguments.</w:t>
      </w:r>
    </w:p>
    <w:p>
      <w:pPr>
        <w:numPr>
          <w:ilvl w:val="0"/>
          <w:numId w:val="1043"/>
        </w:numPr>
      </w:pPr>
      <w:r>
        <w:t xml:space="preserve">Avoid mixing integral types with different size or different signedness in the same expression.</w:t>
      </w:r>
    </w:p>
    <w:p>
      <w:pPr>
        <w:numPr>
          <w:ilvl w:val="0"/>
          <w:numId w:val="1043"/>
        </w:numPr>
      </w:pPr>
      <w:r>
        <w:t xml:space="preserve">Ensure that the result of any mathematical operation fits within the</w:t>
      </w:r>
      <w:r>
        <w:t xml:space="preserve"> </w:t>
      </w:r>
      <w:r>
        <w:t xml:space="preserve">constraints of the types involved within the expression.</w:t>
      </w:r>
    </w:p>
    <w:p>
      <w:pPr>
        <w:numPr>
          <w:ilvl w:val="0"/>
          <w:numId w:val="1043"/>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3"/>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3"/>
        </w:numPr>
      </w:pPr>
      <w:r>
        <w:t xml:space="preserve">Document where wrap-around is expected for a type.</w:t>
      </w:r>
    </w:p>
    <w:p>
      <w:pPr>
        <w:numPr>
          <w:ilvl w:val="0"/>
          <w:numId w:val="1043"/>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4"/>
        </w:numPr>
        <w:pStyle w:val="Compact"/>
      </w:pPr>
      <w:r>
        <w:t xml:space="preserve">apply the avoidance mechanisms of ISO/IEC 24772-1:2024 6.16 *Using Shift Operations for Multiplication and Division [PIK].</w:t>
      </w:r>
    </w:p>
    <w:p>
      <w:pPr>
        <w:numPr>
          <w:ilvl w:val="0"/>
          <w:numId w:val="1044"/>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5"/>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5"/>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5"/>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5"/>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5"/>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5"/>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6.17.5.</w:t>
      </w:r>
    </w:p>
    <w:p>
      <w:pPr>
        <w:numPr>
          <w:ilvl w:val="0"/>
          <w:numId w:val="1046"/>
        </w:numPr>
      </w:pPr>
      <w:r>
        <w:t xml:space="preserve">Follow the rules of ISO/IEC 14882:2023 clause [lex.name] regarding</w:t>
      </w:r>
      <w:r>
        <w:t xml:space="preserve"> </w:t>
      </w:r>
      <w:r>
        <w:t xml:space="preserve">names to refrain from usage.</w:t>
      </w:r>
    </w:p>
    <w:p>
      <w:pPr>
        <w:numPr>
          <w:ilvl w:val="0"/>
          <w:numId w:val="1046"/>
        </w:numPr>
      </w:pPr>
      <w:r>
        <w:t xml:space="preserve">Avoid the use of similar names to denote different objects of the same type.</w:t>
      </w:r>
    </w:p>
    <w:p>
      <w:pPr>
        <w:numPr>
          <w:ilvl w:val="0"/>
          <w:numId w:val="1046"/>
        </w:numPr>
      </w:pPr>
      <w:r>
        <w:t xml:space="preserve">Use consistency in choosing names, especially for dealing with similar names.</w:t>
      </w:r>
    </w:p>
    <w:p>
      <w:pPr>
        <w:numPr>
          <w:ilvl w:val="0"/>
          <w:numId w:val="1046"/>
        </w:numPr>
      </w:pPr>
      <w:r>
        <w:t xml:space="preserve">Use static analysis and tooling to enforce project-specific naming rules and detect possible similar names, for example, homoglyphs and unexpected text-direction vulnerabilities.</w:t>
      </w:r>
    </w:p>
    <w:p>
      <w:pPr>
        <w:numPr>
          <w:ilvl w:val="0"/>
          <w:numId w:val="1046"/>
        </w:numPr>
      </w:pPr>
      <w:r>
        <w:t xml:space="preserve">Keep the scope of names as small as reasonable.</w:t>
      </w:r>
    </w:p>
    <w:p>
      <w:pPr>
        <w:numPr>
          <w:ilvl w:val="0"/>
          <w:numId w:val="1046"/>
        </w:numPr>
      </w:pPr>
      <w:r>
        <w:t xml:space="preserve">Ensure that the names in your program do not exceed the compiler’s documented limit.</w:t>
      </w:r>
    </w:p>
    <w:p>
      <w:pPr>
        <w:numPr>
          <w:ilvl w:val="0"/>
          <w:numId w:val="1046"/>
        </w:numPr>
      </w:pPr>
      <w:r>
        <w:t xml:space="preserve">Do not differentiate names through only a mixture of case or the</w:t>
      </w:r>
      <w:r>
        <w:t xml:space="preserve"> </w:t>
      </w:r>
      <w:r>
        <w:t xml:space="preserve">presence/absence of an underscore character.</w:t>
      </w:r>
    </w:p>
    <w:p>
      <w:pPr>
        <w:numPr>
          <w:ilvl w:val="0"/>
          <w:numId w:val="1046"/>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6.18.5.</w:t>
      </w:r>
    </w:p>
    <w:p>
      <w:pPr>
        <w:numPr>
          <w:ilvl w:val="0"/>
          <w:numId w:val="1047"/>
        </w:numPr>
      </w:pPr>
      <w:r>
        <w:t xml:space="preserve">Use compilers and static analysis tools to identify dead stores in</w:t>
      </w:r>
      <w:r>
        <w:t xml:space="preserve"> </w:t>
      </w:r>
      <w:r>
        <w:t xml:space="preserve">the program.</w:t>
      </w:r>
    </w:p>
    <w:p>
      <w:pPr>
        <w:numPr>
          <w:ilvl w:val="0"/>
          <w:numId w:val="1047"/>
        </w:numPr>
      </w:pPr>
      <w:r>
        <w:t xml:space="preserve">Provide sufficient synchronization to non-const variables that are accessed by multiple execution</w:t>
      </w:r>
      <w:r>
        <w:t xml:space="preserve"> </w:t>
      </w:r>
      <w:r>
        <w:t xml:space="preserve">agents. See clause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6.19.5.</w:t>
      </w:r>
    </w:p>
    <w:p>
      <w:pPr>
        <w:numPr>
          <w:ilvl w:val="0"/>
          <w:numId w:val="1048"/>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ISO/IEC 24772-1:2024, 6.20.5, with the</w:t>
      </w:r>
      <w:r>
        <w:t xml:space="preserve"> </w:t>
      </w:r>
      <w:r>
        <w:t xml:space="preserve">exclusion of guidance related to truncated identifiers.</w:t>
      </w:r>
    </w:p>
    <w:p>
      <w:pPr>
        <w:numPr>
          <w:ilvl w:val="0"/>
          <w:numId w:val="1049"/>
        </w:numPr>
      </w:pPr>
      <w:r>
        <w:t xml:space="preserve">Qualify names to disambiguate potential conflicts between names</w:t>
      </w:r>
      <w:r>
        <w:t xml:space="preserve"> </w:t>
      </w:r>
      <w:r>
        <w:t xml:space="preserve">introduced from different scopes.</w:t>
      </w:r>
    </w:p>
    <w:p>
      <w:pPr>
        <w:numPr>
          <w:ilvl w:val="0"/>
          <w:numId w:val="1049"/>
        </w:numPr>
      </w:pPr>
      <w:r>
        <w:t xml:space="preserve">Use modern integrated development environments that inform about the</w:t>
      </w:r>
      <w:r>
        <w:t xml:space="preserve"> </w:t>
      </w:r>
      <w:r>
        <w:t xml:space="preserve">declaration of any identifier occurrence.</w:t>
      </w:r>
    </w:p>
    <w:p>
      <w:pPr>
        <w:numPr>
          <w:ilvl w:val="0"/>
          <w:numId w:val="1049"/>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50"/>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50"/>
        </w:numPr>
        <w:pStyle w:val="Compact"/>
      </w:pPr>
      <w:r>
        <w:t xml:space="preserve">Overloading;</w:t>
      </w:r>
    </w:p>
    <w:p>
      <w:pPr>
        <w:numPr>
          <w:ilvl w:val="0"/>
          <w:numId w:val="1050"/>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1"/>
        </w:numPr>
        <w:pStyle w:val="Compact"/>
      </w:pPr>
      <w:r>
        <w:t xml:space="preserve">an overload,</w:t>
      </w:r>
    </w:p>
    <w:p>
      <w:pPr>
        <w:numPr>
          <w:ilvl w:val="0"/>
          <w:numId w:val="1051"/>
        </w:numPr>
        <w:pStyle w:val="Compact"/>
      </w:pPr>
      <w:r>
        <w:t xml:space="preserve">a using directive,</w:t>
      </w:r>
    </w:p>
    <w:p>
      <w:pPr>
        <w:numPr>
          <w:ilvl w:val="0"/>
          <w:numId w:val="1051"/>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1"/>
        </w:numPr>
        <w:pStyle w:val="Compact"/>
      </w:pPr>
      <w:r>
        <w:t xml:space="preserve">a non-template function that is preferred to a function template,</w:t>
      </w:r>
    </w:p>
    <w:p>
      <w:pPr>
        <w:numPr>
          <w:ilvl w:val="0"/>
          <w:numId w:val="1051"/>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2"/>
        </w:numPr>
      </w:pPr>
      <w:r>
        <w:t xml:space="preserve">Apply the avoidance mechanisms of 6.40.2 and 6.41.2 as applicable.</w:t>
      </w:r>
    </w:p>
    <w:p>
      <w:pPr>
        <w:numPr>
          <w:ilvl w:val="0"/>
          <w:numId w:val="1052"/>
        </w:numPr>
      </w:pPr>
      <w:r>
        <w:t xml:space="preserve">Avoid implicit conversions of function arguments.</w:t>
      </w:r>
    </w:p>
    <w:p>
      <w:pPr>
        <w:numPr>
          <w:ilvl w:val="0"/>
          <w:numId w:val="1052"/>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2"/>
        </w:numPr>
      </w:pPr>
      <w:r>
        <w:t xml:space="preserve">Consider using fully qualified names for calls that rely on an implicit conversions and in generic code.</w:t>
      </w:r>
    </w:p>
    <w:p>
      <w:pPr>
        <w:numPr>
          <w:ilvl w:val="0"/>
          <w:numId w:val="1052"/>
        </w:numPr>
      </w:pPr>
      <w:r>
        <w:t xml:space="preserve">Consider using named function objects instead of function names for calling a function to suppress overload resolution including functions found by argument dependent lookup (ADL).</w:t>
      </w:r>
    </w:p>
    <w:p>
      <w:pPr>
        <w:numPr>
          <w:ilvl w:val="0"/>
          <w:numId w:val="1052"/>
        </w:numPr>
      </w:pPr>
      <w:r>
        <w:t xml:space="preserve">Prefer using declarations to using directives.</w:t>
      </w:r>
    </w:p>
    <w:p>
      <w:pPr>
        <w:numPr>
          <w:ilvl w:val="0"/>
          <w:numId w:val="1052"/>
        </w:numPr>
      </w:pPr>
      <w:r>
        <w:t xml:space="preserve">For a function overload set, do not use default arguments in function declarations.</w:t>
      </w:r>
    </w:p>
    <w:p>
      <w:pPr>
        <w:numPr>
          <w:ilvl w:val="0"/>
          <w:numId w:val="1052"/>
        </w:numPr>
      </w:pPr>
      <w:r>
        <w:t xml:space="preserve">When adding a template specialization to existing code, verify that no template instantiation is silently changed in an unsafe manner.</w:t>
      </w:r>
    </w:p>
    <w:p>
      <w:pPr>
        <w:numPr>
          <w:ilvl w:val="0"/>
          <w:numId w:val="1052"/>
        </w:numPr>
      </w:pPr>
      <w:r>
        <w:t xml:space="preserve">Define an entity in only one file to prevent ODR-violations and ensure that inclusions of that file in different translation units don’t result in definition differences.</w:t>
      </w:r>
    </w:p>
    <w:p>
      <w:pPr>
        <w:numPr>
          <w:ilvl w:val="0"/>
          <w:numId w:val="1052"/>
        </w:numPr>
      </w:pPr>
      <w:r>
        <w:t xml:space="preserve">Ensure that no ODR-violations occur, i.e., through a static analysis tool.</w:t>
      </w:r>
    </w:p>
    <w:p>
      <w:pPr>
        <w:numPr>
          <w:ilvl w:val="0"/>
          <w:numId w:val="1052"/>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6.22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apply the avoidance mechanisms of ISO/IEC 24772-1:2024,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 itialization order is guaranteed by the language.</w:t>
      </w:r>
    </w:p>
    <w:p>
      <w:pPr>
        <w:numPr>
          <w:ilvl w:val="0"/>
          <w:numId w:val="1053"/>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applies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applies to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apply the avoidance mechanisms of ISO/IEC 24772-1:2024, 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Pr>
      <w:r>
        <w:t xml:space="preserve">read from;</w:t>
      </w:r>
    </w:p>
    <w:p>
      <w:pPr>
        <w:numPr>
          <w:ilvl w:val="1"/>
          <w:numId w:val="1058"/>
        </w:numPr>
      </w:pPr>
      <w:r>
        <w:t xml:space="preserve">only modified once; or</w:t>
      </w:r>
    </w:p>
    <w:p>
      <w:pPr>
        <w:numPr>
          <w:ilvl w:val="1"/>
          <w:numId w:val="1058"/>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applies to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applies to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24772-1:2024,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applies to C++.</w:t>
      </w:r>
    </w:p>
    <w:p>
      <w:pPr>
        <w:pStyle w:val="BodyText"/>
      </w:pPr>
      <w:r>
        <w:t xml:space="preserve">C++ lacks a keyword to be used as an explicit terminator. Therefore, it</w:t>
      </w:r>
      <w:r>
        <w:t xml:space="preserve"> </w:t>
      </w:r>
      <w:r>
        <w:t xml:space="preserve">is often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 and</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appolies to C++.</w:t>
      </w:r>
    </w:p>
    <w:p>
      <w:pPr>
        <w:pStyle w:val="BodyText"/>
      </w:pPr>
      <w:r>
        <w:t xml:space="preserve">C++ permits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6.29.5;</w:t>
      </w:r>
    </w:p>
    <w:p>
      <w:pPr>
        <w:numPr>
          <w:ilvl w:val="0"/>
          <w:numId w:val="1065"/>
        </w:numPr>
      </w:pPr>
      <w:r>
        <w:t xml:space="preserve">do not modify a loop control variable within a loop;</w:t>
      </w:r>
    </w:p>
    <w:p>
      <w:pPr>
        <w:numPr>
          <w:ilvl w:val="0"/>
          <w:numId w:val="1065"/>
        </w:numPr>
      </w:pPr>
      <w:r>
        <w:t xml:space="preserve">use a range-for loop in preference to general loops; and</w:t>
      </w:r>
    </w:p>
    <w:p>
      <w:pPr>
        <w:numPr>
          <w:ilvl w:val="0"/>
          <w:numId w:val="1065"/>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applies to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6.30.5;</w:t>
      </w:r>
    </w:p>
    <w:p>
      <w:pPr>
        <w:numPr>
          <w:ilvl w:val="0"/>
          <w:numId w:val="1067"/>
        </w:numPr>
      </w:pPr>
      <w:r>
        <w:t xml:space="preserve">Use careful programming, testing of border conditions, and static</w:t>
      </w:r>
      <w:r>
        <w:t xml:space="preserve"> </w:t>
      </w:r>
      <w:r>
        <w:t xml:space="preserve">analysis tools to detect off-by-one errors in C++; and</w:t>
      </w:r>
    </w:p>
    <w:p>
      <w:pPr>
        <w:numPr>
          <w:ilvl w:val="0"/>
          <w:numId w:val="1067"/>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becoming</w:t>
      </w:r>
      <w:r>
        <w:t xml:space="preserve"> </w:t>
      </w:r>
      <w:r>
        <w:t xml:space="preserve">unstructured.</w:t>
      </w:r>
    </w:p>
    <w:p>
      <w:pPr>
        <w:pStyle w:val="BodyText"/>
      </w:pPr>
      <w:r>
        <w:t xml:space="preserve">Because unstructured code can be problematic for analyzers, both</w:t>
      </w:r>
      <w:r>
        <w:t xml:space="preserve"> </w:t>
      </w:r>
      <w:r>
        <w:t xml:space="preserve">automated and human, errors in the code can remain undetected.</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can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24772-1:2024,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 and 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vulnerabilities documented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applies to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24772-1:2024, 6.36.5;</w:t>
      </w:r>
    </w:p>
    <w:p>
      <w:pPr>
        <w:numPr>
          <w:ilvl w:val="0"/>
          <w:numId w:val="1077"/>
        </w:numPr>
      </w:pPr>
      <w:r>
        <w:t xml:space="preserve">develop an error management strategy, including error-detection, error-reporting and error-handling, 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24772-3:2020,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 and</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8"/>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 applies to</w:t>
      </w:r>
      <w:r>
        <w:t xml:space="preserve"> </w:t>
      </w:r>
      <w:r>
        <w:t xml:space="preserve">C++ and only arises in C++ when there is a mismatch between</w:t>
      </w:r>
      <w:r>
        <w:t xml:space="preserve"> </w:t>
      </w:r>
      <w:r>
        <w:t xml:space="preserve">a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mechanisms of ISO/IEC 24772-1:2024, 6.38.5;</w:t>
      </w:r>
    </w:p>
    <w:p>
      <w:pPr>
        <w:numPr>
          <w:ilvl w:val="0"/>
          <w:numId w:val="1079"/>
        </w:numPr>
        <w:pStyle w:val="Compact"/>
      </w:pPr>
      <w:r>
        <w:t xml:space="preserve">use and create value types;</w:t>
      </w:r>
    </w:p>
    <w:p>
      <w:pPr>
        <w:numPr>
          <w:ilvl w:val="0"/>
          <w:numId w:val="1079"/>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9"/>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9"/>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Style w:val="Compact"/>
      </w:pPr>
      <w:r>
        <w:t xml:space="preserve">apply the avoidance mechanism of ISO/IEC 24772-1:2024, 6.39.5;</w:t>
      </w:r>
    </w:p>
    <w:p>
      <w:pPr>
        <w:numPr>
          <w:ilvl w:val="0"/>
          <w:numId w:val="1080"/>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80"/>
        </w:numPr>
        <w:pStyle w:val="Compact"/>
      </w:pPr>
      <w:r>
        <w:t xml:space="preserve">avoid mixing C-based functions and C++ memory management functions;</w:t>
      </w:r>
    </w:p>
    <w:p>
      <w:pPr>
        <w:numPr>
          <w:ilvl w:val="0"/>
          <w:numId w:val="1080"/>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Style w:val="Compact"/>
      </w:pPr>
      <w:r>
        <w:t xml:space="preserve">prefer containers standard library containers over other forms of memory management;</w:t>
      </w:r>
    </w:p>
    <w:p>
      <w:pPr>
        <w:numPr>
          <w:ilvl w:val="0"/>
          <w:numId w:val="1080"/>
        </w:numPr>
        <w:pStyle w:val="Compact"/>
      </w:pPr>
      <w:r>
        <w:t xml:space="preserve">use smart pointers and their factory functions to allocate and manage heap memory.</w:t>
      </w:r>
    </w:p>
    <w:p>
      <w:pPr>
        <w:numPr>
          <w:ilvl w:val="0"/>
          <w:numId w:val="1080"/>
        </w:numPr>
        <w:pStyle w:val="Compact"/>
      </w:pPr>
      <w:r>
        <w:t xml:space="preserve">for heap fragmentation issues, use special memory resource objects with appropriate allocation strategies;</w:t>
      </w:r>
    </w:p>
    <w:p>
      <w:pPr>
        <w:numPr>
          <w:ilvl w:val="0"/>
          <w:numId w:val="1080"/>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80"/>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 by the language mechanism of templates.</w:t>
      </w:r>
      <w:r>
        <w:t xml:space="preserve"> </w:t>
      </w:r>
      <w:r>
        <w:t xml:space="preserve">While templates are a pure compile-time mechanism, their use can result in programmer confusion because of the potentially deeply-nested nature or template instantiation.</w:t>
      </w:r>
      <w:r>
        <w:t xml:space="preserve"> </w:t>
      </w:r>
      <w:r>
        <w:t xml:space="preserve">Actual errors during instantiation will fail to compile.</w:t>
      </w:r>
      <w:r>
        <w:t xml:space="preserve"> </w:t>
      </w:r>
      <w:r>
        <w:t xml:space="preserve">Confusion can occur when programmer mistakes lead to successful compilation but their intent is not met due to misunderstanding of the language rules.</w:t>
      </w:r>
    </w:p>
    <w:p>
      <w:pPr>
        <w:pStyle w:val="BodyText"/>
      </w:pPr>
      <w:r>
        <w:t xml:space="preserve">Similar to 6.21 Namespace Issues [</w:t>
      </w:r>
      <w:hyperlink w:anchor="BJL">
        <w:r>
          <w:rPr>
            <w:rStyle w:val="Hyperlink"/>
          </w:rPr>
          <w:t xml:space="preserve">BJL</w:t>
        </w:r>
      </w:hyperlink>
      <w:r>
        <w:t xml:space="preserve">], adding a template specialization later can cause uses of the base template to pick up this new specialization.</w:t>
      </w:r>
      <w:r>
        <w:t xml:space="preserve"> </w:t>
      </w:r>
      <w:r>
        <w:t xml:space="preserve">As long as no ambiguity occurs and the new specialization is a better match it will change the behaviour of existing code that previously instantiated the base template or a different specialization.</w:t>
      </w:r>
      <w:r>
        <w:t xml:space="preserve"> </w:t>
      </w:r>
      <w:r>
        <w:t xml:space="preserve">If different translation units happen to use a template with different set of specialization declarations the mechanism might lead to different instantiations of the same template with the same arguments.</w:t>
      </w:r>
      <w:r>
        <w:t xml:space="preserve"> </w:t>
      </w:r>
      <w:r>
        <w:t xml:space="preserve">This results in an ODR violation and is undefined behaviour (see 6.56 [</w:t>
      </w:r>
      <w:hyperlink w:anchor="EWF">
        <w:r>
          <w:rPr>
            <w:rStyle w:val="Hyperlink"/>
          </w:rPr>
          <w:t xml:space="preserve">EWF</w:t>
        </w:r>
      </w:hyperlink>
      <w:r>
        <w:t xml:space="preserve">]).</w:t>
      </w:r>
      <w:r>
        <w:t xml:space="preserve"> </w:t>
      </w:r>
      <w:r>
        <w:t xml:space="preserve">A common mitigation is to put all specializations of a template in the same file or module as the base template declaration, or alternatively a specialization of a template together with the definition of the user-defined entity for which it is specialised.</w:t>
      </w:r>
    </w:p>
    <w:p>
      <w:pPr>
        <w:pStyle w:val="BodyText"/>
      </w:pPr>
      <w:r>
        <w:t xml:space="preserve">Due to the two phase compilation model of templates, name lookup can be surprising in class templates with dependent base classes.</w:t>
      </w:r>
      <w:r>
        <w:t xml:space="preserve"> </w:t>
      </w:r>
      <w:r>
        <w:t xml:space="preserve">An unqualified name used in the derived class that is defined in the base will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name qualification either as</w:t>
      </w:r>
      <w:r>
        <w:t xml:space="preserve"> </w:t>
      </w:r>
      <w:r>
        <w:rPr>
          <w:rStyle w:val="KeywordTok"/>
        </w:rPr>
        <w:t xml:space="preserve">this</w:t>
      </w:r>
      <w:r>
        <w:rPr>
          <w:rStyle w:val="NormalTok"/>
        </w:rPr>
        <w:t xml:space="preserve">-&gt;foo</w:t>
      </w:r>
      <w:r>
        <w:t xml:space="preserve"> </w:t>
      </w:r>
      <w:r>
        <w:t xml:space="preserve">or</w:t>
      </w:r>
      <w:r>
        <w:t xml:space="preserve"> </w:t>
      </w:r>
      <w:r>
        <w:rPr>
          <w:rStyle w:val="NormalTok"/>
        </w:rPr>
        <w:t xml:space="preserve">d::foo</w:t>
      </w:r>
      <w:r>
        <w:t xml:space="preserve"> </w:t>
      </w:r>
      <w:r>
        <w:t xml:space="preserve">would refer to the member of the base class and avoid the name lookup confusion.</w:t>
      </w:r>
    </w:p>
    <w:p>
      <w:pPr>
        <w:pStyle w:val="BodyText"/>
      </w:pPr>
      <w:r>
        <w:t xml:space="preserve">Function template specialization is syntactically possible, but doesn’t affect overload resolution.</w:t>
      </w:r>
      <w:r>
        <w:t xml:space="preserve"> </w:t>
      </w:r>
      <w:r>
        <w:t xml:space="preserve">Overloading is the mechanism to select special-cases for functions based on their parameter types.</w:t>
      </w:r>
    </w:p>
    <w:p>
      <w:pPr>
        <w:pStyle w:val="BodyText"/>
      </w:pPr>
      <w:r>
        <w:t xml:space="preserve">Generic parameters allow a mechanism to prevent accidental implicit type conversions applied by the compiler (see 6.06 [</w:t>
      </w:r>
      <w:hyperlink w:anchor="FLC">
        <w:r>
          <w:rPr>
            <w:rStyle w:val="Hyperlink"/>
          </w:rPr>
          <w:t xml:space="preserve">FLC</w:t>
        </w:r>
      </w:hyperlink>
      <w:r>
        <w:t xml:space="preserve">]).</w:t>
      </w:r>
      <w:r>
        <w:t xml:space="preserve"> </w:t>
      </w:r>
      <w:r>
        <w:t xml:space="preserve">See the following example, where the function taking an</w:t>
      </w:r>
      <w:r>
        <w:t xml:space="preserve"> </w:t>
      </w:r>
      <w:r>
        <w:rPr>
          <w:rStyle w:val="DataTypeTok"/>
        </w:rPr>
        <w:t xml:space="preserve">int</w:t>
      </w:r>
      <w:r>
        <w:t xml:space="preserve"> </w:t>
      </w:r>
      <w:r>
        <w:t xml:space="preserve">could be called with almost any built-in type, because of implicit conversions to</w:t>
      </w:r>
      <w:r>
        <w:t xml:space="preserve"> </w:t>
      </w:r>
      <w:r>
        <w:rPr>
          <w:rStyle w:val="DataTypeTok"/>
        </w:rPr>
        <w:t xml:space="preserve">int</w:t>
      </w:r>
      <w:r>
        <w:t xml:space="preserve">.</w:t>
      </w:r>
      <w:r>
        <w:t xml:space="preserve"> </w:t>
      </w:r>
      <w:r>
        <w:t xml:space="preserve">Adding a generic overload will be a better match instead.</w:t>
      </w:r>
    </w:p>
    <w:p>
      <w:pPr>
        <w:pStyle w:val="SourceCode"/>
      </w:pPr>
      <w:r>
        <w:rPr>
          <w:rStyle w:val="DataTypeTok"/>
        </w:rPr>
        <w:t xml:space="preserve">void</w:t>
      </w:r>
      <w:r>
        <w:rPr>
          <w:rStyle w:val="NormalTok"/>
        </w:rPr>
        <w:t xml:space="preserve"> doit(</w:t>
      </w:r>
      <w:r>
        <w:rPr>
          <w:rStyle w:val="KeywordTok"/>
        </w:rPr>
        <w:t xml:space="preserve">auto</w:t>
      </w:r>
      <w:r>
        <w:rPr>
          <w:rStyle w:val="NormalTok"/>
        </w:rPr>
        <w:t xml:space="preserve"> x)=</w:t>
      </w:r>
      <w:r>
        <w:rPr>
          <w:rStyle w:val="KeywordTok"/>
        </w:rPr>
        <w:t xml:space="preserve">delete</w:t>
      </w:r>
      <w:r>
        <w:rPr>
          <w:rStyle w:val="NormalTok"/>
        </w:rPr>
        <w:t xml:space="preserve">; </w:t>
      </w:r>
      <w:r>
        <w:rPr>
          <w:rStyle w:val="CommentTok"/>
        </w:rPr>
        <w:t xml:space="preserve">// #1</w:t>
      </w:r>
      <w:r>
        <w:br/>
      </w:r>
      <w:r>
        <w:rPr>
          <w:rStyle w:val="DataTypeTok"/>
        </w:rPr>
        <w:t xml:space="preserve">void</w:t>
      </w:r>
      <w:r>
        <w:rPr>
          <w:rStyle w:val="NormalTok"/>
        </w:rPr>
        <w:t xml:space="preserve"> doit(</w:t>
      </w:r>
      <w:r>
        <w:rPr>
          <w:rStyle w:val="DataTypeTok"/>
        </w:rPr>
        <w:t xml:space="preserve">int</w:t>
      </w:r>
      <w:r>
        <w:rPr>
          <w:rStyle w:val="NormalTok"/>
        </w:rPr>
        <w:t xml:space="preserve"> i) { </w:t>
      </w:r>
      <w:r>
        <w:rPr>
          <w:rStyle w:val="CommentTok"/>
        </w:rPr>
        <w:t xml:space="preserve">/* only int */</w:t>
      </w:r>
      <w:r>
        <w:rPr>
          <w:rStyle w:val="NormalTok"/>
        </w:rPr>
        <w:t xml:space="preserve"> }</w:t>
      </w:r>
      <w:r>
        <w:br/>
      </w:r>
      <w:r>
        <w:br/>
      </w:r>
      <w:r>
        <w:rPr>
          <w:rStyle w:val="NormalTok"/>
        </w:rPr>
        <w:t xml:space="preserve">doit(</w:t>
      </w:r>
      <w:r>
        <w:rPr>
          <w:rStyle w:val="DecValTok"/>
        </w:rPr>
        <w:t xml:space="preserve">42</w:t>
      </w:r>
      <w:r>
        <w:rPr>
          <w:rStyle w:val="NormalTok"/>
        </w:rPr>
        <w:t xml:space="preserve">); </w:t>
      </w:r>
      <w:r>
        <w:rPr>
          <w:rStyle w:val="CommentTok"/>
        </w:rPr>
        <w:t xml:space="preserve">// compiles</w:t>
      </w:r>
      <w:r>
        <w:br/>
      </w:r>
      <w:r>
        <w:rPr>
          <w:rStyle w:val="NormalTok"/>
        </w:rPr>
        <w:t xml:space="preserve">doit(</w:t>
      </w:r>
      <w:r>
        <w:rPr>
          <w:rStyle w:val="KeywordTok"/>
        </w:rPr>
        <w:t xml:space="preserve">true</w:t>
      </w:r>
      <w:r>
        <w:rPr>
          <w:rStyle w:val="NormalTok"/>
        </w:rPr>
        <w:t xml:space="preserve">); </w:t>
      </w:r>
      <w:r>
        <w:rPr>
          <w:rStyle w:val="CommentTok"/>
        </w:rPr>
        <w:t xml:space="preserve">// compile error with generic overload #1</w:t>
      </w:r>
    </w:p>
    <w:p>
      <w:pPr>
        <w:pStyle w:val="FirstParagraph"/>
      </w:pPr>
      <w:r>
        <w:t xml:space="preserve">Alternatively, implicit conversions can be disabled through a generic parameter with the concept</w:t>
      </w:r>
      <w:r>
        <w:t xml:space="preserve"> </w:t>
      </w:r>
      <w:r>
        <w:rPr>
          <w:rStyle w:val="VerbatimChar"/>
        </w:rPr>
        <w:t xml:space="preserve">std::same_as</w:t>
      </w:r>
      <w:r>
        <w:t xml:space="preserve">.</w:t>
      </w:r>
    </w:p>
    <w:p>
      <w:pPr>
        <w:pStyle w:val="SourceCode"/>
      </w:pPr>
      <w:r>
        <w:rPr>
          <w:rStyle w:val="DataTypeTok"/>
        </w:rPr>
        <w:t xml:space="preserve">void</w:t>
      </w:r>
      <w:r>
        <w:rPr>
          <w:rStyle w:val="NormalTok"/>
        </w:rPr>
        <w:t xml:space="preserve"> doit(</w:t>
      </w:r>
      <w:r>
        <w:rPr>
          <w:rStyle w:val="BuiltInTok"/>
        </w:rPr>
        <w:t xml:space="preserve">std::</w:t>
      </w:r>
      <w:r>
        <w:rPr>
          <w:rStyle w:val="NormalTok"/>
        </w:rPr>
        <w:t xml:space="preserve">same_as&lt;</w:t>
      </w:r>
      <w:r>
        <w:rPr>
          <w:rStyle w:val="DataTypeTok"/>
        </w:rPr>
        <w:t xml:space="preserve">int</w:t>
      </w:r>
      <w:r>
        <w:rPr>
          <w:rStyle w:val="NormalTok"/>
        </w:rPr>
        <w:t xml:space="preserve">&gt; </w:t>
      </w:r>
      <w:r>
        <w:rPr>
          <w:rStyle w:val="KeywordTok"/>
        </w:rPr>
        <w:t xml:space="preserve">auto</w:t>
      </w:r>
      <w:r>
        <w:rPr>
          <w:rStyle w:val="NormalTok"/>
        </w:rPr>
        <w:t xml:space="preserve"> i){}</w:t>
      </w:r>
    </w:p>
    <w:p>
      <w:pPr>
        <w:pStyle w:val="FirstParagraph"/>
      </w:pPr>
      <w:r>
        <w:t xml:space="preserve">Employing</w:t>
      </w:r>
      <w:r>
        <w:t xml:space="preserve"> </w:t>
      </w:r>
      <w:r>
        <w:rPr>
          <w:rStyle w:val="VerbatimChar"/>
        </w:rPr>
        <w:t xml:space="preserve">static_assert</w:t>
      </w:r>
      <w:r>
        <w:t xml:space="preserve"> </w:t>
      </w:r>
      <w:r>
        <w:t xml:space="preserve">with a condition checking the appropriateness of a template parameter in a template body will cause a compile error if the condition is false.</w:t>
      </w:r>
      <w:r>
        <w:t xml:space="preserve"> </w:t>
      </w:r>
      <w:r>
        <w:t xml:space="preserve">Alternatively, one can use</w:t>
      </w:r>
      <w:r>
        <w:t xml:space="preserve"> </w:t>
      </w:r>
      <w:r>
        <w:rPr>
          <w:i/>
        </w:rPr>
        <w:t xml:space="preserve">concepts</w:t>
      </w:r>
      <w:r>
        <w:t xml:space="preserve"> </w:t>
      </w:r>
      <w:r>
        <w:t xml:space="preserve">to limit template instantiations so that alternative specializations or overloads can to be considered.</w:t>
      </w:r>
    </w:p>
    <w:p>
      <w:pPr>
        <w:pStyle w:val="BodyText"/>
      </w:pPr>
      <w:r>
        <w:t xml:space="preserve">In class templates a generic constructor or assignment operator never matches the compiler-provided definitions of copy or move operations.</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document the implicit concept of each template parameter.</w:t>
      </w:r>
    </w:p>
    <w:p>
      <w:pPr>
        <w:numPr>
          <w:ilvl w:val="0"/>
          <w:numId w:val="1081"/>
        </w:numPr>
      </w:pPr>
      <w:r>
        <w:t xml:space="preserve">use</w:t>
      </w:r>
      <w:r>
        <w:t xml:space="preserve"> </w:t>
      </w:r>
      <w:r>
        <w:rPr>
          <w:rStyle w:val="VerbatimChar"/>
        </w:rPr>
        <w:t xml:space="preserve">static_assert</w:t>
      </w:r>
      <w:r>
        <w:t xml:space="preserve"> </w:t>
      </w:r>
      <w:r>
        <w:t xml:space="preserve">to prevent instantiation of a template with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for achieving template selection via</w:t>
      </w:r>
      <w:r>
        <w:t xml:space="preserve"> </w:t>
      </w:r>
      <w:r>
        <w:rPr>
          <w:i/>
        </w:rPr>
        <w:t xml:space="preserve">SFINAE</w:t>
      </w:r>
      <w:r>
        <w:t xml:space="preserve"> </w:t>
      </w:r>
      <w:r>
        <w:t xml:space="preserve">over legacy mechanisms such as</w:t>
      </w:r>
      <w:r>
        <w:t xml:space="preserve"> </w:t>
      </w:r>
      <w:r>
        <w:rPr>
          <w:rStyle w:val="BuiltInTok"/>
        </w:rPr>
        <w:t xml:space="preserve">std::</w:t>
      </w:r>
      <w:r>
        <w:rPr>
          <w:rStyle w:val="NormalTok"/>
        </w:rPr>
        <w:t xml:space="preserve">enable_if_t</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use name qualification for names that may be found in a dependent base class;</w:t>
      </w:r>
    </w:p>
    <w:p>
      <w:pPr>
        <w:numPr>
          <w:ilvl w:val="0"/>
          <w:numId w:val="1081"/>
        </w:numPr>
      </w:pPr>
      <w:r>
        <w:t xml:space="preserve">for template specialization definitions, ensure that specializations are declared as follows:</w:t>
      </w:r>
    </w:p>
    <w:p>
      <w:pPr>
        <w:numPr>
          <w:ilvl w:val="1"/>
          <w:numId w:val="1082"/>
        </w:numPr>
      </w:pPr>
      <w:r>
        <w:t xml:space="preserve">in the same file or module as the primary template; or</w:t>
      </w:r>
    </w:p>
    <w:p>
      <w:pPr>
        <w:numPr>
          <w:ilvl w:val="1"/>
          <w:numId w:val="1082"/>
        </w:numPr>
      </w:pPr>
      <w:r>
        <w:t xml:space="preserve">in the same file or module as the user-defined type for which the</w:t>
      </w:r>
      <w:r>
        <w:t xml:space="preserve"> </w:t>
      </w:r>
      <w:r>
        <w:t xml:space="preserve">specialization is declared.</w:t>
      </w:r>
    </w:p>
    <w:p>
      <w:pPr>
        <w:numPr>
          <w:ilvl w:val="0"/>
          <w:numId w:val="1081"/>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applies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documented in ISO/IEC 24772-1:2024, 6.44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FirstParagraph"/>
      </w:pPr>
      <w:r>
        <w:t xml:space="preserve">In addition, developers should be aware that virtual member functions can be overridden in derived classes, even if they are private.</w:t>
      </w:r>
    </w:p>
    <w:p>
      <w:pPr>
        <w:pStyle w:val="BodyText"/>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can</w:t>
      </w:r>
      <w:r>
        <w:t xml:space="preserve"> </w:t>
      </w:r>
      <w:r>
        <w:t xml:space="preserve">make assumptions about parameters. For example, it can be assumed by a</w:t>
      </w:r>
      <w:r>
        <w:t xml:space="preserve"> </w:t>
      </w:r>
      <w:r>
        <w:t xml:space="preserve">library that a parameter is non-zero so division by that parameter is</w:t>
      </w:r>
      <w:r>
        <w:t xml:space="preserve"> </w:t>
      </w:r>
      <w:r>
        <w:t xml:space="preserve">performed without checking the value. It can also be the case that some validation is</w:t>
      </w:r>
      <w:r>
        <w:t xml:space="preserve"> </w:t>
      </w:r>
      <w:r>
        <w:t xml:space="preserve">performed by the calling function, but the library uses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can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documented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as documented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TR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documented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w:t>
      </w:r>
    </w:p>
    <w:p>
      <w:pPr>
        <w:numPr>
          <w:ilvl w:val="0"/>
          <w:numId w:val="1098"/>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applies to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6.36.2 for catching and handling 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documented in ISO/IEC 24772-1:2024,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documented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documented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documented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documented in ISO/IEC 24772-1:2024, 6.55 and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w:t>
      </w:r>
      <w:r>
        <w:t xml:space="preserve"> </w:t>
      </w:r>
      <w:r>
        <w:t xml:space="preserve">See ISO/IEC 14882:2023, 4.7.1 for documentation on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that documents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The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ISO/IEC 14882, 4.7.3. uses the term</w:t>
      </w:r>
      <w:r>
        <w:t xml:space="preserve"> </w:t>
      </w:r>
      <w:r>
        <w:t xml:space="preserve">“</w:t>
      </w:r>
      <w:r>
        <w:t xml:space="preserve">implementation-defined</w:t>
      </w:r>
      <w:r>
        <w:t xml:space="preserve">”</w:t>
      </w:r>
      <w:r>
        <w:t xml:space="preserve"> </w:t>
      </w:r>
      <w:r>
        <w:t xml:space="preserve">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can change or remove an implementation-defined behaviour; and</w:t>
      </w:r>
    </w:p>
    <w:p>
      <w:pPr>
        <w:numPr>
          <w:ilvl w:val="0"/>
          <w:numId w:val="1105"/>
        </w:numPr>
      </w:pPr>
      <w:r>
        <w:t xml:space="preserve">Programs that are specifically intended for a particular implementation can be ported to another environment or sections reused for future implementations.</w:t>
      </w:r>
    </w:p>
    <w:p>
      <w:pPr>
        <w:pStyle w:val="FirstParagraph"/>
      </w:pPr>
      <w:r>
        <w:t xml:space="preserve">In either situation, the implementation-defined behaviour is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documented in ISO IEC 24772-1:2024, 6.58 applies</w:t>
      </w:r>
      <w:r>
        <w:t xml:space="preserve"> </w:t>
      </w:r>
      <w:r>
        <w:t xml:space="preserve">to C++. ISO/IEC 14882:2024, Appendix D enumerates the deprecated features.</w:t>
      </w:r>
      <w:r>
        <w:t xml:space="preserve"> </w:t>
      </w:r>
      <w:r>
        <w:t xml:space="preserve">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a mechanism to terminate a C++ thread asynchronously, except in the case that std::terminate() is called., which terminates the complete program.</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can ignore the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 6.60.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The vulnerability as documented in ISO/IEC 24772-1:2024, 6.61 applies to C++ threads.</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p>
    <w:p>
      <w:pPr>
        <w:pStyle w:val="BodyText"/>
      </w:pPr>
      <w:r>
        <w:t xml:space="preserve">C++ provides atomic types, mutual exclusion primitives and higher-level synchronization mechanisms in the standard library to prevent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rPr>
          <w:b/>
        </w:rPr>
        <w:t xml:space="preserve">NOTE: The above sentence needs explanation or rewrite.</w:t>
      </w:r>
    </w:p>
    <w:p>
      <w:pPr>
        <w:pStyle w:val="BodyText"/>
      </w:pPr>
      <w:r>
        <w:t xml:space="preserve">C++ programs that used multiple threads before the C++11 standard can employ volatile variables to guarantee race free data access.</w:t>
      </w:r>
      <w:r>
        <w:t xml:space="preserve"> </w:t>
      </w:r>
      <w:r>
        <w:t xml:space="preserve">This practice is not sanctioned by current standard as</w:t>
      </w:r>
      <w:r>
        <w:t xml:space="preserve"> </w:t>
      </w:r>
      <w:r>
        <w:rPr>
          <w:rStyle w:val="AttributeTok"/>
        </w:rPr>
        <w:t xml:space="preserve">volatile</w:t>
      </w:r>
      <w:r>
        <w:t xml:space="preserve"> </w:t>
      </w:r>
      <w:r>
        <w:t xml:space="preserve">is not permitted 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C++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documented in ISO/IEC TR 24772-3:2020, apply.</w:t>
      </w:r>
    </w:p>
    <w:p>
      <w:pPr>
        <w:pStyle w:val="BodyText"/>
      </w:pPr>
      <w:r>
        <w:rPr>
          <w:b/>
        </w:rPr>
        <w:t xml:space="preserve">C++ standard threads</w:t>
      </w:r>
    </w:p>
    <w:p>
      <w:pPr>
        <w:pStyle w:val="BodyText"/>
      </w:pPr>
      <w:r>
        <w:t xml:space="preserve">Within C++ standard thread concurrency, the vulnerability as specified in ISO/IEC 24772-1:2024,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 [OYB]</w:t>
      </w:r>
      <w:r>
        <w:t xml:space="preserve"> </w:t>
      </w:r>
      <w:r>
        <w:t xml:space="preserve">If non-standard C++ concurrency is used, the vulnerability and avoidance mechanisms are as specified in ISO/IEC 24772-1:2024 and ISO/IEC TR 24772-3:2021.</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p>
      <w:pPr>
        <w:numPr>
          <w:ilvl w:val="0"/>
          <w:numId w:val="1111"/>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6.64 applies to C++.</w:t>
      </w:r>
    </w:p>
    <w:p>
      <w:pPr>
        <w:pStyle w:val="BodyText"/>
      </w:pPr>
      <w:r>
        <w:t xml:space="preserve">C++ inherits the C libraries which provide a large family of input and</w:t>
      </w:r>
      <w:r>
        <w:t xml:space="preserve"> </w:t>
      </w:r>
      <w:r>
        <w:t xml:space="preserve">output functions that each use a control string to interpret the data read</w:t>
      </w:r>
      <w:r>
        <w:t xml:space="preserve"> </w:t>
      </w:r>
      <w:r>
        <w:t xml:space="preserve">or to format the output. These strings include all the feature described</w:t>
      </w:r>
      <w:r>
        <w:t xml:space="preserve"> </w:t>
      </w:r>
      <w:r>
        <w:t xml:space="preserve">in ISO/IEC 24772-1:2024,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applies to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2026-09-28T16:25:32Z</dcterms:created>
  <dcterms:modified xsi:type="dcterms:W3CDTF">2026-09-28T16:25:32Z</dcterms:modified>
</cp:coreProperties>
</file>

<file path=docProps/custom.xml><?xml version="1.0" encoding="utf-8"?>
<Properties xmlns="http://schemas.openxmlformats.org/officeDocument/2006/custom-properties" xmlns:vt="http://schemas.openxmlformats.org/officeDocument/2006/docPropsVTypes"/>
</file>