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Use static analysis tools to ensure the correctness of function signatures across multilanguage interfaces.</w:t>
      </w:r>
    </w:p>
    <w:p>
      <w:pPr>
        <w:numPr>
          <w:ilvl w:val="0"/>
          <w:numId w:val="1098"/>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 6.48.5 and ISO/IEC 24772-3 6.48.2.</w:t>
      </w:r>
    </w:p>
    <w:p>
      <w:pPr>
        <w:numPr>
          <w:ilvl w:val="0"/>
          <w:numId w:val="1099"/>
        </w:numPr>
        <w:pStyle w:val="Compact"/>
      </w:pPr>
      <w:r>
        <w:t xml:space="preserve">Apply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2026-05-11T16:56:35Z</dcterms:created>
  <dcterms:modified xsi:type="dcterms:W3CDTF">2026-05-11T16:56:35Z</dcterms:modified>
</cp:coreProperties>
</file>

<file path=docProps/custom.xml><?xml version="1.0" encoding="utf-8"?>
<Properties xmlns="http://schemas.openxmlformats.org/officeDocument/2006/custom-properties" xmlns:vt="http://schemas.openxmlformats.org/officeDocument/2006/docPropsVTypes"/>
</file>