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and/or use static analysis tools that provide such warnings.</w:t>
      </w:r>
    </w:p>
    <w:p>
      <w:pPr>
        <w:numPr>
          <w:ilvl w:val="0"/>
          <w:numId w:val="1013"/>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On system boundaries, e.g., for input, convert a read value immediately to the appropriate strong type.</w:t>
      </w:r>
    </w:p>
    <w:p>
      <w:pPr>
        <w:numPr>
          <w:ilvl w:val="0"/>
          <w:numId w:val="1013"/>
        </w:numPr>
      </w:pPr>
      <w:r>
        <w:t xml:space="preserve">When defining variables of arithmetic type, use a braced-initializer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Avoid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Follow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2026-01-05T15:03:53Z</dcterms:created>
  <dcterms:modified xsi:type="dcterms:W3CDTF">2026-01-05T15:03:53Z</dcterms:modified>
</cp:coreProperties>
</file>

<file path=docProps/custom.xml><?xml version="1.0" encoding="utf-8"?>
<Properties xmlns="http://schemas.openxmlformats.org/officeDocument/2006/custom-properties" xmlns:vt="http://schemas.openxmlformats.org/officeDocument/2006/docPropsVTypes"/>
</file>