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does not support a direct mapping to machine words. However,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It is advisable to use bit operations only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Follow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documented in TR 24772-3 clause 6.6.1,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 the size of a type, whether or not the type is signed, and possibly other properties of the type.</w:t>
      </w:r>
      <w:r>
        <w:t xml:space="preserve"> </w:t>
      </w:r>
      <w:r>
        <w:t xml:space="preserve">A narrowing conversion is when the target type cannot represent all the values of the original type.</w:t>
      </w:r>
      <w:r>
        <w:t xml:space="preserve"> </w:t>
      </w: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The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 a</w:t>
      </w:r>
      <w:r>
        <w:t xml:space="preserve"> </w:t>
      </w:r>
      <w:r>
        <w:rPr>
          <w:rStyle w:val="KeywordTok"/>
        </w:rPr>
        <w:t xml:space="preserve">reinterpret_cast</w:t>
      </w:r>
      <w:r>
        <w:t xml:space="preserve"> </w:t>
      </w:r>
      <w:r>
        <w:t xml:space="preserve">may be used for the conversion which can produce an incorrect result.</w:t>
      </w:r>
      <w:r>
        <w:t xml:space="preserve"> </w:t>
      </w:r>
      <w:r>
        <w:t xml:space="preserve">If the C-style cast is used instead of one of the C++-style casts, the cast expected by the programmer may not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it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 foo() is called with a boolean.</w:t>
      </w:r>
    </w:p>
    <w:p>
      <w:pPr>
        <w:pStyle w:val="BodyText"/>
      </w:pPr>
      <w:r>
        <w:t xml:space="preserve">Note that this implicit conversion to a class object is the default</w:t>
      </w:r>
      <w:r>
        <w:t xml:space="preserve"> </w:t>
      </w:r>
      <w:r>
        <w:t xml:space="preserve">behaviour of constructors that can be called with a single parameter. The</w:t>
      </w:r>
      <w:r>
        <w:t xml:space="preserve"> </w:t>
      </w:r>
      <w:r>
        <w:rPr>
          <w:rStyle w:val="KeywordTok"/>
        </w:rPr>
        <w:t xml:space="preserve">explicit</w:t>
      </w:r>
      <w:r>
        <w:t xml:space="preserve"> </w:t>
      </w:r>
      <w:r>
        <w:t xml:space="preserve">keyword can be used before the constructor</w:t>
      </w:r>
      <w:r>
        <w:t xml:space="preserve"> </w:t>
      </w:r>
      <w:r>
        <w:t xml:space="preserve">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not be 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sometimes result in data loss or erroneous values. This is an issue with implicit conversions</w:t>
      </w:r>
      <w:r>
        <w:t xml:space="preserve"> </w:t>
      </w:r>
      <w:r>
        <w:t xml:space="preserve">since they are automatic: the programmer does not explicitly write code</w:t>
      </w:r>
      <w:r>
        <w:t xml:space="preserve"> </w:t>
      </w:r>
      <w:r>
        <w:t xml:space="preserve">to do the conversion. 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 is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may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Use the avoidance mechanisms of ISO/IEC 24772-1 clause 6.6.5:</w:t>
      </w:r>
    </w:p>
    <w:p>
      <w:pPr>
        <w:numPr>
          <w:ilvl w:val="0"/>
          <w:numId w:val="1022"/>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Don’t cast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Do not perform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Don’t mix signed and unsigned arithmetic (see C++ Core Guidelines ES100)</w:t>
      </w:r>
    </w:p>
    <w:p>
      <w:pPr>
        <w:numPr>
          <w:ilvl w:val="0"/>
          <w:numId w:val="1022"/>
        </w:numPr>
      </w:pPr>
      <w:r>
        <w:t xml:space="preserve">Don’t rely on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Don’t rely on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w:t>
      </w:r>
      <w:r>
        <w:t xml:space="preserve"> </w:t>
      </w:r>
      <w:r>
        <w:t xml:space="preserve">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w:t>
      </w:r>
      <w:r>
        <w:t xml:space="preserve">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use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which manages the memory of its string and handles termination in order to mitigate against this vulnerability.</w:t>
      </w:r>
    </w:p>
    <w:p>
      <w:pPr>
        <w:numPr>
          <w:ilvl w:val="0"/>
          <w:numId w:val="1024"/>
        </w:numPr>
      </w:pPr>
      <w:r>
        <w:t xml:space="preserve">Don’t use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Pr>
      <w:r>
        <w:t xml:space="preserve">Write accesses to objects in that expression,</w:t>
      </w:r>
    </w:p>
    <w:p>
      <w:pPr>
        <w:numPr>
          <w:ilvl w:val="0"/>
          <w:numId w:val="1055"/>
        </w:numPr>
      </w:pPr>
      <w:r>
        <w:t xml:space="preserve">Reading a volatile object,</w:t>
      </w:r>
    </w:p>
    <w:p>
      <w:pPr>
        <w:numPr>
          <w:ilvl w:val="0"/>
          <w:numId w:val="1055"/>
        </w:numPr>
      </w:pPr>
      <w:r>
        <w:t xml:space="preserve">Calling a library I/O function, and</w:t>
      </w:r>
    </w:p>
    <w:p>
      <w:pPr>
        <w:numPr>
          <w:ilvl w:val="0"/>
          <w:numId w:val="1055"/>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1"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1"/>
    <w:bookmarkStart w:id="112"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59"/>
        </w:numPr>
      </w:pPr>
      <w:r>
        <w:t xml:space="preserve">Simplify expressions to aid in code readability and help future maintainers understand the intent and nuances of the code. For example,</w:t>
      </w:r>
    </w:p>
    <w:p>
      <w:pPr>
        <w:numPr>
          <w:ilvl w:val="1"/>
          <w:numId w:val="1060"/>
        </w:numPr>
        <w:pStyle w:val="Compact"/>
      </w:pPr>
      <w:r>
        <w:t xml:space="preserve">by using parentheses around sub-expressions to limit precedence confusion,</w:t>
      </w:r>
    </w:p>
    <w:p>
      <w:pPr>
        <w:numPr>
          <w:ilvl w:val="1"/>
          <w:numId w:val="1060"/>
        </w:numPr>
        <w:pStyle w:val="Compact"/>
      </w:pPr>
      <w:r>
        <w:t xml:space="preserve">by extracting intermediate results into const variables with a meaningful name, or</w:t>
      </w:r>
    </w:p>
    <w:p>
      <w:pPr>
        <w:numPr>
          <w:ilvl w:val="1"/>
          <w:numId w:val="1060"/>
        </w:numPr>
        <w:pStyle w:val="Compact"/>
      </w:pPr>
      <w:r>
        <w:t xml:space="preserve">by extracting a subexpression into a function with a meaningful name.</w:t>
      </w:r>
    </w:p>
    <w:p>
      <w:pPr>
        <w:numPr>
          <w:ilvl w:val="0"/>
          <w:numId w:val="1059"/>
        </w:numPr>
      </w:pPr>
      <w:r>
        <w:t xml:space="preserve">Avoid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6.26.5.</w:t>
      </w:r>
    </w:p>
    <w:p>
      <w:pPr>
        <w:numPr>
          <w:ilvl w:val="0"/>
          <w:numId w:val="1061"/>
        </w:numPr>
      </w:pPr>
      <w:r>
        <w:t xml:space="preserve">Use IDEs or similar tools that visualize the code that gets selected for the executable program.</w:t>
      </w:r>
    </w:p>
    <w:p>
      <w:pPr>
        <w:numPr>
          <w:ilvl w:val="0"/>
          <w:numId w:val="1061"/>
        </w:numPr>
      </w:pPr>
      <w:r>
        <w:t xml:space="preserve">Use modern version control to manage unused code.</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Use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Use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14882:2020</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Follow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2026-01-19T15:06:27Z</dcterms:created>
  <dcterms:modified xsi:type="dcterms:W3CDTF">2026-01-19T15:06:27Z</dcterms:modified>
</cp:coreProperties>
</file>

<file path=docProps/custom.xml><?xml version="1.0" encoding="utf-8"?>
<Properties xmlns="http://schemas.openxmlformats.org/officeDocument/2006/custom-properties" xmlns:vt="http://schemas.openxmlformats.org/officeDocument/2006/docPropsVTypes"/>
</file>