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1"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An instantiated template follows the same reachability rules as would be followed for the non-template case.</w:t>
      </w:r>
    </w:p>
    <w:p>
      <w:pPr>
        <w:pStyle w:val="BodyText"/>
      </w:pPr>
      <w:r>
        <w:t xml:space="preserve">This clause does not consider:</w:t>
      </w:r>
      <w:r>
        <w:t xml:space="preserve"> </w:t>
      </w:r>
      <w:r>
        <w:t xml:space="preserve">- discarded statements that are intentionally unreachable, e.g., through branches of the `if constexpr’{.cpp} statement.</w:t>
      </w:r>
      <w:r>
        <w:br/>
      </w:r>
      <w:r>
        <w:t xml:space="preserve">- commented out code;</w:t>
      </w:r>
      <w:r>
        <w:t xml:space="preserve"> </w:t>
      </w:r>
      <w:r>
        <w:t xml:space="preserve">- an uninstantiated template;</w:t>
      </w:r>
      <w:r>
        <w:t xml:space="preserve"> </w:t>
      </w:r>
      <w:r>
        <w:t xml:space="preserve">- code excluded using the C++ preprocessor</w:t>
      </w:r>
      <w:r>
        <w:t xml:space="preserve"> </w:t>
      </w:r>
      <w:r>
        <w:t xml:space="preserve">as these do not result in the generation of code.</w:t>
      </w:r>
    </w:p>
    <w:p>
      <w:pPr>
        <w:pStyle w:val="BodyText"/>
      </w:pPr>
      <w:r>
        <w:t xml:space="preserve">C++ provides the</w:t>
      </w:r>
      <w:r>
        <w:t xml:space="preserve"> </w:t>
      </w:r>
      <w:r>
        <w:rPr>
          <w:rStyle w:val="NormalTok"/>
        </w:rPr>
        <w:t xml:space="preserve">= </w:t>
      </w:r>
      <w:r>
        <w:rPr>
          <w:rStyle w:val="KeywordTok"/>
        </w:rPr>
        <w:t xml:space="preserve">delete</w:t>
      </w:r>
      <w:r>
        <w:t xml:space="preserve"> </w:t>
      </w:r>
      <w:r>
        <w:t xml:space="preserve">definition that can be used to mark that a (possibly overloaded) function is intentionally deactivated.</w:t>
      </w:r>
    </w:p>
    <w:p>
      <w:pPr>
        <w:pStyle w:val="SourceCode"/>
      </w:pPr>
      <w:r>
        <w:rPr>
          <w:rStyle w:val="NormalTok"/>
        </w:rPr>
        <w:t xml:space="preserve">   </w:t>
      </w:r>
      <w:r>
        <w:rPr>
          <w:rStyle w:val="BuiltInTok"/>
        </w:rPr>
        <w:t xml:space="preserve">std::</w:t>
      </w:r>
      <w:r>
        <w:rPr>
          <w:rStyle w:val="NormalTok"/>
        </w:rPr>
        <w:t xml:space="preserve">string foo(</w:t>
      </w:r>
      <w:r>
        <w:rPr>
          <w:rStyle w:val="DataTypeTok"/>
        </w:rPr>
        <w:t xml:space="preserve">int</w:t>
      </w:r>
      <w:r>
        <w:rPr>
          <w:rStyle w:val="NormalTok"/>
        </w:rPr>
        <w:t xml:space="preserve">) = </w:t>
      </w:r>
      <w:r>
        <w:rPr>
          <w:rStyle w:val="KeywordTok"/>
        </w:rPr>
        <w:t xml:space="preserve">delete</w:t>
      </w:r>
      <w:r>
        <w:rPr>
          <w:rStyle w:val="NormalTok"/>
        </w:rPr>
        <w:t xml:space="preserve">;</w:t>
      </w:r>
      <w:r>
        <w:br/>
      </w:r>
      <w:r>
        <w:rPr>
          <w:rStyle w:val="NormalTok"/>
        </w:rPr>
        <w:t xml:space="preserve">   </w:t>
      </w:r>
      <w:r>
        <w:rPr>
          <w:rStyle w:val="BuiltInTok"/>
        </w:rPr>
        <w:t xml:space="preserve">std::</w:t>
      </w:r>
      <w:r>
        <w:rPr>
          <w:rStyle w:val="NormalTok"/>
        </w:rPr>
        <w:t xml:space="preserve">string foo(</w:t>
      </w:r>
      <w:r>
        <w:rPr>
          <w:rStyle w:val="DataTypeTok"/>
        </w:rPr>
        <w:t xml:space="preserve">char</w:t>
      </w:r>
      <w:r>
        <w:rPr>
          <w:rStyle w:val="NormalTok"/>
        </w:rPr>
        <w:t xml:space="preserve">);</w:t>
      </w:r>
      <w:r>
        <w:br/>
      </w:r>
      <w:r>
        <w:rPr>
          <w:rStyle w:val="NormalTok"/>
        </w:rPr>
        <w:t xml:space="preserve">   </w:t>
      </w:r>
      <w:r>
        <w:rPr>
          <w:rStyle w:val="KeywordTok"/>
        </w:rPr>
        <w:t xml:space="preserve">auto</w:t>
      </w:r>
      <w:r>
        <w:rPr>
          <w:rStyle w:val="NormalTok"/>
        </w:rPr>
        <w:t xml:space="preserve"> s = foo(</w:t>
      </w:r>
      <w:r>
        <w:rPr>
          <w:rStyle w:val="DecValTok"/>
        </w:rPr>
        <w:t xml:space="preserve">0</w:t>
      </w:r>
      <w:r>
        <w:rPr>
          <w:rStyle w:val="NormalTok"/>
        </w:rPr>
        <w:t xml:space="preserve">); </w:t>
      </w:r>
      <w:r>
        <w:rPr>
          <w:rStyle w:val="CommentTok"/>
        </w:rPr>
        <w:t xml:space="preserve">// compiler error - selected function is deleted.</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OtherTok"/>
        </w:rPr>
        <w:t xml:space="preserve">assert</w:t>
      </w:r>
      <w:r>
        <w:rPr>
          <w:rStyle w:val="NormalTok"/>
        </w:rPr>
        <w:t xml:space="preserve">(</w:t>
      </w:r>
      <w:r>
        <w:rPr>
          <w:rStyle w:val="KeywordTok"/>
        </w:rPr>
        <w:t xml:space="preserve">false</w:t>
      </w:r>
      <w:r>
        <w:rPr>
          <w:rStyle w:val="NormalTok"/>
        </w:rPr>
        <w:t xml:space="preserv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6"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The use of library and compiler-provided checks which will almost always require the explicit enabling the checks.</w:t>
      </w:r>
      <w:r>
        <w:t xml:space="preserve"> </w:t>
      </w:r>
      <w:r>
        <w:t xml:space="preserve">### 6.51.2 Avoidance mechanisms for language users</w:t>
      </w:r>
    </w:p>
    <w:p>
      <w:pPr>
        <w:pStyle w:val="BodyText"/>
      </w:pPr>
      <w:r>
        <w:t xml:space="preserve">To avoid the vulnerability or mitigate its ill effects, C++ software developers can apply the avoidance mechanisms of ISO/IEC 24772-1 clause 6.52.5.</w:t>
      </w:r>
    </w:p>
    <w:bookmarkEnd w:id="195"/>
    <w:bookmarkEnd w:id="196"/>
    <w:bookmarkStart w:id="199" w:name="X2e6df9becdc68c65fdb33865090fafdb8a33550"/>
    <w:p>
      <w:pPr>
        <w:pStyle w:val="Heading2"/>
      </w:pPr>
      <w:r>
        <w:t xml:space="preserve">6.53 Provision of Inherently Unsafe Operations [SKL]</w:t>
      </w:r>
    </w:p>
    <w:bookmarkStart w:id="197"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7"/>
    <w:bookmarkStart w:id="198"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198"/>
    <w:bookmarkEnd w:id="199"/>
    <w:bookmarkStart w:id="202" w:name="BRS"/>
    <w:p>
      <w:pPr>
        <w:pStyle w:val="Heading2"/>
      </w:pPr>
      <w:r>
        <w:t xml:space="preserve">6.54 Obscure Language Features [BRS]</w:t>
      </w:r>
    </w:p>
    <w:bookmarkStart w:id="200"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0"/>
    <w:bookmarkStart w:id="201"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1"/>
    <w:bookmarkEnd w:id="202"/>
    <w:bookmarkStart w:id="205" w:name="unspecified-behaviour-bqf"/>
    <w:p>
      <w:pPr>
        <w:pStyle w:val="Heading2"/>
      </w:pPr>
      <w:r>
        <w:t xml:space="preserve">6.55 Unspecified Behaviour [BQF]</w:t>
      </w:r>
    </w:p>
    <w:bookmarkStart w:id="203"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3"/>
    <w:bookmarkStart w:id="204"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4"/>
    <w:bookmarkEnd w:id="205"/>
    <w:bookmarkStart w:id="208" w:name="EWF"/>
    <w:p>
      <w:pPr>
        <w:pStyle w:val="Heading2"/>
      </w:pPr>
      <w:r>
        <w:t xml:space="preserve">6.56 Undefined Behaviour [EWF]</w:t>
      </w:r>
    </w:p>
    <w:bookmarkStart w:id="206"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6"/>
    <w:bookmarkStart w:id="207"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7"/>
    <w:bookmarkEnd w:id="208"/>
    <w:bookmarkStart w:id="211" w:name="implementation-defined-behaviour-fab"/>
    <w:p>
      <w:pPr>
        <w:pStyle w:val="Heading2"/>
      </w:pPr>
      <w:r>
        <w:t xml:space="preserve">6.57 Implementation-defined Behaviour [FAB]</w:t>
      </w:r>
    </w:p>
    <w:bookmarkStart w:id="209"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09"/>
    <w:bookmarkStart w:id="210"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0"/>
    <w:bookmarkEnd w:id="211"/>
    <w:bookmarkStart w:id="214" w:name="deprecated-language-features-mem"/>
    <w:p>
      <w:pPr>
        <w:pStyle w:val="Heading2"/>
      </w:pPr>
      <w:r>
        <w:t xml:space="preserve">6.58 Deprecated Language Features [MEM]</w:t>
      </w:r>
    </w:p>
    <w:bookmarkStart w:id="212"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2"/>
    <w:bookmarkStart w:id="213"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3"/>
    <w:bookmarkEnd w:id="214"/>
    <w:bookmarkStart w:id="217" w:name="CGA"/>
    <w:p>
      <w:pPr>
        <w:pStyle w:val="Heading2"/>
      </w:pPr>
      <w:r>
        <w:t xml:space="preserve">6.59 Concurrency – Activation [CGA]</w:t>
      </w:r>
    </w:p>
    <w:bookmarkStart w:id="215"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5"/>
    <w:bookmarkStart w:id="216"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6"/>
    <w:bookmarkEnd w:id="217"/>
    <w:bookmarkStart w:id="219" w:name="concurrency-directed-termination-cgt"/>
    <w:p>
      <w:pPr>
        <w:pStyle w:val="Heading2"/>
      </w:pPr>
      <w:r>
        <w:t xml:space="preserve">6.60 Concurrency – Directed termination [CGT]</w:t>
      </w:r>
    </w:p>
    <w:bookmarkStart w:id="218"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8"/>
    <w:bookmarkEnd w:id="219"/>
    <w:bookmarkStart w:id="220"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0"/>
    <w:bookmarkStart w:id="223" w:name="CGX"/>
    <w:p>
      <w:pPr>
        <w:pStyle w:val="Heading2"/>
      </w:pPr>
      <w:r>
        <w:t xml:space="preserve">6.61 Concurrent Data Access [CGX]</w:t>
      </w:r>
    </w:p>
    <w:bookmarkStart w:id="221"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1"/>
    <w:bookmarkStart w:id="222"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2"/>
    <w:bookmarkEnd w:id="223"/>
    <w:bookmarkStart w:id="227" w:name="concurrency-premature-termination-cgs"/>
    <w:p>
      <w:pPr>
        <w:pStyle w:val="Heading2"/>
      </w:pPr>
      <w:r>
        <w:t xml:space="preserve">6.62 Concurrency – Premature Termination [CGS]</w:t>
      </w:r>
    </w:p>
    <w:bookmarkStart w:id="224" w:name="applicability-to-language"/>
    <w:p>
      <w:pPr>
        <w:pStyle w:val="Heading3"/>
      </w:pPr>
      <w:r>
        <w:t xml:space="preserve">6.62.1 Applicability to language</w:t>
      </w:r>
    </w:p>
    <w:bookmarkEnd w:id="224"/>
    <w:bookmarkStart w:id="225"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5"/>
    <w:bookmarkStart w:id="226"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6"/>
    <w:bookmarkEnd w:id="227"/>
    <w:bookmarkStart w:id="230" w:name="uncontrolled-format-string-shl"/>
    <w:p>
      <w:pPr>
        <w:pStyle w:val="Heading2"/>
      </w:pPr>
      <w:r>
        <w:t xml:space="preserve">6.64 Uncontrolled Format String [SHL]</w:t>
      </w:r>
    </w:p>
    <w:bookmarkStart w:id="228"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8"/>
    <w:bookmarkStart w:id="229"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29"/>
    <w:bookmarkEnd w:id="230"/>
    <w:bookmarkEnd w:id="231"/>
    <w:bookmarkStart w:id="236" w:name="UJO"/>
    <w:p>
      <w:pPr>
        <w:pStyle w:val="Heading1"/>
      </w:pPr>
      <w:r>
        <w:t xml:space="preserve">6.65 Modifying constants [UJO]</w:t>
      </w:r>
    </w:p>
    <w:bookmarkStart w:id="234"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2" w:name="EWF"/>
      <w:r>
        <w:t xml:space="preserve">Undefined Behavior [EWF]</w:t>
      </w:r>
      <w:bookmarkEnd w:id="232"/>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3" w:name="FLC"/>
      <w:r>
        <w:t xml:space="preserve">Conversion Errors [FLC]</w:t>
      </w:r>
      <w:bookmarkEnd w:id="233"/>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4"/>
    <w:bookmarkStart w:id="235"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5"/>
    <w:bookmarkEnd w:id="236"/>
    <w:bookmarkStart w:id="237" w:name="language-specific-vulnerabilities-for-c"/>
    <w:p>
      <w:pPr>
        <w:pStyle w:val="Heading1"/>
      </w:pPr>
      <w:r>
        <w:t xml:space="preserve">7. Language specific vulnerabilities for C++</w:t>
      </w:r>
    </w:p>
    <w:p>
      <w:pPr>
        <w:pStyle w:val="FirstParagraph"/>
      </w:pPr>
      <w:r>
        <w:t xml:space="preserve">TBD</w:t>
      </w:r>
    </w:p>
    <w:bookmarkEnd w:id="237"/>
    <w:bookmarkStart w:id="239"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8"/>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39"/>
    <w:bookmarkStart w:id="253"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0"/>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1">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2">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3">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4">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5">
        <w:r>
          <w:rPr>
            <w:rStyle w:val="Hyperlink"/>
          </w:rPr>
          <w:t xml:space="preserve">http://myweb.lmu.edu/dondi/share/pl/type-checking-v02.pdf</w:t>
        </w:r>
      </w:hyperlink>
    </w:p>
    <w:p>
      <w:pPr>
        <w:pStyle w:val="Bibliography1"/>
      </w:pPr>
      <w:r>
        <w:t xml:space="preserve">[32] MISRA Limited. "</w:t>
      </w:r>
      <w:hyperlink r:id="rId246">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7">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8">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49">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0">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1">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2">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3"/>
    <w:bookmarkStart w:id="254" w:name="index"/>
    <w:p>
      <w:pPr>
        <w:pStyle w:val="Heading1"/>
      </w:pPr>
      <w:r>
        <w:t xml:space="preserve">Index</w:t>
      </w:r>
    </w:p>
    <w:p>
      <w:pPr>
        <w:pStyle w:val="Bibliography1"/>
      </w:pPr>
      <w:r>
        <w:t xml:space="preserve">LHS (left-hand side), 22</w:t>
      </w:r>
    </w:p>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49" Target="http://archive.gao.gov/t2pbat6/145960.pdf" TargetMode="External" /><Relationship Type="http://schemas.openxmlformats.org/officeDocument/2006/relationships/hyperlink" Id="rId247" Target="http://cwe.mitre.org/" TargetMode="External" /><Relationship Type="http://schemas.openxmlformats.org/officeDocument/2006/relationships/hyperlink" Id="rId243" Target="http://en.wikisource.org/wiki/Ariane_501_Inquiry_Board_report" TargetMode="External" /><Relationship Type="http://schemas.openxmlformats.org/officeDocument/2006/relationships/hyperlink" Id="rId241" Target="http://esamultimedia.esa.int/docs/esa-x-1819eng.pdf" TargetMode="External" /><Relationship Type="http://schemas.openxmlformats.org/officeDocument/2006/relationships/hyperlink" Id="rId245" Target="http://myweb.lmu.edu/dondi/share/pl/type-checking-v02.pdf" TargetMode="External" /><Relationship Type="http://schemas.openxmlformats.org/officeDocument/2006/relationships/hyperlink" Id="rId252" Target="http://www.adaic.org/docs/95style/95style.pdf" TargetMode="External" /><Relationship Type="http://schemas.openxmlformats.org/officeDocument/2006/relationships/hyperlink" Id="rId244" Target="http://www.cert.org/books/secure-coding" TargetMode="External" /><Relationship Type="http://schemas.openxmlformats.org/officeDocument/2006/relationships/hyperlink" Id="rId242" Target="http://www.embedded.com/1999/9907/9907feat2.htm" TargetMode="External" /><Relationship Type="http://schemas.openxmlformats.org/officeDocument/2006/relationships/hyperlink" Id="rId246" Target="http://www.misra.org.uk/" TargetMode="External" /><Relationship Type="http://schemas.openxmlformats.org/officeDocument/2006/relationships/hyperlink" Id="rId248" Target="http://www.nsc.liu.se/wg25/book" TargetMode="External" /><Relationship Type="http://schemas.openxmlformats.org/officeDocument/2006/relationships/hyperlink" Id="rId250"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1"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49" Target="http://archive.gao.gov/t2pbat6/145960.pdf" TargetMode="External" /><Relationship Type="http://schemas.openxmlformats.org/officeDocument/2006/relationships/hyperlink" Id="rId247" Target="http://cwe.mitre.org/" TargetMode="External" /><Relationship Type="http://schemas.openxmlformats.org/officeDocument/2006/relationships/hyperlink" Id="rId243" Target="http://en.wikisource.org/wiki/Ariane_501_Inquiry_Board_report" TargetMode="External" /><Relationship Type="http://schemas.openxmlformats.org/officeDocument/2006/relationships/hyperlink" Id="rId241" Target="http://esamultimedia.esa.int/docs/esa-x-1819eng.pdf" TargetMode="External" /><Relationship Type="http://schemas.openxmlformats.org/officeDocument/2006/relationships/hyperlink" Id="rId245" Target="http://myweb.lmu.edu/dondi/share/pl/type-checking-v02.pdf" TargetMode="External" /><Relationship Type="http://schemas.openxmlformats.org/officeDocument/2006/relationships/hyperlink" Id="rId252" Target="http://www.adaic.org/docs/95style/95style.pdf" TargetMode="External" /><Relationship Type="http://schemas.openxmlformats.org/officeDocument/2006/relationships/hyperlink" Id="rId244" Target="http://www.cert.org/books/secure-coding" TargetMode="External" /><Relationship Type="http://schemas.openxmlformats.org/officeDocument/2006/relationships/hyperlink" Id="rId242" Target="http://www.embedded.com/1999/9907/9907feat2.htm" TargetMode="External" /><Relationship Type="http://schemas.openxmlformats.org/officeDocument/2006/relationships/hyperlink" Id="rId246" Target="http://www.misra.org.uk/" TargetMode="External" /><Relationship Type="http://schemas.openxmlformats.org/officeDocument/2006/relationships/hyperlink" Id="rId248" Target="http://www.nsc.liu.se/wg25/book" TargetMode="External" /><Relationship Type="http://schemas.openxmlformats.org/officeDocument/2006/relationships/hyperlink" Id="rId250"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1"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2026-03-02T14:51:01Z</dcterms:created>
  <dcterms:modified xsi:type="dcterms:W3CDTF">2026-03-02T14:51:01Z</dcterms:modified>
</cp:coreProperties>
</file>

<file path=docProps/custom.xml><?xml version="1.0" encoding="utf-8"?>
<Properties xmlns="http://schemas.openxmlformats.org/officeDocument/2006/custom-properties" xmlns:vt="http://schemas.openxmlformats.org/officeDocument/2006/docPropsVTypes"/>
</file>