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Use static analysis tools to ensure the correctness of function signatures across multilanguage interfaces.</w:t>
      </w:r>
    </w:p>
    <w:p>
      <w:pPr>
        <w:numPr>
          <w:ilvl w:val="0"/>
          <w:numId w:val="1098"/>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ISO/IEC 24772-1 6.48.5 and ISO/IEC 24772-3 6.48.2.</w:t>
      </w:r>
    </w:p>
    <w:p>
      <w:pPr>
        <w:numPr>
          <w:ilvl w:val="0"/>
          <w:numId w:val="1099"/>
        </w:numPr>
        <w:pStyle w:val="Compact"/>
      </w:pPr>
      <w:r>
        <w:t xml:space="preserve">Apply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6.53.5 and ISO/IEC TR 24772-3 6.53.2.</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2026-05-13T15:21:20Z</dcterms:created>
  <dcterms:modified xsi:type="dcterms:W3CDTF">2026-05-13T15:21:20Z</dcterms:modified>
</cp:coreProperties>
</file>

<file path=docProps/custom.xml><?xml version="1.0" encoding="utf-8"?>
<Properties xmlns="http://schemas.openxmlformats.org/officeDocument/2006/custom-properties" xmlns:vt="http://schemas.openxmlformats.org/officeDocument/2006/docPropsVTypes"/>
</file>