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4" w:name="X4d9250214786b01157a0f16c928f0527361ad20"/>
    <w:p>
      <w:pPr>
        <w:pStyle w:val="Heading1"/>
      </w:pPr>
      <w:r>
        <w:t xml:space="preserve">3. Terms and definitions, symbols and conventions</w:t>
      </w:r>
    </w:p>
    <w:bookmarkStart w:id="23"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3"/>
    <w:bookmarkEnd w:id="24"/>
    <w:bookmarkStart w:id="2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5"/>
    <w:bookmarkStart w:id="2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6"/>
    <w:bookmarkStart w:id="243" w:name="specific-guidance-for-c-vulnerabilities"/>
    <w:p>
      <w:pPr>
        <w:pStyle w:val="Heading1"/>
      </w:pPr>
      <w:r>
        <w:t xml:space="preserve">6. Specific Guidance for C++ Vulnerabilities</w:t>
      </w:r>
    </w:p>
    <w:bookmarkStart w:id="2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7"/>
    <w:bookmarkStart w:id="30" w:name="IHN"/>
    <w:p>
      <w:pPr>
        <w:pStyle w:val="Heading2"/>
      </w:pPr>
      <w:r>
        <w:t xml:space="preserve">6.2 Type System [IHN]</w:t>
      </w:r>
    </w:p>
    <w:bookmarkStart w:id="2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8"/>
    <w:bookmarkStart w:id="29"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29"/>
    <w:bookmarkEnd w:id="30"/>
    <w:bookmarkStart w:id="33" w:name="bit-representations-str"/>
    <w:p>
      <w:pPr>
        <w:pStyle w:val="Heading2"/>
      </w:pPr>
      <w:r>
        <w:t xml:space="preserve">6.3 Bit Representations [STR]</w:t>
      </w:r>
    </w:p>
    <w:bookmarkStart w:id="3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1"/>
    <w:bookmarkStart w:id="32"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2"/>
    <w:bookmarkEnd w:id="33"/>
    <w:bookmarkStart w:id="36" w:name="floating-point-arithmetic-plf"/>
    <w:p>
      <w:pPr>
        <w:pStyle w:val="Heading2"/>
      </w:pPr>
      <w:r>
        <w:t xml:space="preserve">6.4 Floating-point Arithmetic [PLF]</w:t>
      </w:r>
    </w:p>
    <w:bookmarkStart w:id="3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4"/>
    <w:bookmarkStart w:id="35"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5"/>
    <w:bookmarkEnd w:id="36"/>
    <w:bookmarkStart w:id="41" w:name="CCB"/>
    <w:p>
      <w:pPr>
        <w:pStyle w:val="Heading2"/>
      </w:pPr>
      <w:r>
        <w:t xml:space="preserve">6.5 Enumerator Issues [CCB]</w:t>
      </w:r>
    </w:p>
    <w:bookmarkStart w:id="39" w:name="applicability-to-language"/>
    <w:p>
      <w:pPr>
        <w:pStyle w:val="Heading3"/>
      </w:pPr>
      <w:r>
        <w:t xml:space="preserve">6.5.1 Applicability to language</w:t>
      </w:r>
    </w:p>
    <w:bookmarkStart w:id="37" w:name="references"/>
    <w:p>
      <w:pPr>
        <w:pStyle w:val="Heading4"/>
      </w:pPr>
      <w:r>
        <w:t xml:space="preserve">6.5.1.1 References</w:t>
      </w:r>
    </w:p>
    <w:p>
      <w:pPr>
        <w:pStyle w:val="FirstParagraph"/>
      </w:pPr>
      <w:r>
        <w:t xml:space="preserve">AUTOSAR A7-2-2 Enumeration base type shall be explicitly defined</w:t>
      </w:r>
    </w:p>
    <w:bookmarkEnd w:id="37"/>
    <w:bookmarkStart w:id="38"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8"/>
    <w:bookmarkEnd w:id="39"/>
    <w:bookmarkStart w:id="40"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0"/>
    <w:bookmarkEnd w:id="41"/>
    <w:bookmarkStart w:id="44" w:name="FLC"/>
    <w:p>
      <w:pPr>
        <w:pStyle w:val="Heading2"/>
      </w:pPr>
      <w:r>
        <w:t xml:space="preserve">6.6 Conversion Errors [FLC]</w:t>
      </w:r>
    </w:p>
    <w:bookmarkStart w:id="42"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2"/>
    <w:bookmarkStart w:id="43"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3"/>
    <w:bookmarkEnd w:id="44"/>
    <w:bookmarkStart w:id="47" w:name="CJM"/>
    <w:p>
      <w:pPr>
        <w:pStyle w:val="Heading2"/>
      </w:pPr>
      <w:r>
        <w:t xml:space="preserve">6.7 String Termination [CJM]</w:t>
      </w:r>
    </w:p>
    <w:bookmarkStart w:id="45"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5"/>
    <w:bookmarkStart w:id="46"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6"/>
    <w:bookmarkEnd w:id="47"/>
    <w:bookmarkStart w:id="55" w:name="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8" w:name="CJM"/>
      <w:r>
        <w:t xml:space="preserve">6.7 String</w:t>
      </w:r>
      <w:r>
        <w:t xml:space="preserve"> </w:t>
      </w:r>
      <w:r>
        <w:t xml:space="preserve">Termination[CJM]</w:t>
      </w:r>
      <w:bookmarkEnd w:id="48"/>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49">
        <w:r>
          <w:rPr>
            <w:rStyle w:val="Hyperlink"/>
          </w:rPr>
          <w:t xml:space="preserve">SEI CTR50-CPP</w:t>
        </w:r>
      </w:hyperlink>
    </w:p>
    <w:p>
      <w:pPr>
        <w:numPr>
          <w:ilvl w:val="0"/>
          <w:numId w:val="1025"/>
        </w:numPr>
        <w:pStyle w:val="Compact"/>
      </w:pPr>
      <w:hyperlink r:id="rId50">
        <w:r>
          <w:rPr>
            <w:rStyle w:val="Hyperlink"/>
          </w:rPr>
          <w:t xml:space="preserve">SEI CTR53-CPP</w:t>
        </w:r>
      </w:hyperlink>
    </w:p>
    <w:p>
      <w:pPr>
        <w:numPr>
          <w:ilvl w:val="0"/>
          <w:numId w:val="1025"/>
        </w:numPr>
        <w:pStyle w:val="Compact"/>
      </w:pPr>
      <w:hyperlink r:id="rId51">
        <w:r>
          <w:rPr>
            <w:rStyle w:val="Hyperlink"/>
          </w:rPr>
          <w:t xml:space="preserve">SEI CTR55-CPP</w:t>
        </w:r>
      </w:hyperlink>
    </w:p>
    <w:p>
      <w:pPr>
        <w:numPr>
          <w:ilvl w:val="0"/>
          <w:numId w:val="1025"/>
        </w:numPr>
        <w:pStyle w:val="Compact"/>
      </w:pPr>
      <w:hyperlink r:id="rId52">
        <w:r>
          <w:rPr>
            <w:rStyle w:val="Hyperlink"/>
          </w:rPr>
          <w:t xml:space="preserve">C++ core guidelines I.13</w:t>
        </w:r>
      </w:hyperlink>
    </w:p>
    <w:bookmarkEnd w:id="53"/>
    <w:bookmarkStart w:id="54"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4"/>
    <w:bookmarkEnd w:id="55"/>
    <w:bookmarkStart w:id="58" w:name="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6"/>
    <w:bookmarkStart w:id="57"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7"/>
    <w:bookmarkEnd w:id="58"/>
    <w:bookmarkStart w:id="62" w:name="XYW"/>
    <w:p>
      <w:pPr>
        <w:pStyle w:val="Heading2"/>
      </w:pPr>
      <w:r>
        <w:t xml:space="preserve">6.10 Unchecked Array Copying [XYW]</w:t>
      </w:r>
    </w:p>
    <w:bookmarkStart w:id="60"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59" w:name="HCB"/>
      <w:r>
        <w:t xml:space="preserve">6.8 Buffer Boundary Violation [HCB]</w:t>
      </w:r>
      <w:bookmarkEnd w:id="59"/>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0"/>
    <w:bookmarkStart w:id="61"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1"/>
    <w:bookmarkEnd w:id="62"/>
    <w:bookmarkStart w:id="65" w:name="HFC"/>
    <w:p>
      <w:pPr>
        <w:pStyle w:val="Heading2"/>
      </w:pPr>
      <w:r>
        <w:t xml:space="preserve">6.11 Pointer Type Conversions [HFC]</w:t>
      </w:r>
    </w:p>
    <w:bookmarkStart w:id="63"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3"/>
    <w:bookmarkStart w:id="64"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4"/>
    <w:bookmarkEnd w:id="65"/>
    <w:bookmarkStart w:id="68" w:name="RVG"/>
    <w:p>
      <w:pPr>
        <w:pStyle w:val="Heading2"/>
      </w:pPr>
      <w:r>
        <w:t xml:space="preserve">6.12 Pointer Arithmetic [RVG]</w:t>
      </w:r>
    </w:p>
    <w:bookmarkStart w:id="66"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6"/>
    <w:bookmarkStart w:id="67"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7"/>
    <w:bookmarkEnd w:id="68"/>
    <w:bookmarkStart w:id="71" w:name="XYH"/>
    <w:p>
      <w:pPr>
        <w:pStyle w:val="Heading2"/>
      </w:pPr>
      <w:r>
        <w:t xml:space="preserve">6.13 NULL Pointer Dereference [XYH]</w:t>
      </w:r>
    </w:p>
    <w:bookmarkStart w:id="69"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69"/>
    <w:bookmarkStart w:id="70"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0"/>
    <w:bookmarkEnd w:id="71"/>
    <w:bookmarkStart w:id="74" w:name="XYK"/>
    <w:p>
      <w:pPr>
        <w:pStyle w:val="Heading2"/>
      </w:pPr>
      <w:r>
        <w:t xml:space="preserve">6.14 Dangling Reference to Heap [XYK]</w:t>
      </w:r>
    </w:p>
    <w:bookmarkStart w:id="72"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2"/>
    <w:bookmarkStart w:id="73"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3"/>
    <w:bookmarkEnd w:id="74"/>
    <w:bookmarkStart w:id="77" w:name="PIK"/>
    <w:p>
      <w:pPr>
        <w:pStyle w:val="Heading2"/>
      </w:pPr>
      <w:r>
        <w:t xml:space="preserve">6.16 Using Shift Operations for Multiplication and Division [PIK]</w:t>
      </w:r>
    </w:p>
    <w:bookmarkStart w:id="75"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5"/>
    <w:bookmarkStart w:id="76"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6"/>
    <w:bookmarkEnd w:id="77"/>
    <w:bookmarkStart w:id="80" w:name="NAI"/>
    <w:p>
      <w:pPr>
        <w:pStyle w:val="Heading2"/>
      </w:pPr>
      <w:r>
        <w:t xml:space="preserve">6.17 Choice of Clear Names [NAI]</w:t>
      </w:r>
    </w:p>
    <w:bookmarkStart w:id="78"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8"/>
    <w:bookmarkStart w:id="79"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1"/>
    <w:bookmarkEnd w:id="92"/>
    <w:bookmarkStart w:id="96" w:name="LAV"/>
    <w:p>
      <w:pPr>
        <w:pStyle w:val="Heading2"/>
      </w:pPr>
      <w:r>
        <w:t xml:space="preserve">6.22 Missing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4" w:name="CGX"/>
      <w:r>
        <w:t xml:space="preserve">6.61 Concurrent Data Access [CGX]</w:t>
      </w:r>
      <w:bookmarkEnd w:id="94"/>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2"/>
    <w:bookmarkEnd w:id="103"/>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4"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End w:id="105"/>
    <w:bookmarkStart w:id="106"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2" Target="https://isocpp.github.io/CppCoreGuidelines/CppCoreGuidelines#i13-do-not-pass-an-array-as-a-single-pointer"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2" Target="https://isocpp.github.io/CppCoreGuidelines/CppCoreGuidelines#i13-do-not-pass-an-array-as-a-single-pointer"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2023-09-18T14:21:21Z</dcterms:created>
  <dcterms:modified xsi:type="dcterms:W3CDTF">2023-09-18T14:21:21Z</dcterms:modified>
</cp:coreProperties>
</file>

<file path=docProps/custom.xml><?xml version="1.0" encoding="utf-8"?>
<Properties xmlns="http://schemas.openxmlformats.org/officeDocument/2006/custom-properties" xmlns:vt="http://schemas.openxmlformats.org/officeDocument/2006/docPropsVTypes"/>
</file>