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Unary minus on unsigned type (MISRA 5-3-2)</w:t>
      </w:r>
    </w:p>
    <w:p>
      <w:pPr>
        <w:numPr>
          <w:ilvl w:val="0"/>
          <w:numId w:val="1066"/>
        </w:numPr>
      </w:pPr>
      <w:r>
        <w:t xml:space="preserve">Size of a pointer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7"/>
        </w:numPr>
        <w:pStyle w:val="BlockText"/>
      </w:pPr>
      <w:r>
        <w:t xml:space="preserve">From Core guidelines: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3"/>
        </w:numPr>
      </w:pPr>
      <w:r>
        <w:t xml:space="preserve">Declare loop variables in the initializer of the loop statement</w:t>
      </w:r>
    </w:p>
    <w:p>
      <w:pPr>
        <w:numPr>
          <w:ilvl w:val="0"/>
          <w:numId w:val="107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4"/>
        </w:numPr>
      </w:pPr>
      <w:r>
        <w:t xml:space="preserve">Apply the guidance of ISO/IEC TR 24772-1:2019 clause 6.29.5.</w:t>
      </w:r>
    </w:p>
    <w:p>
      <w:pPr>
        <w:numPr>
          <w:ilvl w:val="0"/>
          <w:numId w:val="107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4"/>
        </w:numPr>
      </w:pPr>
      <w:r>
        <w:t xml:space="preserve">Use a range for loop in preference to general loops</w:t>
      </w:r>
    </w:p>
    <w:p>
      <w:pPr>
        <w:numPr>
          <w:ilvl w:val="0"/>
          <w:numId w:val="107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5"/>
        </w:numPr>
      </w:pPr>
      <w:r>
        <w:t xml:space="preserve">Range-based for loops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5"/>
        </w:numPr>
      </w:pPr>
      <w:r>
        <w:t xml:space="preserve">Container classes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6"/>
        </w:numPr>
      </w:pPr>
      <w:r>
        <w:t xml:space="preserve">Follow the guidance of ISO/IEC TR 24772-1:2019 clause 6.30.5.</w:t>
      </w:r>
    </w:p>
    <w:p>
      <w:pPr>
        <w:numPr>
          <w:ilvl w:val="0"/>
          <w:numId w:val="107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2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2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2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2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2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2021-06-30T03:57:08Z</dcterms:created>
  <dcterms:modified xsi:type="dcterms:W3CDTF">2021-06-30T03:57:08Z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