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7"/>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one implicit conversion being favoured over another.</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w:t>
      </w:r>
    </w:p>
    <w:p>
      <w:pPr>
        <w:pStyle w:val="BodyText"/>
      </w:pPr>
      <w:r>
        <w:t xml:space="preserve">For expressions formed with operands of unscoped enumeration type 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For example, the following code</w:t>
      </w:r>
      <w:r>
        <w:t xml:space="preserve"> </w:t>
      </w:r>
      <w:r>
        <w:t xml:space="preserve">causes undefined behavior on a 32-bit machine while being valid on a 16-bit machine:</w:t>
      </w:r>
    </w:p>
    <w:p>
      <w:pPr>
        <w:pStyle w:val="SourceCode"/>
      </w:pP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BuiltInTok"/>
        </w:rPr>
        <w:t xml:space="preserve">std::</w:t>
      </w:r>
      <w:r>
        <w:rPr>
          <w:rStyle w:val="NormalTok"/>
        </w:rPr>
        <w:t xml:space="preserve">cout &lt;&lt; x * x; </w:t>
      </w:r>
      <w:r>
        <w:rPr>
          <w:rStyle w:val="CommentTok"/>
        </w:rPr>
        <w:t xml:space="preserve">// signed integer overflow</w:t>
      </w:r>
    </w:p>
    <w:p>
      <w:pPr>
        <w:pStyle w:val="FirstParagraph"/>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boolean contexts, such as</w:t>
      </w:r>
    </w:p>
    <w:p>
      <w:pPr>
        <w:numPr>
          <w:ilvl w:val="1"/>
          <w:numId w:val="1017"/>
        </w:numPr>
        <w:pStyle w:val="Compact"/>
      </w:pPr>
      <w:r>
        <w:t xml:space="preserve">operands of logical operators,</w:t>
      </w:r>
    </w:p>
    <w:p>
      <w:pPr>
        <w:numPr>
          <w:ilvl w:val="1"/>
          <w:numId w:val="1017"/>
        </w:numPr>
        <w:pStyle w:val="Compact"/>
      </w:pPr>
      <w:r>
        <w:t xml:space="preserve">the condition of the conditional operator, and</w:t>
      </w:r>
    </w:p>
    <w:p>
      <w:pPr>
        <w:numPr>
          <w:ilvl w:val="1"/>
          <w:numId w:val="101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VerbatimChar"/>
        </w:rPr>
        <w:t xml:space="preserve">(int)3.14</w:t>
      </w:r>
      <w:r>
        <w:t xml:space="preserv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w:t>
      </w:r>
      <w:r>
        <w:t xml:space="preserve"> </w:t>
      </w:r>
      <w:r>
        <w:rPr>
          <w:rStyle w:val="NormalTok"/>
        </w:rPr>
        <w:t xml:space="preserve">C</w:t>
      </w:r>
      <w:r>
        <w:t xml:space="preserve">,</w:t>
      </w:r>
      <w:r>
        <w:t xml:space="preserve"> </w:t>
      </w:r>
      <w:r>
        <w:t xml:space="preserve">but is provided with an int. However, as</w:t>
      </w:r>
      <w:r>
        <w:t xml:space="preserve"> </w:t>
      </w:r>
      <w:r>
        <w:rPr>
          <w:rStyle w:val="NormalTok"/>
        </w:rPr>
        <w:t xml:space="preserve">C</w:t>
      </w:r>
      <w:r>
        <w:t xml:space="preserve"> </w:t>
      </w:r>
      <w:r>
        <w:t xml:space="preserve">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w:t>
      </w:r>
      <w:r>
        <w:t xml:space="preserve"> </w:t>
      </w:r>
      <w:r>
        <w:rPr>
          <w:rStyle w:val="NormalTok"/>
        </w:rPr>
        <w:t xml:space="preserve">foo</w:t>
      </w:r>
      <w:r>
        <w:t xml:space="preserve">.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rPr>
          <w:rStyle w:val="KeywordTok"/>
        </w:rPr>
        <w:t xml:space="preserve">explicit</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All other conversions are not necessarily "safe" as they can sometimes</w:t>
      </w:r>
      <w:r>
        <w:t xml:space="preserve"> </w:t>
      </w:r>
      <w:r>
        <w:t xml:space="preserve">yield to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w:t>
      </w:r>
      <w:r>
        <w:t xml:space="preserve">of arithmetic types, thus hiding the fact when a wrong operator symbol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r>
        <w:t xml:space="preserve"> </w:t>
      </w:r>
      <w:r>
        <w:t xml:space="preserve">User-defined scoped enumerations can define corresponding operator overloads to sidestep</w:t>
      </w:r>
      <w:r>
        <w:t xml:space="preserve"> </w:t>
      </w:r>
      <w:r>
        <w:t xml:space="preserve">implicit conversion of the built-in integral types and eliminate the risks of unwanted</w:t>
      </w:r>
      <w:r>
        <w:t xml:space="preserve"> </w:t>
      </w:r>
      <w:r>
        <w:t xml:space="preserve">mixing of signed and unsigned operands as well as avoiding unwanted conversions.</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21"/>
        </w:numPr>
      </w:pPr>
      <w:r>
        <w:t xml:space="preserve">Avoid casts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for numeric types to prevent narrowing.</w:t>
      </w:r>
      <w:r>
        <w:t xml:space="preserve"> </w:t>
      </w:r>
      <w:r>
        <w:t xml:space="preserve">(see C++ Core Guidelines ES.23 and ES.64)</w:t>
      </w:r>
    </w:p>
    <w:p>
      <w:pPr>
        <w:numPr>
          <w:ilvl w:val="0"/>
          <w:numId w:val="1021"/>
        </w:numPr>
      </w:pPr>
      <w:r>
        <w:t xml:space="preserve">Prefer C++ type conversion operators over C-style casts, as they document intent</w:t>
      </w:r>
      <w:r>
        <w:t xml:space="preserve"> </w:t>
      </w:r>
      <w:r>
        <w:t xml:space="preserve">and disallow some unsafe conversions. (see C++ Core Guidelines ES.49)</w:t>
      </w:r>
    </w:p>
    <w:p>
      <w:pPr>
        <w:numPr>
          <w:ilvl w:val="0"/>
          <w:numId w:val="1021"/>
        </w:numPr>
      </w:pPr>
      <w:r>
        <w:t xml:space="preserve">Declare constructors of a class that can be called with a single argument and conversion operators with the keyword</w:t>
      </w:r>
      <w:r>
        <w:t xml:space="preserve"> </w:t>
      </w:r>
      <w:r>
        <w:t xml:space="preserve">‘</w:t>
      </w:r>
      <w:r>
        <w:t xml:space="preserve">explicit</w:t>
      </w:r>
      <w:r>
        <w:t xml:space="preserve">’</w:t>
      </w:r>
      <w:r>
        <w:t xml:space="preserve">{.cpp}. (see C++ Core guidelines C.46 and C.164)</w:t>
      </w:r>
    </w:p>
    <w:p>
      <w:pPr>
        <w:numPr>
          <w:ilvl w:val="0"/>
          <w:numId w:val="1021"/>
        </w:numPr>
      </w:pPr>
      <w:r>
        <w:t xml:space="preserve">Don’t cast away</w:t>
      </w:r>
      <w:r>
        <w:t xml:space="preserve"> </w:t>
      </w:r>
      <w:r>
        <w:rPr>
          <w:rStyle w:val="AttributeTok"/>
        </w:rPr>
        <w:t xml:space="preserve">const</w:t>
      </w:r>
      <w:r>
        <w:t xml:space="preserve">. See section</w:t>
      </w:r>
      <w:hyperlink w:anchor="UJO">
        <w:r>
          <w:rPr>
            <w:rStyle w:val="Hyperlink"/>
          </w:rPr>
          <w:t xml:space="preserve">Modifying Constants [UJO]</w:t>
        </w:r>
      </w:hyperlink>
      <w:r>
        <w:br/>
      </w:r>
      <w:r>
        <w:t xml:space="preserve">(see C++ Core Guidelines ES.50)</w:t>
      </w:r>
    </w:p>
    <w:p>
      <w:pPr>
        <w:numPr>
          <w:ilvl w:val="0"/>
          <w:numId w:val="1021"/>
        </w:numPr>
      </w:pPr>
      <w:r>
        <w:t xml:space="preserve">Don’t mix signed and unsigned arithmetic (see C++ Core Guidelines</w:t>
      </w:r>
      <w:r>
        <w:t xml:space="preserve"> </w:t>
      </w:r>
      <w:r>
        <w:t xml:space="preserve">ES100)</w:t>
      </w:r>
    </w:p>
    <w:p>
      <w:pPr>
        <w:numPr>
          <w:ilvl w:val="0"/>
          <w:numId w:val="1021"/>
        </w:numPr>
      </w:pPr>
      <w:r>
        <w:t xml:space="preserve">Don’t rely on implicit conversions between arithmetic types and</w:t>
      </w:r>
      <w:r>
        <w:t xml:space="preserve"> </w:t>
      </w:r>
      <w:r>
        <w:rPr>
          <w:rStyle w:val="VerbatimChar"/>
        </w:rPr>
        <w:t xml:space="preserve">bool</w:t>
      </w:r>
      <w:r>
        <w:t xml:space="preserve">.</w:t>
      </w:r>
    </w:p>
    <w:p>
      <w:pPr>
        <w:numPr>
          <w:ilvl w:val="0"/>
          <w:numId w:val="1021"/>
        </w:numPr>
      </w:pPr>
      <w:r>
        <w:t xml:space="preserve">Use</w:t>
      </w:r>
      <w:r>
        <w:t xml:space="preserve"> </w:t>
      </w:r>
      <w:r>
        <w:rPr>
          <w:i/>
        </w:rPr>
        <w:t xml:space="preserve">strong types</w:t>
      </w:r>
      <w:r>
        <w:t xml:space="preserve"> </w:t>
      </w:r>
      <w:r>
        <w:t xml:space="preserve">(see section</w:t>
      </w:r>
      <w:r>
        <w:t xml:space="preserve"> </w:t>
      </w:r>
      <w:hyperlink w:anchor="IHN">
        <w:r>
          <w:rPr>
            <w:rStyle w:val="Hyperlink"/>
          </w:rPr>
          <w:t xml:space="preserve">Type System [IHN]</w:t>
        </w:r>
      </w:hyperlink>
      <w:r>
        <w:t xml:space="preserve"> </w:t>
      </w:r>
      <w:r>
        <w:t xml:space="preserve">and scoped enumerations with corresponding operator overloads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TR</w:t>
      </w:r>
      <w:r>
        <w:t xml:space="preserve"> </w:t>
      </w:r>
      <w:r>
        <w:t xml:space="preserve">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3"/>
        </w:numPr>
      </w:pPr>
      <w:r>
        <w:t xml:space="preserve">Avoid C-style arrays. Guidance for the use of C-style arrays is</w:t>
      </w:r>
      <w:r>
        <w:t xml:space="preserve"> </w:t>
      </w:r>
      <w:r>
        <w:t xml:space="preserve">provided in TR 24772-3 clause 6.8.2.</w:t>
      </w:r>
    </w:p>
    <w:p>
      <w:pPr>
        <w:numPr>
          <w:ilvl w:val="0"/>
          <w:numId w:val="1023"/>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3"/>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3"/>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3"/>
        </w:numPr>
      </w:pPr>
      <w:r>
        <w:t xml:space="preserve">Use iterator-based algorithms, such as those of the standard</w:t>
      </w:r>
      <w:r>
        <w:t xml:space="preserve"> </w:t>
      </w:r>
      <w:r>
        <w:t xml:space="preserve">library.</w:t>
      </w:r>
    </w:p>
    <w:p>
      <w:pPr>
        <w:numPr>
          <w:ilvl w:val="0"/>
          <w:numId w:val="1023"/>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3"/>
        </w:numPr>
      </w:pPr>
      <w:r>
        <w:t xml:space="preserve">Use iterators over the range of elements to be accessed instead of</w:t>
      </w:r>
      <w:r>
        <w:t xml:space="preserve"> </w:t>
      </w:r>
      <w:r>
        <w:t xml:space="preserve">using an array and bounds as parameters.</w:t>
      </w:r>
    </w:p>
    <w:p>
      <w:pPr>
        <w:numPr>
          <w:ilvl w:val="0"/>
          <w:numId w:val="1023"/>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3"/>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3"/>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4"/>
        </w:numPr>
      </w:pPr>
      <w:r>
        <w:t xml:space="preserve">Follow the guidance from clause 6.8.2.</w:t>
      </w:r>
    </w:p>
    <w:p>
      <w:pPr>
        <w:numPr>
          <w:ilvl w:val="0"/>
          <w:numId w:val="1024"/>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5"/>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5"/>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6"/>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6"/>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6"/>
        </w:numPr>
      </w:pPr>
      <w:r>
        <w:t xml:space="preserve">Place arrays in containers with whole-array and bounds-checking</w:t>
      </w:r>
      <w:r>
        <w:t xml:space="preserve"> </w:t>
      </w:r>
      <w:r>
        <w:t xml:space="preserve">operations.</w:t>
      </w:r>
      <w:r>
        <w:t xml:space="preserve"> </w:t>
      </w:r>
    </w:p>
    <w:bookmarkEnd w:id="59"/>
    <w:bookmarkEnd w:id="60"/>
    <w:bookmarkStart w:id="63" w:name="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7"/>
        </w:numPr>
      </w:pPr>
      <w:r>
        <w:t xml:space="preserve">a and b are the same object,</w:t>
      </w:r>
    </w:p>
    <w:p>
      <w:pPr>
        <w:numPr>
          <w:ilvl w:val="0"/>
          <w:numId w:val="1027"/>
        </w:numPr>
      </w:pPr>
      <w:r>
        <w:t xml:space="preserve">either a or b is a standard-layout union object and the other is a</w:t>
      </w:r>
      <w:r>
        <w:t xml:space="preserve"> </w:t>
      </w:r>
      <w:r>
        <w:t xml:space="preserve">non-static data member of that object,</w:t>
      </w:r>
    </w:p>
    <w:p>
      <w:pPr>
        <w:numPr>
          <w:ilvl w:val="1"/>
          <w:numId w:val="1028"/>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7"/>
        </w:numPr>
      </w:pPr>
      <w:r>
        <w:t xml:space="preserve">either a or b is a standard-layout class object and the other is the</w:t>
      </w:r>
      <w:r>
        <w:t xml:space="preserve"> </w:t>
      </w:r>
      <w:r>
        <w:t xml:space="preserve">first non-static data member of that object,</w:t>
      </w:r>
    </w:p>
    <w:p>
      <w:pPr>
        <w:numPr>
          <w:ilvl w:val="1"/>
          <w:numId w:val="1029"/>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7"/>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0"/>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7"/>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1"/>
        </w:numPr>
      </w:pPr>
      <w:r>
        <w:t xml:space="preserve">Follow the advice provided in ISO/IEC TR 24772-1:2019 clause 6.11.5.</w:t>
      </w:r>
    </w:p>
    <w:p>
      <w:pPr>
        <w:numPr>
          <w:ilvl w:val="0"/>
          <w:numId w:val="1031"/>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1"/>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1"/>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1"/>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2"/>
        </w:numPr>
        <w:pStyle w:val="SourceCode"/>
      </w:pPr>
      <w:r>
        <w:rPr>
          <w:rStyle w:val="VerbatimChar"/>
        </w:rPr>
        <w:t xml:space="preserve">  *C++ Core guidelines C.146, 1.47 and 1.48*</w:t>
      </w:r>
    </w:p>
    <w:p>
      <w:pPr>
        <w:numPr>
          <w:ilvl w:val="0"/>
          <w:numId w:val="1031"/>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3"/>
        </w:numPr>
        <w:pStyle w:val="SourceCode"/>
      </w:pPr>
      <w:r>
        <w:rPr>
          <w:rStyle w:val="VerbatimChar"/>
        </w:rPr>
        <w:t xml:space="preserve">  *C++ Core guidelines C.146*</w:t>
      </w:r>
    </w:p>
    <w:p>
      <w:pPr>
        <w:numPr>
          <w:ilvl w:val="0"/>
          <w:numId w:val="1031"/>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1"/>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4"/>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4"/>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4"/>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4"/>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5"/>
        </w:numPr>
      </w:pPr>
      <w:r>
        <w:t xml:space="preserve">Follow the guidance of clause 6.8.2.</w:t>
      </w:r>
    </w:p>
    <w:p>
      <w:pPr>
        <w:numPr>
          <w:ilvl w:val="0"/>
          <w:numId w:val="1035"/>
        </w:numPr>
      </w:pPr>
      <w:r>
        <w:t xml:space="preserve">Prefer standard algorithms to hand-written loops</w:t>
      </w:r>
    </w:p>
    <w:p>
      <w:pPr>
        <w:numPr>
          <w:ilvl w:val="1"/>
          <w:numId w:val="1036"/>
        </w:numPr>
        <w:pStyle w:val="Compact"/>
      </w:pPr>
      <w:r>
        <w:t xml:space="preserve">See Core Guideline.ES.1 (TBD)</w:t>
      </w:r>
    </w:p>
    <w:p>
      <w:pPr>
        <w:numPr>
          <w:ilvl w:val="0"/>
          <w:numId w:val="1035"/>
        </w:numPr>
      </w:pPr>
      <w:r>
        <w:t xml:space="preserve">Prefer ranges over iterators; and iterators over pointer</w:t>
      </w:r>
      <w:r>
        <w:t xml:space="preserve"> </w:t>
      </w:r>
      <w:r>
        <w:t xml:space="preserve">arithmetic.</w:t>
      </w:r>
    </w:p>
    <w:p>
      <w:pPr>
        <w:numPr>
          <w:ilvl w:val="0"/>
          <w:numId w:val="1035"/>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5"/>
        </w:numPr>
      </w:pPr>
      <w:r>
        <w:t xml:space="preserve">Consider an outright ban on pointer arithmetic due to the</w:t>
      </w:r>
      <w:r>
        <w:t xml:space="preserve"> </w:t>
      </w:r>
      <w:r>
        <w:t xml:space="preserve">error-prone nature of pointer arithmetic.</w:t>
      </w:r>
    </w:p>
    <w:p>
      <w:pPr>
        <w:numPr>
          <w:ilvl w:val="0"/>
          <w:numId w:val="1035"/>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37"/>
        </w:numPr>
      </w:pPr>
      <w:r>
        <w:t xml:space="preserve">Containers manage memory and separate memory management from the use</w:t>
      </w:r>
      <w:r>
        <w:t xml:space="preserve"> </w:t>
      </w:r>
      <w:r>
        <w:t xml:space="preserve">of objects.</w:t>
      </w:r>
    </w:p>
    <w:p>
      <w:pPr>
        <w:numPr>
          <w:ilvl w:val="0"/>
          <w:numId w:val="1037"/>
        </w:numPr>
      </w:pPr>
      <w:r>
        <w:t xml:space="preserve">The container interface throws an exception if a container cannot be</w:t>
      </w:r>
      <w:r>
        <w:t xml:space="preserve"> </w:t>
      </w:r>
      <w:r>
        <w:t xml:space="preserve">allocated.</w:t>
      </w:r>
    </w:p>
    <w:p>
      <w:pPr>
        <w:numPr>
          <w:ilvl w:val="0"/>
          <w:numId w:val="1037"/>
        </w:numPr>
      </w:pPr>
      <w:r>
        <w:t xml:space="preserve">Smart pointer creation functions allocate heap memory and handle</w:t>
      </w:r>
      <w:r>
        <w:t xml:space="preserve"> </w:t>
      </w:r>
      <w:r>
        <w:t xml:space="preserve">memory management.</w:t>
      </w:r>
    </w:p>
    <w:p>
      <w:pPr>
        <w:numPr>
          <w:ilvl w:val="0"/>
          <w:numId w:val="1037"/>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SourceCode"/>
      </w:pPr>
      <w:r>
        <w:rPr>
          <w:rStyle w:val="VerbatimChar"/>
        </w:rPr>
        <w:t xml:space="preserve">&lt;!--</w:t>
      </w:r>
      <w:r>
        <w:br/>
      </w:r>
      <w:r>
        <w:rPr>
          <w:rStyle w:val="VerbatimChar"/>
        </w:rPr>
        <w:t xml:space="preserve">Capture notion that std::make_shared does not guarantee* *atomaticity</w:t>
      </w:r>
      <w:r>
        <w:br/>
      </w:r>
      <w:r>
        <w:rPr>
          <w:rStyle w:val="VerbatimChar"/>
        </w:rPr>
        <w:t xml:space="preserve">of the referenced object.</w:t>
      </w:r>
      <w:r>
        <w:br/>
      </w:r>
      <w:r>
        <w:rPr>
          <w:rStyle w:val="VerbatimChar"/>
        </w:rPr>
        <w:t xml:space="preserve">[]{custom-style="annotation reference"}</w:t>
      </w:r>
      <w:r>
        <w:br/>
      </w:r>
      <w:r>
        <w:rPr>
          <w:rStyle w:val="VerbatimChar"/>
        </w:rPr>
        <w:t xml:space="preserve">--.</w:t>
      </w:r>
    </w:p>
    <w:p>
      <w:pPr>
        <w:pStyle w:val="SourceCode"/>
      </w:pPr>
      <w:r>
        <w:rPr>
          <w:rStyle w:val="VerbatimChar"/>
        </w:rPr>
        <w:t xml:space="preserve">&lt;!--</w:t>
      </w:r>
      <w:r>
        <w:br/>
      </w:r>
      <w:r>
        <w:rPr>
          <w:rStyle w:val="VerbatimChar"/>
        </w:rPr>
        <w:t xml:space="preserve">std::span, std.vector and std.array::provide ...</w:t>
      </w:r>
      <w:r>
        <w:br/>
      </w:r>
      <w:r>
        <w:br/>
      </w:r>
      <w:r>
        <w:rPr>
          <w:rStyle w:val="VerbatimChar"/>
        </w:rPr>
        <w:t xml:space="preserve">std::span is more lightweight and permit resizing .</w:t>
      </w:r>
      <w:r>
        <w:br/>
      </w:r>
      <w:r>
        <w:rPr>
          <w:rStyle w:val="VerbatimChar"/>
        </w:rPr>
        <w:t xml:space="preserve">--&gt;</w:t>
      </w:r>
    </w:p>
    <w:bookmarkEnd w:id="67"/>
    <w:bookmarkStart w:id="68" w:name="guidance-to-language-users"/>
    <w:p>
      <w:pPr>
        <w:pStyle w:val="Heading3"/>
      </w:pPr>
      <w:r>
        <w:t xml:space="preserve">6.13.2 Guidance to language users</w:t>
      </w:r>
    </w:p>
    <w:p>
      <w:pPr>
        <w:numPr>
          <w:ilvl w:val="0"/>
          <w:numId w:val="1038"/>
        </w:numPr>
      </w:pPr>
      <w:r>
        <w:t xml:space="preserve">When dereferencing objects of pointer-like types that may contain a null</w:t>
      </w:r>
      <w:r>
        <w:t xml:space="preserve"> </w:t>
      </w:r>
      <w:r>
        <w:t xml:space="preserve">value, follow the guidance from TR 24772-3 clause 6.13.2.</w:t>
      </w:r>
    </w:p>
    <w:p>
      <w:pPr>
        <w:numPr>
          <w:ilvl w:val="0"/>
          <w:numId w:val="1038"/>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8"/>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38"/>
        </w:numPr>
      </w:pPr>
      <w:r>
        <w:t xml:space="preserve">Use references to reduce the number of places where pointers are</w:t>
      </w:r>
      <w:r>
        <w:t xml:space="preserve"> </w:t>
      </w:r>
      <w:r>
        <w:t xml:space="preserve">dereferenced.</w:t>
      </w:r>
      <w:r>
        <w:t xml:space="preserve"> </w:t>
      </w:r>
    </w:p>
    <w:p>
      <w:pPr>
        <w:numPr>
          <w:ilvl w:val="0"/>
          <w:numId w:val="1038"/>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9"/>
        </w:numPr>
      </w:pPr>
      <w:r>
        <w:t xml:space="preserve">References</w:t>
      </w:r>
    </w:p>
    <w:p>
      <w:pPr>
        <w:numPr>
          <w:ilvl w:val="0"/>
          <w:numId w:val="1039"/>
        </w:numPr>
      </w:pPr>
      <w:r>
        <w:t xml:space="preserve">Pointers</w:t>
      </w:r>
    </w:p>
    <w:p>
      <w:pPr>
        <w:numPr>
          <w:ilvl w:val="0"/>
          <w:numId w:val="1039"/>
        </w:numPr>
      </w:pPr>
      <w:r>
        <w:t xml:space="preserve">Iterators</w:t>
      </w:r>
    </w:p>
    <w:p>
      <w:pPr>
        <w:numPr>
          <w:ilvl w:val="0"/>
          <w:numId w:val="1039"/>
        </w:numPr>
      </w:pPr>
      <w:r>
        <w:rPr>
          <w:rStyle w:val="BuiltInTok"/>
        </w:rPr>
        <w:t xml:space="preserve">std::</w:t>
      </w:r>
      <w:r>
        <w:rPr>
          <w:rStyle w:val="NormalTok"/>
        </w:rPr>
        <w:t xml:space="preserve">string_view</w:t>
      </w:r>
    </w:p>
    <w:p>
      <w:pPr>
        <w:numPr>
          <w:ilvl w:val="0"/>
          <w:numId w:val="1039"/>
        </w:numPr>
      </w:pPr>
      <w:r>
        <w:rPr>
          <w:rStyle w:val="BuiltInTok"/>
        </w:rPr>
        <w:t xml:space="preserve">std::</w:t>
      </w:r>
      <w:r>
        <w:rPr>
          <w:rStyle w:val="NormalTok"/>
        </w:rPr>
        <w:t xml:space="preserve">span</w:t>
      </w:r>
    </w:p>
    <w:p>
      <w:pPr>
        <w:numPr>
          <w:ilvl w:val="0"/>
          <w:numId w:val="1039"/>
        </w:numPr>
      </w:pPr>
      <w:r>
        <w:rPr>
          <w:rStyle w:val="BuiltInTok"/>
        </w:rPr>
        <w:t xml:space="preserve">std::</w:t>
      </w:r>
      <w:r>
        <w:rPr>
          <w:rStyle w:val="NormalTok"/>
        </w:rPr>
        <w:t xml:space="preserve">reference_wrapper</w:t>
      </w:r>
    </w:p>
    <w:p>
      <w:pPr>
        <w:pStyle w:val="FirstParagraph"/>
      </w:pPr>
      <w:r>
        <w:t xml:space="preserve">We call these</w:t>
      </w:r>
      <w:r>
        <w:t xml:space="preserve"> </w:t>
      </w:r>
      <w:r>
        <w:rPr>
          <w:i/>
        </w:rPr>
        <w:t xml:space="preserve">potentially</w:t>
      </w:r>
      <w:r>
        <w:rPr>
          <w:i/>
        </w:rPr>
        <w:t xml:space="preserve"> </w:t>
      </w:r>
      <w:r>
        <w:rPr>
          <w:i/>
        </w:rPr>
        <w:t xml:space="preserve">dangling types</w:t>
      </w:r>
      <w:r>
        <w:t xml:space="preserve">.</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The language guarantees that a const-lvalue-reference or an rvalue-reference</w:t>
      </w:r>
      <w:r>
        <w:t xml:space="preserve"> </w:t>
      </w:r>
      <w:r>
        <w:t xml:space="preserve">that are bound to a temporary object extend the lifetime of the temporary</w:t>
      </w:r>
      <w:r>
        <w:t xml:space="preserve"> </w:t>
      </w:r>
      <w:r>
        <w:t xml:space="preserve">until the reference goes out of scope.</w:t>
      </w:r>
      <w:r>
        <w:t xml:space="preserve"> </w:t>
      </w:r>
      <w:r>
        <w:t xml:space="preserve">Otherwise, the temporary object is destroyed at the end of the surrounding full expression.</w:t>
      </w:r>
      <w:r>
        <w:t xml:space="preserve"> </w:t>
      </w:r>
      <w:r>
        <w:t xml:space="preserve">This lifetime extension is not transitive.</w:t>
      </w:r>
    </w:p>
    <w:p>
      <w:pPr>
        <w:pStyle w:val="BodyText"/>
      </w:pPr>
      <w:r>
        <w:t xml:space="preserve">A simple example is where the temporary object referring heap allocation 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that allow transferring ownership or shared ownership.</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0"/>
        </w:numPr>
      </w:pPr>
      <w:r>
        <w:t xml:space="preserve">Do not rely on lifetime extension of temporaries by binding them to named references.</w:t>
      </w:r>
      <w:r>
        <w:t xml:space="preserve"> </w:t>
      </w:r>
      <w:r>
        <w:t xml:space="preserve">Use (local) variables instead.</w:t>
      </w:r>
    </w:p>
    <w:p>
      <w:pPr>
        <w:numPr>
          <w:ilvl w:val="0"/>
          <w:numId w:val="1040"/>
        </w:numPr>
      </w:pPr>
      <w:r>
        <w:t xml:space="preserve">Prefer value types that manage heap memory, for example</w:t>
      </w:r>
      <w:r>
        <w:t xml:space="preserve"> </w:t>
      </w:r>
      <w:r>
        <w:rPr>
          <w:rStyle w:val="BuiltInTok"/>
        </w:rPr>
        <w:t xml:space="preserve">std::</w:t>
      </w:r>
      <w:r>
        <w:rPr>
          <w:rStyle w:val="NormalTok"/>
        </w:rPr>
        <w:t xml:space="preserve">string</w:t>
      </w:r>
      <w:r>
        <w:t xml:space="preserve"> </w:t>
      </w:r>
      <w:r>
        <w:t xml:space="preserve">instead of</w:t>
      </w:r>
      <w: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t xml:space="preserve"> </w:t>
      </w:r>
      <w:r>
        <w:t xml:space="preserve">or</w:t>
      </w:r>
      <w:r>
        <w:t xml:space="preserve"> </w:t>
      </w:r>
      <w:r>
        <w:rPr>
          <w:rStyle w:val="BuiltInTok"/>
        </w:rPr>
        <w:t xml:space="preserve">std::</w:t>
      </w:r>
      <w:r>
        <w:rPr>
          <w:rStyle w:val="NormalTok"/>
        </w:rPr>
        <w:t xml:space="preserve">vector</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0"/>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0"/>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0"/>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0"/>
        </w:numPr>
      </w:pPr>
      <w:r>
        <w:t xml:space="preserve">Show that the</w:t>
      </w:r>
      <w:r>
        <w:t xml:space="preserve"> </w:t>
      </w:r>
      <w:r>
        <w:rPr>
          <w:i/>
        </w:rPr>
        <w:t xml:space="preserve">range-for</w:t>
      </w:r>
      <w:r>
        <w:t xml:space="preserve"> </w:t>
      </w:r>
      <w:r>
        <w:t xml:space="preserve">dangling vulnerability does not apply or take steps to avoid it, for example, use a variable representing the range</w:t>
      </w:r>
      <w:r>
        <w:t xml:space="preserve"> </w:t>
      </w:r>
      <w:r>
        <w:t xml:space="preserve">and not an expression that might yield a reference to a temporary.</w:t>
      </w:r>
    </w:p>
    <w:p>
      <w:pPr>
        <w:pStyle w:val="FirstParagraph"/>
      </w:pPr>
      <w:r>
        <w:t xml:space="preserve">$incldue 6.15.ArithmeticWrap-aroundError-FIF.md</w:t>
      </w:r>
    </w:p>
    <w:bookmarkEnd w:id="71"/>
    <w:bookmarkEnd w:id="72"/>
    <w:bookmarkStart w:id="75" w:name="PIK"/>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SourceCode"/>
      </w:pPr>
      <w:r>
        <w:rPr>
          <w:rStyle w:val="VerbatimChar"/>
        </w:rPr>
        <w:t xml:space="preserve">&lt;!--</w:t>
      </w:r>
      <w:r>
        <w:br/>
      </w:r>
      <w:r>
        <w:rPr>
          <w:rStyle w:val="VerbatimChar"/>
        </w:rPr>
        <w:t xml:space="preserve">REWORD: The issues for C++ are well defined in TR 24772-1 clause 6.16</w:t>
      </w:r>
      <w:r>
        <w:br/>
      </w:r>
      <w:r>
        <w:rPr>
          <w:rStyle w:val="VerbatimChar"/>
        </w:rPr>
        <w:t xml:space="preserve">*Using Shift Operations for Multiplication and Division \[PIK\].* Also</w:t>
      </w:r>
      <w:r>
        <w:br/>
      </w:r>
      <w:r>
        <w:rPr>
          <w:rStyle w:val="VerbatimChar"/>
        </w:rPr>
        <w:t xml:space="preserve">see clause *6.15 [Arithmetic Wrap-around Error [FIF]](#FIF)*.</w:t>
      </w:r>
      <w:r>
        <w:br/>
      </w:r>
      <w:r>
        <w:br/>
      </w:r>
      <w:r>
        <w:rPr>
          <w:rStyle w:val="VerbatimChar"/>
        </w:rPr>
        <w:t xml:space="preserve">In C++, shifts with too large an argument is defined as Undefined</w:t>
      </w:r>
      <w:r>
        <w:br/>
      </w:r>
      <w:r>
        <w:rPr>
          <w:rStyle w:val="VerbatimChar"/>
        </w:rPr>
        <w:t xml:space="preserve">Behaviour. See 6.56 Undefined Behaviour and ISO/IEC 14882:2017 C++</w:t>
      </w:r>
      <w:r>
        <w:br/>
      </w:r>
      <w:r>
        <w:rPr>
          <w:rStyle w:val="VerbatimChar"/>
        </w:rPr>
        <w:t xml:space="preserve">reference manual</w:t>
      </w:r>
      <w:r>
        <w:br/>
      </w:r>
      <w:r>
        <w:br/>
      </w:r>
      <w:r>
        <w:rPr>
          <w:rStyle w:val="VerbatimChar"/>
        </w:rPr>
        <w:t xml:space="preserve">&gt; From the C++ standard 14882:2017 clause 8.8 \[expr.shift\],\</w:t>
      </w:r>
      <w:r>
        <w:br/>
      </w:r>
      <w:r>
        <w:rPr>
          <w:rStyle w:val="VerbatimChar"/>
        </w:rPr>
        <w:t xml:space="preserve">&gt;  The shift operators \&lt;\&lt; and `\&gt;\&gt;`{.cpp} group</w:t>
      </w:r>
      <w:r>
        <w:br/>
      </w:r>
      <w:r>
        <w:rPr>
          <w:rStyle w:val="VerbatimChar"/>
        </w:rPr>
        <w:t xml:space="preserve">&gt; left-to-right.\</w:t>
      </w:r>
      <w:r>
        <w:br/>
      </w:r>
      <w:r>
        <w:rPr>
          <w:rStyle w:val="VerbatimChar"/>
        </w:rPr>
        <w:t xml:space="preserve">&gt; shift-expression:\</w:t>
      </w:r>
      <w:r>
        <w:br/>
      </w:r>
      <w:r>
        <w:rPr>
          <w:rStyle w:val="VerbatimChar"/>
        </w:rPr>
        <w:t xml:space="preserve">&gt; `additive-expression\</w:t>
      </w:r>
      <w:r>
        <w:br/>
      </w:r>
      <w:r>
        <w:rPr>
          <w:rStyle w:val="VerbatimChar"/>
        </w:rPr>
        <w:t xml:space="preserve">&gt; shift-expression \&lt;\&lt; additive-expression\</w:t>
      </w:r>
      <w:r>
        <w:br/>
      </w:r>
      <w:r>
        <w:rPr>
          <w:rStyle w:val="VerbatimChar"/>
        </w:rPr>
        <w:t xml:space="preserve">&gt; shift-expression \&gt;\&gt; additive-expression`{.cpp}\</w:t>
      </w:r>
      <w:r>
        <w:br/>
      </w:r>
      <w:r>
        <w:rPr>
          <w:rStyle w:val="VerbatimChar"/>
        </w:rPr>
        <w:t xml:space="preserve">&gt; The operands shall be of integral or unscoped enumeration type and</w:t>
      </w:r>
      <w:r>
        <w:br/>
      </w:r>
      <w:r>
        <w:rPr>
          <w:rStyle w:val="VerbatimChar"/>
        </w:rPr>
        <w:t xml:space="preserve">&gt; integral promotions are performed. The type of the result is that of</w:t>
      </w:r>
      <w:r>
        <w:br/>
      </w:r>
      <w:r>
        <w:rPr>
          <w:rStyle w:val="VerbatimChar"/>
        </w:rPr>
        <w:t xml:space="preserve">&gt; the promoted left operand. The behavior is undefined if the right</w:t>
      </w:r>
      <w:r>
        <w:br/>
      </w:r>
      <w:r>
        <w:rPr>
          <w:rStyle w:val="VerbatimChar"/>
        </w:rPr>
        <w:t xml:space="preserve">&gt; operand is negative, or greater than or equal to the length in bits of</w:t>
      </w:r>
      <w:r>
        <w:br/>
      </w:r>
      <w:r>
        <w:rPr>
          <w:rStyle w:val="VerbatimChar"/>
        </w:rPr>
        <w:t xml:space="preserve">&gt; the promoted left operand.\</w:t>
      </w:r>
      <w:r>
        <w:br/>
      </w:r>
      <w:r>
        <w:rPr>
          <w:rStyle w:val="VerbatimChar"/>
        </w:rPr>
        <w:t xml:space="preserve">&gt; \</w:t>
      </w:r>
      <w:r>
        <w:br/>
      </w:r>
      <w:r>
        <w:rPr>
          <w:rStyle w:val="VerbatimChar"/>
        </w:rPr>
        <w:t xml:space="preserve">&gt; The value of `E1 \&lt;\&lt; E2`{.cpp} is</w:t>
      </w:r>
      <w:r>
        <w:br/>
      </w:r>
      <w:r>
        <w:rPr>
          <w:rStyle w:val="VerbatimChar"/>
        </w:rPr>
        <w:t xml:space="preserve">&gt; `E1`{.cpp} left-shifted `E2`{.cpp} bit</w:t>
      </w:r>
      <w:r>
        <w:br/>
      </w:r>
      <w:r>
        <w:rPr>
          <w:rStyle w:val="VerbatimChar"/>
        </w:rPr>
        <w:t xml:space="preserve">&gt; positions; vacated bits are zero-filled. If `E1`{.cpp}</w:t>
      </w:r>
      <w:r>
        <w:br/>
      </w:r>
      <w:r>
        <w:rPr>
          <w:rStyle w:val="VerbatimChar"/>
        </w:rPr>
        <w:t xml:space="preserve">&gt; has an unsigned type, the value of the result is `E1 ×</w:t>
      </w:r>
      <w:r>
        <w:br/>
      </w:r>
      <w:r>
        <w:rPr>
          <w:rStyle w:val="VerbatimChar"/>
        </w:rPr>
        <w:t xml:space="preserve">&gt; 2E2`{.cpp}, reduced modulo one more than the maximum</w:t>
      </w:r>
      <w:r>
        <w:br/>
      </w:r>
      <w:r>
        <w:rPr>
          <w:rStyle w:val="VerbatimChar"/>
        </w:rPr>
        <w:t xml:space="preserve">&gt; value representable in the result type. Otherwise, if</w:t>
      </w:r>
      <w:r>
        <w:br/>
      </w:r>
      <w:r>
        <w:rPr>
          <w:rStyle w:val="VerbatimChar"/>
        </w:rPr>
        <w:t xml:space="preserve">&gt; `E1`{.cpp} has a signed type and non-negative value,</w:t>
      </w:r>
      <w:r>
        <w:br/>
      </w:r>
      <w:r>
        <w:rPr>
          <w:rStyle w:val="VerbatimChar"/>
        </w:rPr>
        <w:t xml:space="preserve">&gt; and `E1 × 2E2`{.cpp} is representable in the</w:t>
      </w:r>
      <w:r>
        <w:br/>
      </w:r>
      <w:r>
        <w:rPr>
          <w:rStyle w:val="VerbatimChar"/>
        </w:rPr>
        <w:t xml:space="preserve">&gt; corresponding unsigned type of the result type, then that value,</w:t>
      </w:r>
      <w:r>
        <w:br/>
      </w:r>
      <w:r>
        <w:rPr>
          <w:rStyle w:val="VerbatimChar"/>
        </w:rPr>
        <w:t xml:space="preserve">&gt; converted to the result type, is the resulting value; otherwise, the</w:t>
      </w:r>
      <w:r>
        <w:br/>
      </w:r>
      <w:r>
        <w:rPr>
          <w:rStyle w:val="VerbatimChar"/>
        </w:rPr>
        <w:t xml:space="preserve">&gt; behavior is undefined.\</w:t>
      </w:r>
      <w:r>
        <w:br/>
      </w:r>
      <w:r>
        <w:rPr>
          <w:rStyle w:val="VerbatimChar"/>
        </w:rPr>
        <w:t xml:space="preserve">&gt; \</w:t>
      </w:r>
      <w:r>
        <w:br/>
      </w:r>
      <w:r>
        <w:rPr>
          <w:rStyle w:val="VerbatimChar"/>
        </w:rPr>
        <w:t xml:space="preserve">&gt;  The value of `E1 \&gt;\&gt; E2`{.cpp} is</w:t>
      </w:r>
      <w:r>
        <w:br/>
      </w:r>
      <w:r>
        <w:rPr>
          <w:rStyle w:val="VerbatimChar"/>
        </w:rPr>
        <w:t xml:space="preserve">&gt; `E1`{.cpp} right-shifted `E2`{.cpp} bit</w:t>
      </w:r>
      <w:r>
        <w:br/>
      </w:r>
      <w:r>
        <w:rPr>
          <w:rStyle w:val="VerbatimChar"/>
        </w:rPr>
        <w:t xml:space="preserve">&gt; positions. If `E1`{.cpp} has an unsigned type or if</w:t>
      </w:r>
      <w:r>
        <w:br/>
      </w:r>
      <w:r>
        <w:rPr>
          <w:rStyle w:val="VerbatimChar"/>
        </w:rPr>
        <w:t xml:space="preserve">&gt; `E1`{.cpp} has a signed type and a non-negative value,</w:t>
      </w:r>
      <w:r>
        <w:br/>
      </w:r>
      <w:r>
        <w:rPr>
          <w:rStyle w:val="VerbatimChar"/>
        </w:rPr>
        <w:t xml:space="preserve">&gt; the value of the result is the integral part of the quotient of</w:t>
      </w:r>
      <w:r>
        <w:br/>
      </w:r>
      <w:r>
        <w:rPr>
          <w:rStyle w:val="VerbatimChar"/>
        </w:rPr>
        <w:t xml:space="preserve">&gt; `E1/2E2`{.cpp}. If `E1`{.cpp} has a</w:t>
      </w:r>
      <w:r>
        <w:br/>
      </w:r>
      <w:r>
        <w:rPr>
          <w:rStyle w:val="VerbatimChar"/>
        </w:rPr>
        <w:t xml:space="preserve">&gt; signed type and a negative value, the resulting value is</w:t>
      </w:r>
      <w:r>
        <w:br/>
      </w:r>
      <w:r>
        <w:rPr>
          <w:rStyle w:val="VerbatimChar"/>
        </w:rPr>
        <w:t xml:space="preserve">&gt; implementation-defined.</w:t>
      </w:r>
      <w:r>
        <w:br/>
      </w:r>
      <w:r>
        <w:rPr>
          <w:rStyle w:val="VerbatimChar"/>
        </w:rPr>
        <w:t xml:space="preserve">&gt;</w:t>
      </w:r>
      <w:r>
        <w:br/>
      </w:r>
      <w:r>
        <w:rPr>
          <w:rStyle w:val="VerbatimChar"/>
        </w:rPr>
        <w:t xml:space="preserve">&gt; The expression `E1`{.cpp} is sequenced before the</w:t>
      </w:r>
      <w:r>
        <w:br/>
      </w:r>
      <w:r>
        <w:rPr>
          <w:rStyle w:val="VerbatimChar"/>
        </w:rPr>
        <w:t xml:space="preserve">&gt; expression `E2`{.cpp}.</w:t>
      </w:r>
      <w:r>
        <w:br/>
      </w:r>
      <w:r>
        <w:rPr>
          <w:rStyle w:val="VerbatimChar"/>
        </w:rPr>
        <w:t xml:space="preserve">--&gt;</w:t>
      </w:r>
    </w:p>
    <w:bookmarkEnd w:id="73"/>
    <w:bookmarkStart w:id="74" w:name="guidance-to-language-users"/>
    <w:p>
      <w:pPr>
        <w:pStyle w:val="Heading3"/>
      </w:pPr>
      <w:r>
        <w:t xml:space="preserve">6.16.2 Guidance to language users</w:t>
      </w:r>
    </w:p>
    <w:p>
      <w:pPr>
        <w:pStyle w:val="SourceCode"/>
      </w:pPr>
      <w:r>
        <w:rPr>
          <w:rStyle w:val="VerbatimChar"/>
        </w:rPr>
        <w:t xml:space="preserve">&lt;!--</w:t>
      </w:r>
      <w:r>
        <w:br/>
      </w:r>
      <w:r>
        <w:rPr>
          <w:rStyle w:val="VerbatimChar"/>
        </w:rPr>
        <w:t xml:space="preserve">SGM June 28 2021 - Since the applicability to language is incomplete, this section is currently also incomplete</w:t>
      </w:r>
      <w:r>
        <w:br/>
      </w:r>
      <w:r>
        <w:rPr>
          <w:rStyle w:val="VerbatimChar"/>
        </w:rPr>
        <w:t xml:space="preserve">--&gt;</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1"/>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1"/>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42"/>
        </w:numPr>
      </w:pPr>
      <w:r>
        <w:t xml:space="preserve">Use compilers and static analysis tools to identify dead stores in</w:t>
      </w:r>
      <w:r>
        <w:t xml:space="preserve"> </w:t>
      </w:r>
      <w:r>
        <w:t xml:space="preserve">the program.</w:t>
      </w:r>
    </w:p>
    <w:p>
      <w:pPr>
        <w:numPr>
          <w:ilvl w:val="0"/>
          <w:numId w:val="1042"/>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42"/>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42"/>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42"/>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3"/>
        </w:numPr>
      </w:pPr>
      <w:r>
        <w:t xml:space="preserve">Follow the guidance of ISO/IEC TR 24772-1:2019 clause 6.19.5.</w:t>
      </w:r>
    </w:p>
    <w:p>
      <w:pPr>
        <w:numPr>
          <w:ilvl w:val="0"/>
          <w:numId w:val="1043"/>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4"/>
        </w:numPr>
      </w:pPr>
      <w:r>
        <w:t xml:space="preserve">Follow the guidance of ISO/IEC TR 24772-1:2019 clause 6.20, with the</w:t>
      </w:r>
      <w:r>
        <w:t xml:space="preserve"> </w:t>
      </w:r>
      <w:r>
        <w:t xml:space="preserve">exclusion of guidance related to truncated identifiers.</w:t>
      </w:r>
    </w:p>
    <w:p>
      <w:pPr>
        <w:numPr>
          <w:ilvl w:val="0"/>
          <w:numId w:val="1044"/>
        </w:numPr>
      </w:pPr>
      <w:r>
        <w:t xml:space="preserve">Qualify names to disambiguate potential conflicts between names</w:t>
      </w:r>
      <w:r>
        <w:t xml:space="preserve"> </w:t>
      </w:r>
      <w:r>
        <w:t xml:space="preserve">introduced from different scopes.</w:t>
      </w:r>
    </w:p>
    <w:p>
      <w:pPr>
        <w:numPr>
          <w:ilvl w:val="0"/>
          <w:numId w:val="1044"/>
        </w:numPr>
      </w:pPr>
      <w:r>
        <w:t xml:space="preserve">Document argument-dependent lookup usage where name qualification is</w:t>
      </w:r>
      <w:r>
        <w:t xml:space="preserve"> </w:t>
      </w:r>
      <w:r>
        <w:t xml:space="preserve">not desirable.</w:t>
      </w:r>
    </w:p>
    <w:p>
      <w:pPr>
        <w:numPr>
          <w:ilvl w:val="0"/>
          <w:numId w:val="1044"/>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4"/>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4"/>
        </w:numPr>
      </w:pPr>
      <w:r>
        <w:t xml:space="preserve">Use modern integrated development environments that inform about the</w:t>
      </w:r>
      <w:r>
        <w:t xml:space="preserve"> </w:t>
      </w:r>
      <w:r>
        <w:t xml:space="preserve">declaration of any identifier occurrence.</w:t>
      </w:r>
    </w:p>
    <w:p>
      <w:pPr>
        <w:numPr>
          <w:ilvl w:val="0"/>
          <w:numId w:val="1044"/>
        </w:numPr>
      </w:pPr>
      <w:r>
        <w:t xml:space="preserve">Enable compiler diagnostics that inform about the hiding of</w:t>
      </w:r>
      <w:r>
        <w:t xml:space="preserve"> </w:t>
      </w:r>
      <w:r>
        <w:t xml:space="preserve">declarations.</w:t>
      </w:r>
    </w:p>
    <w:p>
      <w:pPr>
        <w:numPr>
          <w:ilvl w:val="1"/>
          <w:numId w:val="1045"/>
        </w:numPr>
        <w:pStyle w:val="SourceCode"/>
      </w:pPr>
      <w:r>
        <w:rPr>
          <w:rStyle w:val="VerbatimChar"/>
        </w:rPr>
        <w:t xml:space="preserve">  DCL60-CPP. Obey the one-definition</w:t>
      </w:r>
    </w:p>
    <w:p>
      <w:pPr>
        <w:numPr>
          <w:ilvl w:val="1"/>
          <w:numId w:val="1000"/>
        </w:numPr>
      </w:pPr>
      <w:r>
        <w:t xml:space="preserve">rule (6.21)</w:t>
      </w:r>
    </w:p>
    <w:p>
      <w:pPr>
        <w:numPr>
          <w:ilvl w:val="1"/>
          <w:numId w:val="1045"/>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6"/>
        </w:numPr>
      </w:pPr>
      <w:r>
        <w:t xml:space="preserve">Overloading, where clause 6.20 applies;</w:t>
      </w:r>
    </w:p>
    <w:p>
      <w:pPr>
        <w:numPr>
          <w:ilvl w:val="0"/>
          <w:numId w:val="1046"/>
        </w:numPr>
      </w:pPr>
      <w:r>
        <w:t xml:space="preserve">Overriding, where clause 6.41 applies.</w:t>
      </w:r>
    </w:p>
    <w:p>
      <w:pPr>
        <w:pStyle w:val="FirstParagraph"/>
      </w:pPr>
      <w:r>
        <w:t xml:space="preserve">In those cases, C++ compilers are required to diagnose an ambiguity if it exists.</w:t>
      </w:r>
      <w:r>
        <w:t xml:space="preserve"> </w:t>
      </w:r>
      <w:r>
        <w:t xml:space="preserve">However, overload resolution can have unintuitive results and depends on the preceding context.</w:t>
      </w:r>
      <w:r>
        <w:t xml:space="preserve"> </w:t>
      </w:r>
      <w:r>
        <w:t xml:space="preserve">It may not be obvous which function is chosen by the overload resolution process, introducing this vulnerability.</w:t>
      </w:r>
    </w:p>
    <w:p>
      <w:pPr>
        <w:pStyle w:val="BodyText"/>
      </w:pPr>
      <w:r>
        <w:rPr>
          <w:rStyle w:val="VerbatimChar"/>
        </w:rPr>
        <w:t xml:space="preserve">Note Start</w:t>
      </w:r>
      <w:r>
        <w:t xml:space="preserve"> </w:t>
      </w:r>
      <w:r>
        <w:t xml:space="preserve">Code examples: https://godbolt.org/z/erG5nPW19</w:t>
      </w:r>
    </w:p>
    <w:p>
      <w:pPr>
        <w:pStyle w:val="BodyText"/>
      </w:pPr>
      <w:r>
        <w:t xml:space="preserve">210906: During the discussion the meaning of the vulnerability became clear:</w:t>
      </w:r>
    </w:p>
    <w:p>
      <w:pPr>
        <w:pStyle w:val="BlockText"/>
      </w:pPr>
      <w:r>
        <w:t xml:space="preserve">Can a maintainer add an overload that results in a program that still compiles but that has different behavior?</w:t>
      </w:r>
    </w:p>
    <w:p>
      <w:pPr>
        <w:numPr>
          <w:ilvl w:val="0"/>
          <w:numId w:val="1047"/>
        </w:numPr>
      </w:pPr>
      <w:r>
        <w:t xml:space="preserve">The answer is clearly yes. Overloads that are</w:t>
      </w:r>
      <w:r>
        <w:t xml:space="preserve"> </w:t>
      </w:r>
      <w:r>
        <w:t xml:space="preserve">“</w:t>
      </w:r>
      <w:r>
        <w:t xml:space="preserve">better matches</w:t>
      </w:r>
      <w:r>
        <w:t xml:space="preserve">”</w:t>
      </w:r>
      <w:r>
        <w:t xml:space="preserve"> </w:t>
      </w:r>
      <w:r>
        <w:t xml:space="preserve">can be added, and as long as they are found by lookup they will be selected. This is caused where the current best match also involves implicit conversions that are not present, or have a better rank, in the newly added function.</w:t>
      </w:r>
    </w:p>
    <w:p>
      <w:pPr>
        <w:numPr>
          <w:ilvl w:val="0"/>
          <w:numId w:val="1047"/>
        </w:numPr>
      </w:pPr>
      <w:r>
        <w:t xml:space="preserve">The addition of using directives, or the addition of functions to scopes that are later referred to in a using declaration can result in this change happening</w:t>
      </w:r>
      <w:r>
        <w:t xml:space="preserve"> </w:t>
      </w:r>
      <w:r>
        <w:t xml:space="preserve">“</w:t>
      </w:r>
      <w:r>
        <w:t xml:space="preserve">at a distance</w:t>
      </w:r>
      <w:r>
        <w:t xml:space="preserve">”</w:t>
      </w:r>
      <w:r>
        <w:t xml:space="preserve">.</w:t>
      </w:r>
    </w:p>
    <w:p>
      <w:pPr>
        <w:numPr>
          <w:ilvl w:val="0"/>
          <w:numId w:val="1047"/>
        </w:numPr>
      </w:pPr>
      <w:r>
        <w:t xml:space="preserve">Argument Dependent Lookup (ADL), results in namespaces being searched, and should those namespaces have functions added to them they may be selected.</w:t>
      </w:r>
    </w:p>
    <w:p>
      <w:pPr>
        <w:pStyle w:val="FirstParagraph"/>
      </w:pPr>
      <w:r>
        <w:t xml:space="preserve">The guideance is:</w:t>
      </w:r>
    </w:p>
    <w:p>
      <w:pPr>
        <w:numPr>
          <w:ilvl w:val="0"/>
          <w:numId w:val="1048"/>
        </w:numPr>
      </w:pPr>
      <w:r>
        <w:t xml:space="preserve">fully qualify the names to remove any ambiguity of what function is being called if possible. An exception to this is user-defined literals (UDLs) which cannot be called with a fully qualified name.</w:t>
      </w:r>
    </w:p>
    <w:p>
      <w:pPr>
        <w:numPr>
          <w:ilvl w:val="0"/>
          <w:numId w:val="1048"/>
        </w:numPr>
      </w:pPr>
      <w:r>
        <w:t xml:space="preserve">don’t use using directives (except for the UDL case)</w:t>
      </w:r>
    </w:p>
    <w:p>
      <w:pPr>
        <w:numPr>
          <w:ilvl w:val="0"/>
          <w:numId w:val="1048"/>
        </w:numPr>
      </w:pPr>
      <w:r>
        <w:t xml:space="preserve">a namespace defining UDLs should only contain those definitions</w:t>
      </w:r>
    </w:p>
    <w:p>
      <w:pPr>
        <w:numPr>
          <w:ilvl w:val="0"/>
          <w:numId w:val="1048"/>
        </w:numPr>
      </w:pPr>
      <w:r>
        <w:t xml:space="preserve">What about avoiding implicit conversions when calling overloaded functions? However, implicit conversions are not the only way the compiler chooses between overloads:</w:t>
      </w:r>
    </w:p>
    <w:p>
      <w:pPr>
        <w:numPr>
          <w:ilvl w:val="1"/>
          <w:numId w:val="1049"/>
        </w:numPr>
        <w:pStyle w:val="Compact"/>
      </w:pPr>
      <w:r>
        <w:t xml:space="preserve">template vs non template</w:t>
      </w:r>
    </w:p>
    <w:p>
      <w:pPr>
        <w:numPr>
          <w:ilvl w:val="1"/>
          <w:numId w:val="1049"/>
        </w:numPr>
        <w:pStyle w:val="Compact"/>
      </w:pPr>
      <w:r>
        <w:t xml:space="preserve">rvalue ref vs lvalue ref</w:t>
      </w:r>
    </w:p>
    <w:p>
      <w:pPr>
        <w:numPr>
          <w:ilvl w:val="1"/>
          <w:numId w:val="1049"/>
        </w:numPr>
        <w:pStyle w:val="Compact"/>
      </w:pPr>
      <w:r>
        <w:t xml:space="preserve">const vs non-const</w:t>
      </w:r>
    </w:p>
    <w:p>
      <w:pPr>
        <w:pStyle w:val="FirstParagraph"/>
      </w:pPr>
      <w:r>
        <w:rPr>
          <w:rStyle w:val="VerbatimChar"/>
        </w:rPr>
        <w:t xml:space="preserve">Note End</w:t>
      </w:r>
    </w:p>
    <w:bookmarkEnd w:id="87"/>
    <w:bookmarkStart w:id="88" w:name="guidance-to-language-users"/>
    <w:p>
      <w:pPr>
        <w:pStyle w:val="Heading3"/>
      </w:pPr>
      <w:r>
        <w:t xml:space="preserve">6.21.2 Guidance to language users</w:t>
      </w:r>
    </w:p>
    <w:p>
      <w:pPr>
        <w:numPr>
          <w:ilvl w:val="0"/>
          <w:numId w:val="1050"/>
        </w:numPr>
      </w:pPr>
      <w:r>
        <w:t xml:space="preserve">Follow the guidance of clauses 6.20.2 and 6.41.2 as applicable.</w:t>
      </w:r>
    </w:p>
    <w:p>
      <w:pPr>
        <w:numPr>
          <w:ilvl w:val="1"/>
          <w:numId w:val="1051"/>
        </w:numPr>
        <w:pStyle w:val="SourceCode"/>
      </w:pPr>
      <w:r>
        <w:rPr>
          <w:rStyle w:val="VerbatimChar"/>
        </w:rPr>
        <w:t xml:space="preserve">  DCL60-CPP. Obey the one-definition rule (6.21)</w:t>
      </w:r>
    </w:p>
    <w:p>
      <w:pPr>
        <w:numPr>
          <w:ilvl w:val="1"/>
          <w:numId w:val="1051"/>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8"/>
    <w:bookmarkEnd w:id="89"/>
    <w:bookmarkStart w:id="92"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SourceCode"/>
      </w:pPr>
      <w:r>
        <w:rPr>
          <w:rStyle w:val="VerbatimChar"/>
        </w:rPr>
        <w:t xml:space="preserve">&lt;!--</w:t>
      </w:r>
      <w:r>
        <w:br/>
      </w:r>
      <w:r>
        <w:rPr>
          <w:rStyle w:val="VerbatimChar"/>
        </w:rPr>
        <w:t xml:space="preserve">Need a list of references TBD -- (AI -- J. Daniel Garcia)</w:t>
      </w:r>
      <w:r>
        <w:br/>
      </w:r>
      <w:r>
        <w:rPr>
          <w:rStyle w:val="VerbatimChar"/>
        </w:rPr>
        <w:t xml:space="preserve">--&gt;</w:t>
      </w:r>
    </w:p>
    <w:p>
      <w:pPr>
        <w:pStyle w:val="FirstParagraph"/>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0"/>
    <w:bookmarkStart w:id="91" w:name="guidance-to-language-users"/>
    <w:p>
      <w:pPr>
        <w:pStyle w:val="Heading3"/>
      </w:pPr>
      <w:r>
        <w:t xml:space="preserve">6.22.2 Guidance to language users</w:t>
      </w:r>
    </w:p>
    <w:p>
      <w:pPr>
        <w:numPr>
          <w:ilvl w:val="0"/>
          <w:numId w:val="1052"/>
        </w:numPr>
      </w:pPr>
      <w:r>
        <w:t xml:space="preserve">Follow the guidance provided in</w:t>
      </w:r>
    </w:p>
    <w:p>
      <w:pPr>
        <w:numPr>
          <w:ilvl w:val="1"/>
          <w:numId w:val="1053"/>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53"/>
        </w:numPr>
        <w:pStyle w:val="SourceCode"/>
      </w:pPr>
      <w:r>
        <w:rPr>
          <w:rStyle w:val="VerbatimChar"/>
        </w:rPr>
        <w:t xml:space="preserve">  SEI CERT C++ Coding Standard section EXP53-CPP (and possibly</w:t>
      </w:r>
    </w:p>
    <w:p>
      <w:pPr>
        <w:numPr>
          <w:ilvl w:val="1"/>
          <w:numId w:val="1000"/>
        </w:numPr>
      </w:pPr>
      <w:r>
        <w:t xml:space="preserve">more).</w:t>
      </w:r>
    </w:p>
    <w:bookmarkEnd w:id="91"/>
    <w:bookmarkEnd w:id="92"/>
    <w:bookmarkStart w:id="96" w:name="Xeb4b392fc60d52e0e62d52a00eabaa492eaa9e0"/>
    <w:p>
      <w:pPr>
        <w:pStyle w:val="Heading2"/>
      </w:pPr>
      <w:r>
        <w:t xml:space="preserve">6.23 Operator Precedence and Associativity [JCW]</w:t>
      </w:r>
    </w:p>
    <w:bookmarkStart w:id="94"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4"/>
        </w:numPr>
      </w:pPr>
      <w:r>
        <w:rPr>
          <w:rStyle w:val="NormalTok"/>
        </w:rPr>
        <w:t xml:space="preserve">::</w:t>
      </w:r>
      <w:r>
        <w:t xml:space="preserve"> </w:t>
      </w:r>
      <w:r>
        <w:t xml:space="preserve">;</w:t>
      </w:r>
    </w:p>
    <w:p>
      <w:pPr>
        <w:numPr>
          <w:ilvl w:val="0"/>
          <w:numId w:val="1054"/>
        </w:numPr>
      </w:pPr>
      <w:r>
        <w:rPr>
          <w:rStyle w:val="NormalTok"/>
        </w:rPr>
        <w:t xml:space="preserve">.</w:t>
      </w:r>
      <w:r>
        <w:t xml:space="preserve"> </w:t>
      </w:r>
      <w:r>
        <w:t xml:space="preserve">;</w:t>
      </w:r>
    </w:p>
    <w:p>
      <w:pPr>
        <w:numPr>
          <w:ilvl w:val="0"/>
          <w:numId w:val="1054"/>
        </w:numPr>
      </w:pPr>
      <w:r>
        <w:rPr>
          <w:rStyle w:val="NormalTok"/>
        </w:rPr>
        <w:t xml:space="preserve">.\*</w:t>
      </w:r>
      <w:r>
        <w:t xml:space="preserve"> </w:t>
      </w:r>
      <w:r>
        <w:t xml:space="preserve">; and</w:t>
      </w:r>
    </w:p>
    <w:p>
      <w:pPr>
        <w:numPr>
          <w:ilvl w:val="0"/>
          <w:numId w:val="1054"/>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3">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5"/>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5"/>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5"/>
        </w:numPr>
      </w:pPr>
      <w:r>
        <w:rPr>
          <w:rStyle w:val="NormalTok"/>
        </w:rPr>
        <w:t xml:space="preserve">\&gt;</w:t>
      </w:r>
      <w:r>
        <w:t xml:space="preserve"> </w:t>
      </w:r>
      <w:r>
        <w:t xml:space="preserve">and</w:t>
      </w:r>
      <w:r>
        <w:t xml:space="preserve"> </w:t>
      </w:r>
      <w:r>
        <w:rPr>
          <w:rStyle w:val="NormalTok"/>
        </w:rPr>
        <w:t xml:space="preserve">\&lt;=;</w:t>
      </w:r>
    </w:p>
    <w:p>
      <w:pPr>
        <w:numPr>
          <w:ilvl w:val="0"/>
          <w:numId w:val="1055"/>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4"/>
    <w:bookmarkStart w:id="95" w:name="guidance-to-language-users"/>
    <w:p>
      <w:pPr>
        <w:pStyle w:val="Heading3"/>
      </w:pPr>
      <w:r>
        <w:t xml:space="preserve">6.23.2 Guidance to language users</w:t>
      </w:r>
    </w:p>
    <w:p>
      <w:pPr>
        <w:numPr>
          <w:ilvl w:val="0"/>
          <w:numId w:val="1056"/>
        </w:numPr>
      </w:pPr>
      <w:r>
        <w:t xml:space="preserve">Follow the guidance provided in ISO/IEC TR 24772-1:2019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p>
    <w:p>
      <w:pPr>
        <w:numPr>
          <w:ilvl w:val="1"/>
          <w:numId w:val="1057"/>
        </w:numPr>
        <w:pStyle w:val="SourceCode"/>
      </w:pPr>
      <w:r>
        <w:rPr>
          <w:rStyle w:val="VerbatimChar"/>
        </w:rPr>
        <w:t xml:space="preserve">  `&amp;&amp;` ;</w:t>
      </w:r>
    </w:p>
    <w:p>
      <w:pPr>
        <w:numPr>
          <w:ilvl w:val="1"/>
          <w:numId w:val="1057"/>
        </w:numPr>
        <w:pStyle w:val="SourceCode"/>
      </w:pPr>
      <w:r>
        <w:rPr>
          <w:rStyle w:val="VerbatimChar"/>
        </w:rPr>
        <w:t xml:space="preserve">  `||` ;</w:t>
      </w:r>
    </w:p>
    <w:p>
      <w:pPr>
        <w:numPr>
          <w:ilvl w:val="1"/>
          <w:numId w:val="1057"/>
        </w:numPr>
        <w:pStyle w:val="SourceCode"/>
      </w:pPr>
      <w:r>
        <w:rPr>
          <w:rStyle w:val="VerbatimChar"/>
        </w:rPr>
        <w:t xml:space="preserve">  `,` ;</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95"/>
    <w:bookmarkEnd w:id="96"/>
    <w:bookmarkStart w:id="99" w:name="X187ad205340e16f022c4e8cacaf0507e2964127"/>
    <w:p>
      <w:pPr>
        <w:pStyle w:val="Heading2"/>
      </w:pPr>
      <w:r>
        <w:t xml:space="preserve">6.24 Side-effects and Order of Evaluation of Operands [SAM]</w:t>
      </w:r>
    </w:p>
    <w:bookmarkStart w:id="97"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8"/>
        </w:numPr>
      </w:pPr>
      <w:r>
        <w:t xml:space="preserve">Write accesses to objects in that expression,</w:t>
      </w:r>
    </w:p>
    <w:p>
      <w:pPr>
        <w:numPr>
          <w:ilvl w:val="0"/>
          <w:numId w:val="1058"/>
        </w:numPr>
      </w:pPr>
      <w:r>
        <w:t xml:space="preserve">Reading a volatile object,</w:t>
      </w:r>
    </w:p>
    <w:p>
      <w:pPr>
        <w:numPr>
          <w:ilvl w:val="0"/>
          <w:numId w:val="1058"/>
        </w:numPr>
      </w:pPr>
      <w:r>
        <w:t xml:space="preserve">Calling a library I/O function, and</w:t>
      </w:r>
    </w:p>
    <w:p>
      <w:pPr>
        <w:numPr>
          <w:ilvl w:val="0"/>
          <w:numId w:val="105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7"/>
    <w:bookmarkStart w:id="98" w:name="guidance-to-language-users"/>
    <w:p>
      <w:pPr>
        <w:pStyle w:val="Heading3"/>
      </w:pPr>
      <w:r>
        <w:t xml:space="preserve">6.24.2 Guidance to language users</w:t>
      </w:r>
    </w:p>
    <w:p>
      <w:pPr>
        <w:numPr>
          <w:ilvl w:val="0"/>
          <w:numId w:val="1059"/>
        </w:numPr>
      </w:pPr>
      <w:r>
        <w:t xml:space="preserve">Follow the guidance provided in ISO/IEC TR 24772-1:2019 Clause</w:t>
      </w:r>
      <w:r>
        <w:t xml:space="preserve"> </w:t>
      </w:r>
      <w:r>
        <w:t xml:space="preserve">6.24.5.</w:t>
      </w:r>
    </w:p>
    <w:p>
      <w:pPr>
        <w:numPr>
          <w:ilvl w:val="0"/>
          <w:numId w:val="105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9"/>
        </w:numPr>
      </w:pPr>
      <w:r>
        <w:t xml:space="preserve">Avoid overloading logical operators (&amp;&amp; and ||), as these</w:t>
      </w:r>
      <w:r>
        <w:t xml:space="preserve"> </w:t>
      </w:r>
      <w:r>
        <w:t xml:space="preserve">overloaded versions will not short-circuit.</w:t>
      </w:r>
    </w:p>
    <w:p>
      <w:pPr>
        <w:numPr>
          <w:ilvl w:val="0"/>
          <w:numId w:val="105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9"/>
        </w:numPr>
      </w:pPr>
      <w:r>
        <w:t xml:space="preserve">Avoid placing multiple operations with side effects in a single</w:t>
      </w:r>
      <w:r>
        <w:t xml:space="preserve"> </w:t>
      </w:r>
      <w:r>
        <w:t xml:space="preserve">expression.</w:t>
      </w:r>
    </w:p>
    <w:p>
      <w:pPr>
        <w:numPr>
          <w:ilvl w:val="0"/>
          <w:numId w:val="1059"/>
        </w:numPr>
      </w:pPr>
      <w:r>
        <w:t xml:space="preserve">Write simple code expressions and statements so that within any</w:t>
      </w:r>
      <w:r>
        <w:t xml:space="preserve"> </w:t>
      </w:r>
      <w:r>
        <w:t xml:space="preserve">expression or statement an object is one of:</w:t>
      </w:r>
    </w:p>
    <w:p>
      <w:pPr>
        <w:numPr>
          <w:ilvl w:val="1"/>
          <w:numId w:val="1060"/>
        </w:numPr>
        <w:pStyle w:val="SourceCode"/>
      </w:pPr>
      <w:r>
        <w:rPr>
          <w:rStyle w:val="VerbatimChar"/>
        </w:rPr>
        <w:t xml:space="preserve">  Read from;</w:t>
      </w:r>
    </w:p>
    <w:p>
      <w:pPr>
        <w:numPr>
          <w:ilvl w:val="1"/>
          <w:numId w:val="1060"/>
        </w:numPr>
        <w:pStyle w:val="SourceCode"/>
      </w:pPr>
      <w:r>
        <w:rPr>
          <w:rStyle w:val="VerbatimChar"/>
        </w:rPr>
        <w:t xml:space="preserve">  Only modified once; or</w:t>
      </w:r>
    </w:p>
    <w:p>
      <w:pPr>
        <w:numPr>
          <w:ilvl w:val="1"/>
          <w:numId w:val="106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9"/>
        </w:numPr>
      </w:pPr>
      <w:r>
        <w:t xml:space="preserve">Be aware that different versions of C++ have different evaluation</w:t>
      </w:r>
      <w:r>
        <w:t xml:space="preserve"> </w:t>
      </w:r>
      <w:r>
        <w:t xml:space="preserve">order specifications and program accordingly.</w:t>
      </w:r>
    </w:p>
    <w:bookmarkEnd w:id="98"/>
    <w:bookmarkEnd w:id="99"/>
    <w:bookmarkStart w:id="102" w:name="KOA"/>
    <w:p>
      <w:pPr>
        <w:pStyle w:val="Heading2"/>
      </w:pPr>
      <w:r>
        <w:t xml:space="preserve">6.25 Likely Incorrect Expression [KOA]</w:t>
      </w:r>
    </w:p>
    <w:bookmarkStart w:id="100"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61"/>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61"/>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61"/>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61"/>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0"/>
    <w:bookmarkStart w:id="101"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62"/>
        </w:numPr>
      </w:pPr>
      <w:r>
        <w:t xml:space="preserve">Simplify expressions to aid in code readability and help future maintainers</w:t>
      </w:r>
      <w:r>
        <w:t xml:space="preserve"> </w:t>
      </w:r>
      <w:r>
        <w:t xml:space="preserve">understand the intent and nuances of the code. For example,</w:t>
      </w:r>
    </w:p>
    <w:p>
      <w:pPr>
        <w:numPr>
          <w:ilvl w:val="1"/>
          <w:numId w:val="1063"/>
        </w:numPr>
        <w:pStyle w:val="Compact"/>
      </w:pPr>
      <w:r>
        <w:t xml:space="preserve">by extracting intermediate results into const variables with a meaningful name, or</w:t>
      </w:r>
    </w:p>
    <w:p>
      <w:pPr>
        <w:numPr>
          <w:ilvl w:val="1"/>
          <w:numId w:val="1063"/>
        </w:numPr>
        <w:pStyle w:val="Compact"/>
      </w:pPr>
      <w:r>
        <w:t xml:space="preserve">by extracting a subexpression into a function with a meaningful name.</w:t>
      </w:r>
    </w:p>
    <w:p>
      <w:pPr>
        <w:numPr>
          <w:ilvl w:val="0"/>
          <w:numId w:val="1062"/>
        </w:numPr>
      </w:pPr>
      <w:r>
        <w:t xml:space="preserve">Avoid assignments embedded within other statements and expressions, as these can</w:t>
      </w:r>
      <w:r>
        <w:t xml:space="preserve"> </w:t>
      </w:r>
      <w:r>
        <w:t xml:space="preserve">be problematic.</w:t>
      </w:r>
    </w:p>
    <w:p>
      <w:pPr>
        <w:numPr>
          <w:ilvl w:val="0"/>
          <w:numId w:val="1062"/>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62"/>
        </w:numPr>
      </w:pPr>
      <w:r>
        <w:t xml:space="preserve">Use alternative tokens for the logical operators.</w:t>
      </w:r>
    </w:p>
    <w:p>
      <w:pPr>
        <w:numPr>
          <w:ilvl w:val="0"/>
          <w:numId w:val="1064"/>
        </w:numPr>
      </w:pPr>
      <w:r>
        <w:t xml:space="preserve">Consider the adoption of a coding standard that limits the use of</w:t>
      </w:r>
      <w:r>
        <w:t xml:space="preserve"> </w:t>
      </w:r>
      <w:r>
        <w:t xml:space="preserve">the assignment statement within an expression.</w:t>
      </w:r>
    </w:p>
    <w:p>
      <w:pPr>
        <w:numPr>
          <w:ilvl w:val="0"/>
          <w:numId w:val="1064"/>
        </w:numPr>
      </w:pPr>
      <w:r>
        <w:t xml:space="preserve">Follow the following C++ Core guidelines:</w:t>
      </w:r>
    </w:p>
    <w:p>
      <w:pPr>
        <w:numPr>
          <w:ilvl w:val="1"/>
          <w:numId w:val="1065"/>
        </w:numPr>
        <w:pStyle w:val="Compact"/>
      </w:pPr>
      <w:r>
        <w:t xml:space="preserve">ES 40 Avoid complicated expressions</w:t>
      </w:r>
    </w:p>
    <w:p>
      <w:pPr>
        <w:numPr>
          <w:ilvl w:val="1"/>
          <w:numId w:val="1065"/>
        </w:numPr>
        <w:pStyle w:val="Compact"/>
      </w:pPr>
      <w:r>
        <w:t xml:space="preserve">ES 41 If in doubt about operator precedence, parenthesize</w:t>
      </w:r>
    </w:p>
    <w:p>
      <w:pPr>
        <w:numPr>
          <w:ilvl w:val="1"/>
          <w:numId w:val="1065"/>
        </w:numPr>
        <w:pStyle w:val="Compact"/>
      </w:pPr>
      <w:r>
        <w:t xml:space="preserve">ES 44 Do not depend on order of evaluation</w:t>
      </w:r>
    </w:p>
    <w:bookmarkEnd w:id="101"/>
    <w:bookmarkEnd w:id="102"/>
    <w:bookmarkStart w:id="105" w:name="dead-and-deactivated-code-xyq"/>
    <w:p>
      <w:pPr>
        <w:pStyle w:val="Heading2"/>
      </w:pPr>
      <w:r>
        <w:t xml:space="preserve">6.26 Dead and Deactivated Code [XYQ]</w:t>
      </w:r>
    </w:p>
    <w:bookmarkStart w:id="103"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3"/>
    <w:bookmarkStart w:id="104" w:name="guidance-to-language-users"/>
    <w:p>
      <w:pPr>
        <w:pStyle w:val="Heading3"/>
      </w:pPr>
      <w:r>
        <w:t xml:space="preserve">6.26.2 Guidance to language users</w:t>
      </w:r>
    </w:p>
    <w:p>
      <w:pPr>
        <w:numPr>
          <w:ilvl w:val="0"/>
          <w:numId w:val="1066"/>
        </w:numPr>
        <w:pStyle w:val="Compact"/>
      </w:pPr>
      <w:r>
        <w:t xml:space="preserve">Follow the guidance of ISO/IEC TR 24772-1:2019 clause 6.26.5.</w:t>
      </w:r>
    </w:p>
    <w:bookmarkEnd w:id="104"/>
    <w:bookmarkEnd w:id="105"/>
    <w:bookmarkStart w:id="108" w:name="Xc86cceedfcf0c77c094b3df762cc0f756518ffc"/>
    <w:p>
      <w:pPr>
        <w:pStyle w:val="Heading2"/>
      </w:pPr>
      <w:r>
        <w:t xml:space="preserve">6.27 Switch Statements and Static Analysis [CLL]</w:t>
      </w:r>
    </w:p>
    <w:bookmarkStart w:id="106"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6"/>
    <w:bookmarkStart w:id="107" w:name="guidance-to-language-users"/>
    <w:p>
      <w:pPr>
        <w:pStyle w:val="Heading3"/>
      </w:pPr>
      <w:r>
        <w:t xml:space="preserve">6.27.2 Guidance to language users</w:t>
      </w:r>
    </w:p>
    <w:p>
      <w:pPr>
        <w:numPr>
          <w:ilvl w:val="0"/>
          <w:numId w:val="1067"/>
        </w:numPr>
      </w:pPr>
      <w:r>
        <w:t xml:space="preserve">Apply the guidance provided in ISO/IEC TR 24772-1:2019 clause 6.27.5</w:t>
      </w:r>
    </w:p>
    <w:p>
      <w:pPr>
        <w:numPr>
          <w:ilvl w:val="0"/>
          <w:numId w:val="106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7"/>
    <w:bookmarkEnd w:id="108"/>
    <w:bookmarkStart w:id="111" w:name="demarcation-of-control-flow-eoj"/>
    <w:p>
      <w:pPr>
        <w:pStyle w:val="Heading2"/>
      </w:pPr>
      <w:r>
        <w:t xml:space="preserve">6.28 Demarcation of Control Flow [EOJ]</w:t>
      </w:r>
    </w:p>
    <w:bookmarkStart w:id="109"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09"/>
    <w:bookmarkStart w:id="110" w:name="guidance-to-language-users"/>
    <w:p>
      <w:pPr>
        <w:pStyle w:val="Heading3"/>
      </w:pPr>
      <w:r>
        <w:t xml:space="preserve">6.28.2 Guidance to language users</w:t>
      </w:r>
    </w:p>
    <w:p>
      <w:pPr>
        <w:numPr>
          <w:ilvl w:val="0"/>
          <w:numId w:val="1068"/>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9"/>
        </w:numPr>
      </w:pPr>
      <w:r>
        <w:t xml:space="preserve">Declare loop variables in the initializer of the loop statement</w:t>
      </w:r>
    </w:p>
    <w:p>
      <w:pPr>
        <w:numPr>
          <w:ilvl w:val="0"/>
          <w:numId w:val="1069"/>
        </w:numPr>
      </w:pPr>
      <w:r>
        <w:t xml:space="preserve">Prefer the standard library algorithms over hand-crafted loops.</w:t>
      </w:r>
    </w:p>
    <w:p>
      <w:pPr>
        <w:pStyle w:val="BlockText"/>
      </w:pPr>
      <w:r>
        <w:t xml:space="preserve">See also the C++ Core Guidelines ES.85, ES.71, ES.74, ES.1 and ES.2</w:t>
      </w:r>
    </w:p>
    <w:bookmarkEnd w:id="110"/>
    <w:bookmarkEnd w:id="111"/>
    <w:bookmarkStart w:id="114" w:name="loop-control-variables-tex"/>
    <w:p>
      <w:pPr>
        <w:pStyle w:val="Heading2"/>
      </w:pPr>
      <w:r>
        <w:t xml:space="preserve">6.29 Loop Control Variables [TEX]</w:t>
      </w:r>
    </w:p>
    <w:bookmarkStart w:id="112"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2"/>
    <w:bookmarkStart w:id="113" w:name="guidance-to-language-users"/>
    <w:p>
      <w:pPr>
        <w:pStyle w:val="Heading3"/>
      </w:pPr>
      <w:r>
        <w:t xml:space="preserve">6.29.2 Guidance to language users</w:t>
      </w:r>
    </w:p>
    <w:p>
      <w:pPr>
        <w:numPr>
          <w:ilvl w:val="0"/>
          <w:numId w:val="1070"/>
        </w:numPr>
      </w:pPr>
      <w:r>
        <w:t xml:space="preserve">Apply the guidance of ISO/IEC TR 24772-1:2019 clause 6.29.5.</w:t>
      </w:r>
    </w:p>
    <w:p>
      <w:pPr>
        <w:numPr>
          <w:ilvl w:val="0"/>
          <w:numId w:val="1070"/>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70"/>
        </w:numPr>
      </w:pPr>
      <w:r>
        <w:t xml:space="preserve">Use a range for loop in preference to general loops</w:t>
      </w:r>
    </w:p>
    <w:p>
      <w:pPr>
        <w:numPr>
          <w:ilvl w:val="0"/>
          <w:numId w:val="1070"/>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70"/>
        </w:numPr>
      </w:pPr>
      <w:r>
        <w:t xml:space="preserve">Something about multiple loop control variables in the same loop?</w:t>
      </w:r>
    </w:p>
    <w:p>
      <w:pPr>
        <w:pStyle w:val="FirstParagraph"/>
      </w:pPr>
      <w:r>
        <w:t xml:space="preserve">Note: See also the C++ Core Guidelines ES.71, ES.86,</w:t>
      </w:r>
    </w:p>
    <w:bookmarkEnd w:id="113"/>
    <w:bookmarkEnd w:id="114"/>
    <w:bookmarkStart w:id="117" w:name="off-by-one-error-xzh"/>
    <w:p>
      <w:pPr>
        <w:pStyle w:val="Heading2"/>
      </w:pPr>
      <w:r>
        <w:t xml:space="preserve">6.30 Off-by-one Error [XZH]</w:t>
      </w:r>
    </w:p>
    <w:bookmarkStart w:id="115"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71"/>
        </w:numPr>
      </w:pPr>
      <w:r>
        <w:t xml:space="preserve">Range-based for loops</w:t>
      </w:r>
    </w:p>
    <w:p>
      <w:pPr>
        <w:numPr>
          <w:ilvl w:val="0"/>
          <w:numId w:val="1071"/>
        </w:numPr>
      </w:pPr>
      <w:r>
        <w:rPr>
          <w:rStyle w:val="NormalTok"/>
        </w:rPr>
        <w:t xml:space="preserve">std</w:t>
      </w:r>
      <w:r>
        <w:t xml:space="preserve"> </w:t>
      </w:r>
      <w:r>
        <w:t xml:space="preserve">algorithms</w:t>
      </w:r>
    </w:p>
    <w:p>
      <w:pPr>
        <w:numPr>
          <w:ilvl w:val="0"/>
          <w:numId w:val="1071"/>
        </w:numPr>
      </w:pPr>
      <w:r>
        <w:t xml:space="preserve">Iterator style loops terminated by</w:t>
      </w:r>
      <w:r>
        <w:t xml:space="preserve"> </w:t>
      </w:r>
      <w:r>
        <w:rPr>
          <w:rStyle w:val="NormalTok"/>
        </w:rPr>
        <w:t xml:space="preserve">!=</w:t>
      </w:r>
    </w:p>
    <w:p>
      <w:pPr>
        <w:numPr>
          <w:ilvl w:val="0"/>
          <w:numId w:val="1071"/>
        </w:numPr>
      </w:pPr>
      <w:r>
        <w:t xml:space="preserve">Container classes</w:t>
      </w:r>
    </w:p>
    <w:p>
      <w:pPr>
        <w:numPr>
          <w:ilvl w:val="0"/>
          <w:numId w:val="107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5"/>
    <w:bookmarkStart w:id="116" w:name="guidance-to-language-users"/>
    <w:p>
      <w:pPr>
        <w:pStyle w:val="Heading3"/>
      </w:pPr>
      <w:r>
        <w:t xml:space="preserve">6.30.2 Guidance to language users</w:t>
      </w:r>
    </w:p>
    <w:p>
      <w:pPr>
        <w:numPr>
          <w:ilvl w:val="0"/>
          <w:numId w:val="1072"/>
        </w:numPr>
      </w:pPr>
      <w:r>
        <w:t xml:space="preserve">Follow the guidance of ISO/IEC TR 24772-1:2019 clause 6.30.5.</w:t>
      </w:r>
    </w:p>
    <w:p>
      <w:pPr>
        <w:numPr>
          <w:ilvl w:val="0"/>
          <w:numId w:val="1072"/>
        </w:numPr>
      </w:pPr>
      <w:r>
        <w:t xml:space="preserve">Use careful programming, testing of border conditions, and static</w:t>
      </w:r>
      <w:r>
        <w:t xml:space="preserve"> </w:t>
      </w:r>
      <w:r>
        <w:t xml:space="preserve">analysis tools to detect off-by-one errors in C++.</w:t>
      </w:r>
    </w:p>
    <w:p>
      <w:pPr>
        <w:numPr>
          <w:ilvl w:val="0"/>
          <w:numId w:val="107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6"/>
    <w:bookmarkEnd w:id="117"/>
    <w:bookmarkStart w:id="120" w:name="structured-programming-ewd"/>
    <w:p>
      <w:pPr>
        <w:pStyle w:val="Heading2"/>
      </w:pPr>
      <w:r>
        <w:t xml:space="preserve">6.31 Structured Programming [EWD]</w:t>
      </w:r>
    </w:p>
    <w:bookmarkStart w:id="118"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8"/>
    <w:bookmarkStart w:id="119" w:name="guidance-to-language-users"/>
    <w:p>
      <w:pPr>
        <w:pStyle w:val="Heading3"/>
      </w:pPr>
      <w:r>
        <w:t xml:space="preserve">6.31.2 Guidance to language users</w:t>
      </w:r>
    </w:p>
    <w:p>
      <w:pPr>
        <w:numPr>
          <w:ilvl w:val="0"/>
          <w:numId w:val="1073"/>
        </w:numPr>
      </w:pPr>
      <w:r>
        <w:t xml:space="preserve">Write clear and concise structured code to make code as</w:t>
      </w:r>
      <w:r>
        <w:t xml:space="preserve"> </w:t>
      </w:r>
      <w:r>
        <w:t xml:space="preserve">understandable as possible.</w:t>
      </w:r>
    </w:p>
    <w:p>
      <w:pPr>
        <w:numPr>
          <w:ilvl w:val="0"/>
          <w:numId w:val="1073"/>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4"/>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19"/>
    <w:bookmarkEnd w:id="120"/>
    <w:bookmarkStart w:id="123" w:name="passing-parameters-and-return-values-csj"/>
    <w:p>
      <w:pPr>
        <w:pStyle w:val="Heading2"/>
      </w:pPr>
      <w:r>
        <w:t xml:space="preserve">6.32 Passing Parameters and Return Values [CSJ]</w:t>
      </w:r>
    </w:p>
    <w:bookmarkStart w:id="121"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5"/>
        </w:numPr>
        <w:pStyle w:val="Compact"/>
      </w:pPr>
      <w:r>
        <w:t xml:space="preserve">without a qualification a member function can be called on rvalues and non-const lvalues, and</w:t>
      </w:r>
    </w:p>
    <w:p>
      <w:pPr>
        <w:numPr>
          <w:ilvl w:val="0"/>
          <w:numId w:val="1075"/>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1"/>
    <w:bookmarkStart w:id="122" w:name="guidance-to-language-users"/>
    <w:p>
      <w:pPr>
        <w:pStyle w:val="Heading3"/>
      </w:pPr>
      <w:r>
        <w:t xml:space="preserve">6.32.2 Guidance to language users</w:t>
      </w:r>
    </w:p>
    <w:p>
      <w:pPr>
        <w:numPr>
          <w:ilvl w:val="0"/>
          <w:numId w:val="1076"/>
        </w:numPr>
      </w:pPr>
      <w:r>
        <w:t xml:space="preserve">Follow the advice of ISO/IEC TR 24772-1:2019 clause 6.32.5.</w:t>
      </w:r>
    </w:p>
    <w:p>
      <w:pPr>
        <w:numPr>
          <w:ilvl w:val="0"/>
          <w:numId w:val="1076"/>
        </w:numPr>
      </w:pPr>
      <w:r>
        <w:t xml:space="preserve">Prefer pass-by-value and pass-by-const-reference over other means of</w:t>
      </w:r>
      <w:r>
        <w:t xml:space="preserve"> </w:t>
      </w:r>
      <w:r>
        <w:t xml:space="preserve">parameter declaration.</w:t>
      </w:r>
    </w:p>
    <w:p>
      <w:pPr>
        <w:numPr>
          <w:ilvl w:val="0"/>
          <w:numId w:val="1076"/>
        </w:numPr>
      </w:pPr>
      <w:r>
        <w:t xml:space="preserve">Prefer reference parameters over corresponding pointer parameters.</w:t>
      </w:r>
    </w:p>
    <w:p>
      <w:pPr>
        <w:numPr>
          <w:ilvl w:val="0"/>
          <w:numId w:val="1076"/>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6"/>
        </w:numPr>
      </w:pPr>
      <w:r>
        <w:t xml:space="preserve">Always reassign a variable passed by rvalue-reference before subsequent use after the call.</w:t>
      </w:r>
    </w:p>
    <w:p>
      <w:pPr>
        <w:numPr>
          <w:ilvl w:val="0"/>
          <w:numId w:val="1076"/>
        </w:numPr>
      </w:pPr>
      <w:r>
        <w:t xml:space="preserve">Use forwarding reference parameters only,</w:t>
      </w:r>
      <w:r>
        <w:t xml:space="preserve"> </w:t>
      </w:r>
      <w:r>
        <w:t xml:space="preserve">if perfect forwarding is needed in the body of a function template or generic lambda.</w:t>
      </w:r>
    </w:p>
    <w:p>
      <w:pPr>
        <w:numPr>
          <w:ilvl w:val="0"/>
          <w:numId w:val="1076"/>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6"/>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6"/>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7"/>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7"/>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7"/>
        </w:numPr>
      </w:pPr>
      <w:r>
        <w:t xml:space="preserve">Shift operators used for input and output: the result always refers</w:t>
      </w:r>
      <w:r>
        <w:t xml:space="preserve"> </w:t>
      </w:r>
      <w:r>
        <w:t xml:space="preserve">to the left parameter.</w:t>
      </w:r>
    </w:p>
    <w:p>
      <w:pPr>
        <w:numPr>
          <w:ilvl w:val="1"/>
          <w:numId w:val="1077"/>
        </w:numPr>
      </w:pPr>
      <w:r>
        <w:t xml:space="preserve">Prefix increment and decrement operators: the result always refers</w:t>
      </w:r>
      <w:r>
        <w:t xml:space="preserve"> </w:t>
      </w:r>
      <w:r>
        <w:t xml:space="preserve">to the parameter.</w:t>
      </w:r>
    </w:p>
    <w:p>
      <w:pPr>
        <w:numPr>
          <w:ilvl w:val="0"/>
          <w:numId w:val="1076"/>
        </w:numPr>
      </w:pPr>
      <w:r>
        <w:t xml:space="preserve">Do not use function-like macros. If used, surround all macro parameters in the replacement text with parenthesis.</w:t>
      </w:r>
    </w:p>
    <w:bookmarkEnd w:id="122"/>
    <w:bookmarkEnd w:id="123"/>
    <w:bookmarkStart w:id="126" w:name="dangling-references-to-stack-frames-dcm"/>
    <w:p>
      <w:pPr>
        <w:pStyle w:val="Heading2"/>
      </w:pPr>
      <w:r>
        <w:t xml:space="preserve">6.33 Dangling References to Stack Frames [DCM]</w:t>
      </w:r>
    </w:p>
    <w:bookmarkStart w:id="124"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4"/>
    <w:bookmarkStart w:id="125" w:name="guidance-to-language-users"/>
    <w:p>
      <w:pPr>
        <w:pStyle w:val="Heading3"/>
      </w:pPr>
      <w:r>
        <w:t xml:space="preserve">6.33.2 Guidance to language users</w:t>
      </w:r>
    </w:p>
    <w:p>
      <w:pPr>
        <w:numPr>
          <w:ilvl w:val="0"/>
          <w:numId w:val="1078"/>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8"/>
        </w:numPr>
      </w:pPr>
      <w:r>
        <w:t xml:space="preserve">Do not return the address of a local variable as the result of a</w:t>
      </w:r>
      <w:r>
        <w:t xml:space="preserve"> </w:t>
      </w:r>
      <w:r>
        <w:t xml:space="preserve">function call.</w:t>
      </w:r>
    </w:p>
    <w:p>
      <w:pPr>
        <w:numPr>
          <w:ilvl w:val="0"/>
          <w:numId w:val="1078"/>
        </w:numPr>
      </w:pPr>
      <w:r>
        <w:t xml:space="preserve">Do not return a local variable as the result of a function returning</w:t>
      </w:r>
      <w:r>
        <w:t xml:space="preserve"> </w:t>
      </w:r>
      <w:r>
        <w:t xml:space="preserve">a reference type</w:t>
      </w:r>
    </w:p>
    <w:p>
      <w:pPr>
        <w:numPr>
          <w:ilvl w:val="0"/>
          <w:numId w:val="1078"/>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5"/>
    <w:bookmarkEnd w:id="126"/>
    <w:bookmarkStart w:id="130" w:name="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7">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f1 (</w:t>
      </w:r>
      <w:r>
        <w:rPr>
          <w:rStyle w:val="DataTypeTok"/>
        </w:rPr>
        <w:t xml:space="preserve">int</w:t>
      </w:r>
      <w:r>
        <w:rPr>
          <w:rStyle w:val="NormalTok"/>
        </w:rPr>
        <w:t xml:space="preserve">, T ... t);</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0</w:t>
      </w:r>
      <w:r>
        <w:rPr>
          <w:rStyle w:val="NormalTok"/>
        </w:rPr>
        <w:t xml:space="preserve">, </w:t>
      </w:r>
      <w:r>
        <w:rPr>
          <w:rStyle w:val="FloatTok"/>
        </w:rPr>
        <w:t xml:space="preserve">0.1</w:t>
      </w:r>
      <w:r>
        <w:rPr>
          <w:rStyle w:val="NormalTok"/>
        </w:rPr>
        <w:t xml:space="preserve">, </w:t>
      </w:r>
      <w:r>
        <w:rPr>
          <w:rStyle w:val="CharTok"/>
        </w:rPr>
        <w:t xml:space="preserve">'a'</w:t>
      </w:r>
      <w:r>
        <w:rPr>
          <w:rStyle w:val="NormalTok"/>
        </w:rPr>
        <w:t xml:space="preserve">); </w:t>
      </w:r>
      <w:r>
        <w:rPr>
          <w:rStyle w:val="CommentTok"/>
        </w:rPr>
        <w:t xml:space="preserve">// OK - calls f&lt;double, char&gt; (int, double, char);</w:t>
      </w:r>
      <w:r>
        <w:br/>
      </w:r>
      <w:r>
        <w:rPr>
          <w:rStyle w:val="NormalTok"/>
        </w:rPr>
        <w:t xml:space="preserve">}</w:t>
      </w:r>
    </w:p>
    <w:p>
      <w:pPr>
        <w:pStyle w:val="FirstParagraph"/>
      </w:pPr>
      <w:r>
        <w:t xml:space="preserve">A call to a function with default arguments can provide fewer arguments than parameters as long as the parameters for which no explicit argument is provided include a default argument:</w:t>
      </w:r>
    </w:p>
    <w:p>
      <w:pPr>
        <w:pStyle w:val="SourceCode"/>
      </w:pP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        </w:t>
      </w:r>
      <w:r>
        <w:rPr>
          <w:rStyle w:val="CommentTok"/>
        </w:rPr>
        <w:t xml:space="preserve">// error, not enough arguments </w:t>
      </w:r>
      <w:r>
        <w:br/>
      </w:r>
      <w:r>
        <w:rPr>
          <w:rStyle w:val="NormalTok"/>
        </w:rPr>
        <w:t xml:space="preserve">  f1 (</w:t>
      </w:r>
      <w:r>
        <w:rPr>
          <w:rStyle w:val="DecValTok"/>
        </w:rPr>
        <w:t xml:space="preserve">1</w:t>
      </w:r>
      <w:r>
        <w:rPr>
          <w:rStyle w:val="NormalTok"/>
        </w:rPr>
        <w:t xml:space="preserve">);       </w:t>
      </w:r>
      <w:r>
        <w:rPr>
          <w:rStyle w:val="CommentTok"/>
        </w:rPr>
        <w:t xml:space="preserve">// OK, f1(1, 0)</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OK, f1(1, 2)</w:t>
      </w:r>
      <w:r>
        <w:br/>
      </w:r>
      <w:r>
        <w:rPr>
          <w:rStyle w:val="NormalTok"/>
        </w:rPr>
        <w:t xml:space="preserve">}</w:t>
      </w:r>
    </w:p>
    <w:p>
      <w:pPr>
        <w:pStyle w:val="FirstParagraph"/>
      </w:pPr>
      <w:r>
        <w:t xml:space="preserve">Note: during overload resolution the compiler only considers conversions for the explicitly specified arguments.</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BuiltInTok"/>
        </w:rPr>
        <w:t xml:space="preserve">L</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w:t>
      </w:r>
    </w:p>
    <w:p>
      <w:pPr>
        <w:pStyle w:val="FirstParagraph"/>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  </w:t>
      </w:r>
      <w:r>
        <w:rPr>
          <w:rStyle w:val="CommentTok"/>
        </w:rPr>
        <w:t xml:space="preserve">// corresponds to parameter '2', with value '3'</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w:t>
      </w:r>
    </w:p>
    <w:p>
      <w:pPr>
        <w:pStyle w:val="FirstParagraph"/>
      </w:pPr>
      <w:r>
        <w:t xml:space="preserve">Unlike the other mechanisms for argument passing, undefined behavior can arise, for example:</w:t>
      </w:r>
    </w:p>
    <w:p>
      <w:pPr>
        <w:numPr>
          <w:ilvl w:val="0"/>
          <w:numId w:val="107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8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bookmarkEnd w:id="128"/>
    <w:bookmarkStart w:id="129" w:name="guidance-to-language-users"/>
    <w:p>
      <w:pPr>
        <w:pStyle w:val="Heading3"/>
      </w:pPr>
      <w:r>
        <w:t xml:space="preserve">6.34.2 Guidance to language users</w:t>
      </w:r>
    </w:p>
    <w:p>
      <w:pPr>
        <w:numPr>
          <w:ilvl w:val="0"/>
          <w:numId w:val="1081"/>
        </w:numPr>
      </w:pPr>
      <w:r>
        <w:t xml:space="preserve">Follow the guidelines of ISO/IEC TR 24772-1:2019 clause 6.34.5.</w:t>
      </w:r>
    </w:p>
    <w:p>
      <w:pPr>
        <w:numPr>
          <w:ilvl w:val="0"/>
          <w:numId w:val="1081"/>
        </w:numPr>
      </w:pPr>
      <w:r>
        <w:t xml:space="preserve">Do not overload and use default arguments for the same set of functions</w:t>
      </w:r>
    </w:p>
    <w:p>
      <w:pPr>
        <w:numPr>
          <w:ilvl w:val="0"/>
          <w:numId w:val="1081"/>
        </w:numPr>
      </w:pPr>
      <w:r>
        <w:t xml:space="preserve">Do not use functionality from</w:t>
      </w:r>
      <w:r>
        <w:t xml:space="preserve"> </w:t>
      </w:r>
      <w:r>
        <w:rPr>
          <w:rStyle w:val="VerbatimChar"/>
        </w:rPr>
        <w:t xml:space="preserve">&lt;cstdarg&gt;</w:t>
      </w:r>
    </w:p>
    <w:p>
      <w:pPr>
        <w:pStyle w:val="FirstParagraph"/>
      </w:pPr>
      <w:r>
        <w:t xml:space="preserve">Note: 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2"/>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3"/>
        </w:numPr>
      </w:pPr>
      <w:r>
        <w:t xml:space="preserve">Follow the mitigation mechanisms of subclause 6.36.5 of ISO/IEC TR</w:t>
      </w:r>
      <w:r>
        <w:t xml:space="preserve"> </w:t>
      </w:r>
      <w:r>
        <w:t xml:space="preserve">24772-1:2019.</w:t>
      </w:r>
    </w:p>
    <w:p>
      <w:pPr>
        <w:numPr>
          <w:ilvl w:val="0"/>
          <w:numId w:val="1083"/>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3"/>
        </w:numPr>
      </w:pPr>
      <w:r>
        <w:t xml:space="preserve">Use static analysis tools to detect and report missing or</w:t>
      </w:r>
      <w:r>
        <w:t xml:space="preserve"> </w:t>
      </w:r>
      <w:r>
        <w:t xml:space="preserve">ineffective error detection or handling.</w:t>
      </w:r>
    </w:p>
    <w:p>
      <w:pPr>
        <w:numPr>
          <w:ilvl w:val="0"/>
          <w:numId w:val="1083"/>
        </w:numPr>
      </w:pPr>
      <w:r>
        <w:t xml:space="preserve">Avoid error handling based on global state.</w:t>
      </w:r>
    </w:p>
    <w:p>
      <w:pPr>
        <w:numPr>
          <w:ilvl w:val="0"/>
          <w:numId w:val="1083"/>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3"/>
        </w:numPr>
      </w:pPr>
      <w:r>
        <w:t xml:space="preserve">Prefer throwing exceptions to returning error values.</w:t>
      </w:r>
    </w:p>
    <w:p>
      <w:pPr>
        <w:numPr>
          <w:ilvl w:val="0"/>
          <w:numId w:val="1083"/>
        </w:numPr>
      </w:pPr>
      <w:r>
        <w:t xml:space="preserve">Use destructors to manage the finalization of the current context</w:t>
      </w:r>
      <w:r>
        <w:t xml:space="preserve"> </w:t>
      </w:r>
      <w:r>
        <w:t xml:space="preserve">upon exit, whether erroneous or not.</w:t>
      </w:r>
    </w:p>
    <w:p>
      <w:pPr>
        <w:numPr>
          <w:ilvl w:val="0"/>
          <w:numId w:val="1083"/>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3"/>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3"/>
        </w:numPr>
      </w:pPr>
      <w:r>
        <w:t xml:space="preserve">Consider termination as a last resort strategy for main or for</w:t>
      </w:r>
      <w:r>
        <w:t xml:space="preserve"> </w:t>
      </w:r>
      <w:r>
        <w:t xml:space="preserve">noexcept functions.</w:t>
      </w:r>
    </w:p>
    <w:p>
      <w:pPr>
        <w:numPr>
          <w:ilvl w:val="0"/>
          <w:numId w:val="1083"/>
        </w:numPr>
      </w:pPr>
      <w:r>
        <w:t xml:space="preserve">Notify higher level constructs before a thread is allowed to</w:t>
      </w:r>
      <w:r>
        <w:t xml:space="preserve"> </w:t>
      </w:r>
      <w:r>
        <w:t xml:space="preserve">terminate.</w:t>
      </w:r>
    </w:p>
    <w:p>
      <w:pPr>
        <w:numPr>
          <w:ilvl w:val="0"/>
          <w:numId w:val="1083"/>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4"/>
        </w:numPr>
      </w:pPr>
      <w:r>
        <w:t xml:space="preserve">Follow the guidelines of ISO/IEC TR 24772-1:2019 clause 6.38.5.</w:t>
      </w:r>
    </w:p>
    <w:p>
      <w:pPr>
        <w:numPr>
          <w:ilvl w:val="0"/>
          <w:numId w:val="1084"/>
        </w:numPr>
      </w:pPr>
      <w:r>
        <w:t xml:space="preserve">When using unions, implement an explicit discriminant and check its</w:t>
      </w:r>
      <w:r>
        <w:t xml:space="preserve"> </w:t>
      </w:r>
      <w:r>
        <w:t xml:space="preserve">value before accessing the data in the union.</w:t>
      </w:r>
    </w:p>
    <w:p>
      <w:pPr>
        <w:numPr>
          <w:ilvl w:val="0"/>
          <w:numId w:val="1084"/>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4"/>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5"/>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5"/>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5"/>
        </w:numPr>
      </w:pPr>
      <w:r>
        <w:t xml:space="preserve">Avoid the use of raw pointers with the copy operation and (finish or</w:t>
      </w:r>
      <w:r>
        <w:t xml:space="preserve"> </w:t>
      </w:r>
      <w:r>
        <w:t xml:space="preserve">delete)</w:t>
      </w:r>
    </w:p>
    <w:p>
      <w:pPr>
        <w:numPr>
          <w:ilvl w:val="0"/>
          <w:numId w:val="1085"/>
        </w:numPr>
      </w:pPr>
      <w:r>
        <w:t xml:space="preserve">Follow the guidance of C++ core guidelines C.20, C.22, C.32, C.67</w:t>
      </w:r>
    </w:p>
    <w:p>
      <w:pPr>
        <w:numPr>
          <w:ilvl w:val="0"/>
          <w:numId w:val="1085"/>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6"/>
        </w:numPr>
      </w:pPr>
      <w:r>
        <w:t xml:space="preserve">When an unhandled exception escapes its thread of execution</w:t>
      </w:r>
    </w:p>
    <w:p>
      <w:pPr>
        <w:numPr>
          <w:ilvl w:val="0"/>
          <w:numId w:val="1086"/>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7"/>
        </w:numPr>
      </w:pPr>
      <w:r>
        <w:t xml:space="preserve">Use containers and smart pointers in preference to direct (manual)</w:t>
      </w:r>
      <w:r>
        <w:t xml:space="preserve"> </w:t>
      </w:r>
      <w:r>
        <w:t xml:space="preserve">memory management.</w:t>
      </w:r>
    </w:p>
    <w:p>
      <w:pPr>
        <w:numPr>
          <w:ilvl w:val="0"/>
          <w:numId w:val="1087"/>
        </w:numPr>
      </w:pPr>
      <w:r>
        <w:t xml:space="preserve">Follow C++ Core guidelines section R and CERT MEM51.</w:t>
      </w:r>
    </w:p>
    <w:p>
      <w:pPr>
        <w:numPr>
          <w:ilvl w:val="0"/>
          <w:numId w:val="1087"/>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7"/>
        </w:numPr>
      </w:pPr>
      <w:r>
        <w:t xml:space="preserve">Use dynamic analysis tools to detect cycles.</w:t>
      </w:r>
    </w:p>
    <w:p>
      <w:pPr>
        <w:numPr>
          <w:ilvl w:val="0"/>
          <w:numId w:val="1087"/>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7"/>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7"/>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8"/>
        </w:numPr>
      </w:pPr>
      <w:r>
        <w:t xml:space="preserve">They provide type safe generic in contrast to legacy void*-based or</w:t>
      </w:r>
      <w:r>
        <w:t xml:space="preserve"> </w:t>
      </w:r>
      <w:r>
        <w:t xml:space="preserve">macro-based genericity;</w:t>
      </w:r>
    </w:p>
    <w:p>
      <w:pPr>
        <w:numPr>
          <w:ilvl w:val="0"/>
          <w:numId w:val="1088"/>
        </w:numPr>
      </w:pPr>
      <w:r>
        <w:t xml:space="preserve">They have no runtime overhead for inline operations; and</w:t>
      </w:r>
    </w:p>
    <w:p>
      <w:pPr>
        <w:numPr>
          <w:ilvl w:val="0"/>
          <w:numId w:val="1088"/>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9"/>
        </w:numPr>
      </w:pPr>
      <w:r>
        <w:t xml:space="preserve">The program compiles and executes safely;</w:t>
      </w:r>
    </w:p>
    <w:p>
      <w:pPr>
        <w:numPr>
          <w:ilvl w:val="0"/>
          <w:numId w:val="1089"/>
        </w:numPr>
      </w:pPr>
      <w:r>
        <w:t xml:space="preserve">The program fails to compile; or</w:t>
      </w:r>
    </w:p>
    <w:p>
      <w:pPr>
        <w:numPr>
          <w:ilvl w:val="0"/>
          <w:numId w:val="1089"/>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0"/>
        </w:numPr>
      </w:pPr>
      <w:r>
        <w:t xml:space="preserve">the first template argument must be a forward iterator.</w:t>
      </w:r>
    </w:p>
    <w:p>
      <w:pPr>
        <w:numPr>
          <w:ilvl w:val="0"/>
          <w:numId w:val="1090"/>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91"/>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92"/>
        </w:numPr>
      </w:pPr>
      <w:r>
        <w:t xml:space="preserve">Consider using</w:t>
      </w:r>
      <w:r>
        <w:t xml:space="preserve"> </w:t>
      </w:r>
      <w:r>
        <w:rPr>
          <w:i/>
        </w:rPr>
        <w:t xml:space="preserve">concepts</w:t>
      </w:r>
      <w:r>
        <w:t xml:space="preserve"> </w:t>
      </w:r>
      <w:r>
        <w:t xml:space="preserve">for each template type parameter</w:t>
      </w:r>
    </w:p>
    <w:p>
      <w:pPr>
        <w:numPr>
          <w:ilvl w:val="0"/>
          <w:numId w:val="1092"/>
        </w:numPr>
        <w:pStyle w:val="SourceCode"/>
      </w:pPr>
      <w:r>
        <w:rPr>
          <w:rStyle w:val="VerbatimChar"/>
        </w:rPr>
        <w:t xml:space="preserve">  Create and use concepts that specify "meaningful" semantics</w:t>
      </w:r>
    </w:p>
    <w:p>
      <w:pPr>
        <w:numPr>
          <w:ilvl w:val="0"/>
          <w:numId w:val="1092"/>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2"/>
        </w:numPr>
      </w:pPr>
      <w:r>
        <w:t xml:space="preserve">Be aware that a constructor template or assignment operator function</w:t>
      </w:r>
      <w:r>
        <w:t xml:space="preserve"> </w:t>
      </w:r>
      <w:r>
        <w:t xml:space="preserve">template will not replace compiler-provided special member functions</w:t>
      </w:r>
    </w:p>
    <w:p>
      <w:pPr>
        <w:numPr>
          <w:ilvl w:val="0"/>
          <w:numId w:val="1092"/>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3"/>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4"/>
        </w:numPr>
      </w:pPr>
      <w:r>
        <w:t xml:space="preserve">For template specialization, declared the specialization:</w:t>
      </w:r>
    </w:p>
    <w:p>
      <w:pPr>
        <w:numPr>
          <w:ilvl w:val="1"/>
          <w:numId w:val="1095"/>
        </w:numPr>
      </w:pPr>
      <w:r>
        <w:t xml:space="preserve">In the same file as the primary template; or</w:t>
      </w:r>
    </w:p>
    <w:p>
      <w:pPr>
        <w:numPr>
          <w:ilvl w:val="1"/>
          <w:numId w:val="1095"/>
        </w:numPr>
      </w:pPr>
      <w:r>
        <w:t xml:space="preserve">In the same file as the user-defined type for which the</w:t>
      </w:r>
      <w:r>
        <w:t xml:space="preserve"> </w:t>
      </w:r>
      <w:r>
        <w:t xml:space="preserve">specialization is declared.</w:t>
      </w:r>
    </w:p>
    <w:p>
      <w:pPr>
        <w:numPr>
          <w:ilvl w:val="0"/>
          <w:numId w:val="1094"/>
        </w:numPr>
      </w:pPr>
      <w:r>
        <w:t xml:space="preserve">Do not specialize function templates, except when specialization is</w:t>
      </w:r>
      <w:r>
        <w:t xml:space="preserve"> </w:t>
      </w:r>
      <w:r>
        <w:t xml:space="preserve">on a non-deduceable template parameter</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6"/>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7"/>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7"/>
        </w:numPr>
        <w:pStyle w:val="SourceCode"/>
      </w:pPr>
      <w:r>
        <w:rPr>
          <w:rStyle w:val="VerbatimChar"/>
        </w:rPr>
        <w:t xml:space="preserve">  reduce the use of inheritance</w:t>
      </w:r>
    </w:p>
    <w:p>
      <w:pPr>
        <w:numPr>
          <w:ilvl w:val="0"/>
          <w:numId w:val="1096"/>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8"/>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6"/>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9"/>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6"/>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0"/>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6"/>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1"/>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102"/>
        </w:numPr>
      </w:pPr>
      <w:r>
        <w:t xml:space="preserve">Guidance: Keep inheritance hierarchies short</w:t>
      </w:r>
    </w:p>
    <w:p>
      <w:pPr>
        <w:numPr>
          <w:ilvl w:val="0"/>
          <w:numId w:val="1102"/>
        </w:numPr>
      </w:pPr>
      <w:r>
        <w:t xml:space="preserve">Guidance: Qualify the program to invoke member functions in explicit</w:t>
      </w:r>
      <w:r>
        <w:t xml:space="preserve"> </w:t>
      </w:r>
      <w:r>
        <w:t xml:space="preserve">parent classes.</w:t>
      </w:r>
    </w:p>
    <w:p>
      <w:pPr>
        <w:numPr>
          <w:ilvl w:val="0"/>
          <w:numId w:val="1102"/>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3"/>
        </w:numPr>
      </w:pPr>
      <w:r>
        <w:t xml:space="preserve">Follow the guidance of ISO/IEC TR 24772-1:2019 clause 41.5.</w:t>
      </w:r>
    </w:p>
    <w:p>
      <w:pPr>
        <w:numPr>
          <w:ilvl w:val="0"/>
          <w:numId w:val="1103"/>
        </w:numPr>
      </w:pPr>
      <w:r>
        <w:t xml:space="preserve">Avoid the use of multiple inheritance whenever possible.</w:t>
      </w:r>
    </w:p>
    <w:p>
      <w:pPr>
        <w:numPr>
          <w:ilvl w:val="0"/>
          <w:numId w:val="1103"/>
        </w:numPr>
      </w:pPr>
      <w:r>
        <w:t xml:space="preserve">Avoid access to data components when getting and setting functions</w:t>
      </w:r>
      <w:r>
        <w:t xml:space="preserve"> </w:t>
      </w:r>
      <w:r>
        <w:t xml:space="preserve">are available for them.</w:t>
      </w:r>
    </w:p>
    <w:p>
      <w:pPr>
        <w:numPr>
          <w:ilvl w:val="0"/>
          <w:numId w:val="1103"/>
        </w:numPr>
      </w:pPr>
      <w:r>
        <w:t xml:space="preserve">Keep inheritance hierarchies short and narrow</w:t>
      </w:r>
    </w:p>
    <w:p>
      <w:pPr>
        <w:numPr>
          <w:ilvl w:val="0"/>
          <w:numId w:val="1103"/>
        </w:numPr>
      </w:pPr>
      <w:r>
        <w:t xml:space="preserve">Prefer non-virtual functions to virtual functions</w:t>
      </w:r>
    </w:p>
    <w:p>
      <w:pPr>
        <w:numPr>
          <w:ilvl w:val="0"/>
          <w:numId w:val="1103"/>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3"/>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3"/>
        </w:numPr>
      </w:pPr>
      <w:r>
        <w:t xml:space="preserve">If any class invariant depends upon a value of a data member, then</w:t>
      </w:r>
      <w:r>
        <w:t xml:space="preserve"> </w:t>
      </w:r>
      <w:r>
        <w:t xml:space="preserve">make that member private</w:t>
      </w:r>
    </w:p>
    <w:p>
      <w:pPr>
        <w:numPr>
          <w:ilvl w:val="0"/>
          <w:numId w:val="1103"/>
        </w:numPr>
      </w:pPr>
      <w:r>
        <w:t xml:space="preserve">Make data members private and provide a public interface to access</w:t>
      </w:r>
      <w:r>
        <w:t xml:space="preserve"> </w:t>
      </w:r>
      <w:r>
        <w:t xml:space="preserve">them that preserves class invariants</w:t>
      </w:r>
    </w:p>
    <w:p>
      <w:pPr>
        <w:numPr>
          <w:ilvl w:val="0"/>
          <w:numId w:val="1103"/>
        </w:numPr>
      </w:pPr>
      <w:r>
        <w:t xml:space="preserve">Provide complete documentation of all encapsulated data, and how</w:t>
      </w:r>
      <w:r>
        <w:t xml:space="preserve"> </w:t>
      </w:r>
      <w:r>
        <w:t xml:space="preserve">each method affects that data for each object in the hierarchy.</w:t>
      </w:r>
    </w:p>
    <w:p>
      <w:pPr>
        <w:numPr>
          <w:ilvl w:val="0"/>
          <w:numId w:val="1103"/>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3"/>
        </w:numPr>
      </w:pPr>
      <w:r>
        <w:t xml:space="preserve">Provide a member function that provides versioning information for</w:t>
      </w:r>
      <w:r>
        <w:t xml:space="preserve"> </w:t>
      </w:r>
      <w:r>
        <w:t xml:space="preserve">each class.</w:t>
      </w:r>
    </w:p>
    <w:p>
      <w:pPr>
        <w:numPr>
          <w:ilvl w:val="0"/>
          <w:numId w:val="110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3"/>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3"/>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4"/>
        </w:numPr>
      </w:pPr>
      <w:r>
        <w:t xml:space="preserve">Obey all preconditions and postconditions of each member function,</w:t>
      </w:r>
      <w:r>
        <w:t xml:space="preserve"> </w:t>
      </w:r>
      <w:r>
        <w:t xml:space="preserve">whether they are specified in the language or not.</w:t>
      </w:r>
    </w:p>
    <w:p>
      <w:pPr>
        <w:numPr>
          <w:ilvl w:val="0"/>
          <w:numId w:val="1104"/>
        </w:numPr>
      </w:pPr>
      <w:r>
        <w:t xml:space="preserve">Prohibit the strengthening of preconditions (specified or not) by</w:t>
      </w:r>
      <w:r>
        <w:t xml:space="preserve"> </w:t>
      </w:r>
      <w:r>
        <w:t xml:space="preserve">overriding member functions.</w:t>
      </w:r>
    </w:p>
    <w:p>
      <w:pPr>
        <w:numPr>
          <w:ilvl w:val="0"/>
          <w:numId w:val="1104"/>
        </w:numPr>
      </w:pPr>
      <w:r>
        <w:t xml:space="preserve">Prohibit the weakening of postconditions (specified or not) by</w:t>
      </w:r>
      <w:r>
        <w:t xml:space="preserve"> </w:t>
      </w:r>
      <w:r>
        <w:t xml:space="preserve">overriding member functions.</w:t>
      </w:r>
    </w:p>
    <w:p>
      <w:pPr>
        <w:numPr>
          <w:ilvl w:val="0"/>
          <w:numId w:val="110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4"/>
        </w:numPr>
      </w:pPr>
      <w:r>
        <w:t xml:space="preserve">Use static analysis tools that identify misuse of inheritance in the</w:t>
      </w:r>
      <w:r>
        <w:t xml:space="preserve"> </w:t>
      </w:r>
      <w:r>
        <w:t xml:space="preserve">contract model.</w:t>
      </w:r>
    </w:p>
    <w:p>
      <w:pPr>
        <w:numPr>
          <w:ilvl w:val="0"/>
          <w:numId w:val="110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SourceCode"/>
      </w:pPr>
      <w:r>
        <w:rPr>
          <w:rStyle w:val="VerbatimChar"/>
        </w:rPr>
        <w:t xml:space="preserve">&lt;!--</w:t>
      </w:r>
      <w:r>
        <w:br/>
      </w:r>
      <w:r>
        <w:rPr>
          <w:rStyle w:val="VerbatimChar"/>
        </w:rPr>
        <w:t xml:space="preserve">*Overriding -* *Private virtual functions can be overridden - AI -- Paul</w:t>
      </w:r>
      <w:r>
        <w:br/>
      </w:r>
      <w:r>
        <w:rPr>
          <w:rStyle w:val="VerbatimChar"/>
        </w:rPr>
        <w:t xml:space="preserve">-- write up. May be a namespace issues or a Beaujolais issue.*</w:t>
      </w:r>
      <w:r>
        <w:br/>
      </w:r>
      <w:r>
        <w:rPr>
          <w:rStyle w:val="VerbatimChar"/>
        </w:rPr>
        <w:t xml:space="preserve">--&gt;</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5"/>
        </w:numPr>
      </w:pPr>
      <w:r>
        <w:t xml:space="preserve">At a call site, consider whether virtual dispatch is desired. If</w:t>
      </w:r>
      <w:r>
        <w:t xml:space="preserve"> </w:t>
      </w:r>
      <w:r>
        <w:t xml:space="preserve">not, construct the call using the qualified name.</w:t>
      </w:r>
    </w:p>
    <w:p>
      <w:pPr>
        <w:numPr>
          <w:ilvl w:val="0"/>
          <w:numId w:val="1105"/>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7"/>
        </w:numPr>
      </w:pPr>
      <w:r>
        <w:t xml:space="preserve">are the only ones that can be performed implicitly</w:t>
      </w:r>
    </w:p>
    <w:p>
      <w:pPr>
        <w:numPr>
          <w:ilvl w:val="0"/>
          <w:numId w:val="1107"/>
        </w:numPr>
      </w:pPr>
      <w:r>
        <w:t xml:space="preserve">can cause object slicing</w:t>
      </w:r>
      <w:r>
        <w:t xml:space="preserve"> </w:t>
      </w:r>
      <w:r>
        <w:t xml:space="preserve">when a copy of a base class object is created from a derived class object.</w:t>
      </w:r>
    </w:p>
    <w:p>
      <w:pPr>
        <w:numPr>
          <w:ilvl w:val="0"/>
          <w:numId w:val="110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8"/>
        </w:numPr>
      </w:pPr>
      <w:r>
        <w:t xml:space="preserve">are explicit;</w:t>
      </w:r>
    </w:p>
    <w:p>
      <w:pPr>
        <w:numPr>
          <w:ilvl w:val="0"/>
          <w:numId w:val="1108"/>
        </w:numPr>
      </w:pPr>
      <w:r>
        <w:t xml:space="preserve">can be done safely with</w:t>
      </w:r>
      <w:r>
        <w:t xml:space="preserve"> </w:t>
      </w:r>
      <w:r>
        <w:rPr>
          <w:rStyle w:val="KeywordTok"/>
        </w:rPr>
        <w:t xml:space="preserve">dynamic_cast</w:t>
      </w:r>
    </w:p>
    <w:p>
      <w:pPr>
        <w:numPr>
          <w:ilvl w:val="0"/>
          <w:numId w:val="110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9"/>
        </w:numPr>
      </w:pPr>
      <w:r>
        <w:t xml:space="preserve">are explicit</w:t>
      </w:r>
    </w:p>
    <w:p>
      <w:pPr>
        <w:numPr>
          <w:ilvl w:val="0"/>
          <w:numId w:val="110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110"/>
        </w:numPr>
      </w:pPr>
      <w:r>
        <w:t xml:space="preserve">Follow the advice provided in ISO/IEC TR 24772-1 clause 6.44.5.</w:t>
      </w:r>
    </w:p>
    <w:p>
      <w:pPr>
        <w:numPr>
          <w:ilvl w:val="0"/>
          <w:numId w:val="1110"/>
        </w:numPr>
      </w:pPr>
      <w:r>
        <w:t xml:space="preserve">In base classes declaring virtual member functions,</w:t>
      </w:r>
      <w:r>
        <w:t xml:space="preserve"> </w:t>
      </w:r>
      <w:r>
        <w:t xml:space="preserve">define a virtual defaulted destructor (Core Guidelines C.35)</w:t>
      </w:r>
      <w:r>
        <w:t xml:space="preserve"> </w:t>
      </w:r>
      <w:r>
        <w:t xml:space="preserve">and prevent implicit object copying (Core Guidelines C.130).</w:t>
      </w:r>
    </w:p>
    <w:p>
      <w:pPr>
        <w:numPr>
          <w:ilvl w:val="0"/>
          <w:numId w:val="1110"/>
        </w:numPr>
      </w:pPr>
      <w:r>
        <w:t xml:space="preserve">The need for downcasts or crosscasts indicates a design challenge,</w:t>
      </w:r>
      <w:r>
        <w:t xml:space="preserve"> </w:t>
      </w:r>
      <w:r>
        <w:t xml:space="preserve">rely on proper virtual member functions in the base classes instead.</w:t>
      </w:r>
    </w:p>
    <w:p>
      <w:pPr>
        <w:numPr>
          <w:ilvl w:val="0"/>
          <w:numId w:val="1110"/>
        </w:numPr>
      </w:pPr>
      <w:r>
        <w:t xml:space="preserve">If an upcast is needed, rely on implicit conversion, since an</w:t>
      </w:r>
      <w:r>
        <w:t xml:space="preserve"> </w:t>
      </w:r>
      <w:r>
        <w:t xml:space="preserve">explicit upcast adds unnecessary complexity for the reader.</w:t>
      </w:r>
    </w:p>
    <w:p>
      <w:pPr>
        <w:numPr>
          <w:ilvl w:val="0"/>
          <w:numId w:val="111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1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0"/>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10"/>
        </w:numPr>
      </w:pPr>
      <w:r>
        <w:t xml:space="preserve">For any class that implements a virtual member function, consider</w:t>
      </w:r>
      <w:r>
        <w:t xml:space="preserve"> </w:t>
      </w:r>
      <w:r>
        <w:t xml:space="preserve">marking that member function</w:t>
      </w:r>
      <w:r>
        <w:t xml:space="preserve"> </w:t>
      </w:r>
      <w:r>
        <w:rPr>
          <w:rStyle w:val="VerbatimChar"/>
        </w:rPr>
        <w:t xml:space="preserve">final</w:t>
      </w:r>
      <w:r>
        <w:t xml:space="preserve"> </w:t>
      </w:r>
      <w:r>
        <w:t xml:space="preserve">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r>
        <w:t xml:space="preserve"> </w:t>
      </w:r>
      <w:r>
        <w:t xml:space="preserve">C.139 even talks about avoiding final for member functions. I (Peter) suggest to delete this guidance</w:t>
      </w:r>
    </w:p>
    <w:p>
      <w:pPr>
        <w:pStyle w:val="BlockText"/>
      </w:pPr>
      <w:r>
        <w:t xml:space="preserve">NOTE: Making instead the class final contradicts C++ Core Guideline</w:t>
      </w:r>
      <w:r>
        <w:t xml:space="preserve"> </w:t>
      </w:r>
      <w:r>
        <w:t xml:space="preserve">C.139, so is not recommended here.</w:t>
      </w:r>
    </w:p>
    <w:p>
      <w:pPr>
        <w:pStyle w:val="BlockText"/>
      </w:pPr>
      <w:r>
        <w:t xml:space="preserve">NOTE: IMHO this recommendation does not address any vulnerability. (Peter)</w:t>
      </w:r>
    </w:p>
    <w:p>
      <w:pPr>
        <w:numPr>
          <w:ilvl w:val="0"/>
          <w:numId w:val="1111"/>
        </w:numPr>
        <w:pStyle w:val="Compact"/>
      </w:pPr>
      <w:r>
        <w:t xml:space="preserve">Consider declaring virtual member functions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2"/>
        </w:numPr>
        <w:pStyle w:val="Compact"/>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3"/>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4"/>
        </w:numPr>
      </w:pPr>
      <w:r>
        <w:t xml:space="preserve">Follow the guidelines of ISO/IEC TR 24772-1 clause 6.47.5.</w:t>
      </w:r>
    </w:p>
    <w:p>
      <w:pPr>
        <w:numPr>
          <w:ilvl w:val="0"/>
          <w:numId w:val="1114"/>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4"/>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5"/>
        </w:numPr>
      </w:pPr>
      <w:r>
        <w:t xml:space="preserve">Follow the guidance contained in ISO/IEC TR 24772-1:2019 clause</w:t>
      </w:r>
      <w:r>
        <w:t xml:space="preserve"> </w:t>
      </w:r>
      <w:r>
        <w:t xml:space="preserve">6.47.5</w:t>
      </w:r>
    </w:p>
    <w:p>
      <w:pPr>
        <w:numPr>
          <w:ilvl w:val="0"/>
          <w:numId w:val="1115"/>
        </w:numPr>
      </w:pPr>
      <w:r>
        <w:t xml:space="preserve">Use standard layout types for the interoperable interfaces.</w:t>
      </w:r>
    </w:p>
    <w:p>
      <w:pPr>
        <w:numPr>
          <w:ilvl w:val="1"/>
          <w:numId w:val="1116"/>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6"/>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6"/>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5"/>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5"/>
        </w:numPr>
      </w:pPr>
      <w:r>
        <w:t xml:space="preserve">Be aware that C++ exceptions are not usually compatible with</w:t>
      </w:r>
      <w:r>
        <w:t xml:space="preserve"> </w:t>
      </w:r>
      <w:r>
        <w:t xml:space="preserve">exceptions in other languages.</w:t>
      </w:r>
    </w:p>
    <w:p>
      <w:pPr>
        <w:numPr>
          <w:ilvl w:val="0"/>
          <w:numId w:val="1115"/>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5"/>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7"/>
        </w:numPr>
      </w:pPr>
      <w:r>
        <w:t xml:space="preserve">Follow the guidance of ISO/IEC TR 24772-1:2019 clause 6.49.5.</w:t>
      </w:r>
    </w:p>
    <w:p>
      <w:pPr>
        <w:numPr>
          <w:ilvl w:val="0"/>
          <w:numId w:val="1117"/>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8"/>
        </w:numPr>
      </w:pPr>
      <w:r>
        <w:t xml:space="preserve">Follow the advice of clause 6.36.2 for catching and handling</w:t>
      </w:r>
      <w:r>
        <w:t xml:space="preserve"> </w:t>
      </w:r>
      <w:r>
        <w:t xml:space="preserve">exceptions.</w:t>
      </w:r>
    </w:p>
    <w:p>
      <w:pPr>
        <w:numPr>
          <w:ilvl w:val="0"/>
          <w:numId w:val="1118"/>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9"/>
        </w:numPr>
      </w:pPr>
      <w:r>
        <w:t xml:space="preserve">If a function-like macro must be used, ensure that its</w:t>
      </w:r>
      <w:r>
        <w:t xml:space="preserve"> </w:t>
      </w:r>
      <w:r>
        <w:t xml:space="preserve">parameters and body are parenthesized.</w:t>
      </w:r>
    </w:p>
    <w:p>
      <w:pPr>
        <w:numPr>
          <w:ilvl w:val="0"/>
          <w:numId w:val="1119"/>
        </w:numPr>
      </w:pPr>
      <w:r>
        <w:t xml:space="preserve">In a function-like macro, ensure that each argument is evaluated at</w:t>
      </w:r>
      <w:r>
        <w:t xml:space="preserve"> </w:t>
      </w:r>
      <w:r>
        <w:t xml:space="preserve">most once.</w:t>
      </w:r>
    </w:p>
    <w:p>
      <w:pPr>
        <w:numPr>
          <w:ilvl w:val="0"/>
          <w:numId w:val="1119"/>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9"/>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9"/>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20"/>
        </w:numPr>
      </w:pPr>
      <w:r>
        <w:t xml:space="preserve">Follow the guidelines of ISO/IEC TR 24772-1:2019 clause 6.53.5.</w:t>
      </w:r>
    </w:p>
    <w:p>
      <w:pPr>
        <w:numPr>
          <w:ilvl w:val="0"/>
          <w:numId w:val="1120"/>
        </w:numPr>
      </w:pPr>
      <w:r>
        <w:t xml:space="preserve">Enable checks that warn about unsafe operations.</w:t>
      </w:r>
    </w:p>
    <w:p>
      <w:pPr>
        <w:numPr>
          <w:ilvl w:val="0"/>
          <w:numId w:val="1120"/>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21"/>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2"/>
        </w:numPr>
      </w:pPr>
      <w:r>
        <w:t xml:space="preserve">Follow the guidelines of ISO/IEC TR 24772-1:2019 clause 6.56.5.</w:t>
      </w:r>
    </w:p>
    <w:p>
      <w:pPr>
        <w:numPr>
          <w:ilvl w:val="0"/>
          <w:numId w:val="1122"/>
        </w:numPr>
      </w:pPr>
      <w:r>
        <w:t xml:space="preserve">Augment static analysis tool usage with runtime tools such as ASAN</w:t>
      </w:r>
      <w:r>
        <w:t xml:space="preserve"> </w:t>
      </w:r>
      <w:r>
        <w:t xml:space="preserve">(address sanitizer) and related tools.</w:t>
      </w:r>
    </w:p>
    <w:p>
      <w:pPr>
        <w:numPr>
          <w:ilvl w:val="0"/>
          <w:numId w:val="1122"/>
        </w:numPr>
      </w:pPr>
      <w:r>
        <w:t xml:space="preserve">Use static analysis tools to help identify occurrences of undefined</w:t>
      </w:r>
      <w:r>
        <w:t xml:space="preserve"> </w:t>
      </w:r>
      <w:r>
        <w:t xml:space="preserve">behaviour.</w:t>
      </w:r>
    </w:p>
    <w:p>
      <w:pPr>
        <w:numPr>
          <w:ilvl w:val="0"/>
          <w:numId w:val="1122"/>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2"/>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3"/>
        </w:numPr>
      </w:pPr>
      <w:r>
        <w:t xml:space="preserve">Follow the guidelines of ISO/IEC TR 24772-1:2019 clause 6.57.5.</w:t>
      </w:r>
    </w:p>
    <w:p>
      <w:pPr>
        <w:numPr>
          <w:ilvl w:val="0"/>
          <w:numId w:val="112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3"/>
        </w:numPr>
      </w:pPr>
      <w:r>
        <w:t xml:space="preserve">Use multiple compilers/tools to increase your chance of identifying</w:t>
      </w:r>
      <w:r>
        <w:t xml:space="preserve"> </w:t>
      </w:r>
      <w:r>
        <w:t xml:space="preserve">constructs that have implementation-defined behaviours.</w:t>
      </w:r>
    </w:p>
    <w:p>
      <w:pPr>
        <w:numPr>
          <w:ilvl w:val="0"/>
          <w:numId w:val="112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4"/>
        </w:numPr>
      </w:pPr>
      <w:r>
        <w:t xml:space="preserve">Follow the guidelines of ISO/IEC TR 24772-1 clause 6.58.5.</w:t>
      </w:r>
    </w:p>
    <w:p>
      <w:pPr>
        <w:numPr>
          <w:ilvl w:val="0"/>
          <w:numId w:val="1124"/>
        </w:numPr>
      </w:pPr>
      <w:r>
        <w:t xml:space="preserve">Enable compiler options or static analysis tools that identify the</w:t>
      </w:r>
      <w:r>
        <w:t xml:space="preserve"> </w:t>
      </w:r>
      <w:r>
        <w:t xml:space="preserve">use of deprecated features.</w:t>
      </w:r>
    </w:p>
    <w:p>
      <w:pPr>
        <w:numPr>
          <w:ilvl w:val="0"/>
          <w:numId w:val="112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5"/>
        </w:numPr>
        <w:pStyle w:val="Compact"/>
      </w:pPr>
      <w:r>
        <w:t xml:space="preserve">6.61 Concurrent Data Access,</w:t>
      </w:r>
    </w:p>
    <w:p>
      <w:pPr>
        <w:numPr>
          <w:ilvl w:val="0"/>
          <w:numId w:val="1125"/>
        </w:numPr>
        <w:pStyle w:val="Compact"/>
      </w:pPr>
      <w:r>
        <w:t xml:space="preserve">6.14 and 6.33 dangling of data reference, if data is passed to the thread function as reference or pointer, instead of passing a copy.</w:t>
      </w:r>
    </w:p>
    <w:p>
      <w:pPr>
        <w:numPr>
          <w:ilvl w:val="0"/>
          <w:numId w:val="1125"/>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6"/>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6"/>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6"/>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7"/>
        </w:numPr>
      </w:pPr>
      <w:r>
        <w:t xml:space="preserve">Follow the guidance of ISO/IEC TR 24772-1 clause 6.62.5.</w:t>
      </w:r>
    </w:p>
    <w:p>
      <w:pPr>
        <w:numPr>
          <w:ilvl w:val="0"/>
          <w:numId w:val="1127"/>
        </w:numPr>
      </w:pPr>
      <w:r>
        <w:t xml:space="preserve">Use mutexes, condition variables (convar) in preference to atomic</w:t>
      </w:r>
      <w:r>
        <w:t xml:space="preserve"> </w:t>
      </w:r>
      <w:r>
        <w:t xml:space="preserve">variables to protect data from simultaneous access.</w:t>
      </w:r>
    </w:p>
    <w:p>
      <w:pPr>
        <w:numPr>
          <w:ilvl w:val="0"/>
          <w:numId w:val="1127"/>
        </w:numPr>
      </w:pPr>
      <w:r>
        <w:t xml:space="preserve">Use volatile only for synchronizing abstract machine state from</w:t>
      </w:r>
      <w:r>
        <w:t xml:space="preserve"> </w:t>
      </w:r>
      <w:r>
        <w:t xml:space="preserve">memory.</w:t>
      </w:r>
    </w:p>
    <w:p>
      <w:pPr>
        <w:numPr>
          <w:ilvl w:val="0"/>
          <w:numId w:val="1127"/>
        </w:numPr>
      </w:pPr>
      <w:r>
        <w:t xml:space="preserve">Avoid the use of volatile for synchronizing access to shared memory</w:t>
      </w:r>
      <w:r>
        <w:t xml:space="preserve"> </w:t>
      </w:r>
      <w:r>
        <w:t xml:space="preserve">between threads (which needs mutex, condvar, or atomics)</w:t>
      </w:r>
    </w:p>
    <w:p>
      <w:pPr>
        <w:numPr>
          <w:ilvl w:val="1"/>
          <w:numId w:val="112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7"/>
        </w:numPr>
      </w:pPr>
      <w:r>
        <w:t xml:space="preserve">Avoid relaxed atomic operations whenever possible. Prefer the</w:t>
      </w:r>
      <w:r>
        <w:t xml:space="preserve"> </w:t>
      </w:r>
      <w:r>
        <w:t xml:space="preserve">sequentially consistent std::memory_order_seq_cst instead .</w:t>
      </w:r>
    </w:p>
    <w:p>
      <w:pPr>
        <w:numPr>
          <w:ilvl w:val="0"/>
          <w:numId w:val="1127"/>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9"/>
        </w:numPr>
      </w:pPr>
      <w:r>
        <w:t xml:space="preserve">Follow the guidelines of TR 24772-1 clause 6.63.5.</w:t>
      </w:r>
    </w:p>
    <w:p>
      <w:pPr>
        <w:numPr>
          <w:ilvl w:val="0"/>
          <w:numId w:val="1129"/>
        </w:numPr>
      </w:pPr>
      <w:r>
        <w:t xml:space="preserve">Use low-level operating system primitives or other APIs where</w:t>
      </w:r>
      <w:r>
        <w:t xml:space="preserve"> </w:t>
      </w:r>
      <w:r>
        <w:t xml:space="preserve">available to check that a required thread is still active.</w:t>
      </w:r>
    </w:p>
    <w:p>
      <w:pPr>
        <w:numPr>
          <w:ilvl w:val="0"/>
          <w:numId w:val="1129"/>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30"/>
        </w:numPr>
      </w:pPr>
      <w:r>
        <w:t xml:space="preserve">Follow the guidelines of TR 24772-1 clause 6.63.5.</w:t>
      </w:r>
    </w:p>
    <w:p>
      <w:pPr>
        <w:numPr>
          <w:ilvl w:val="0"/>
          <w:numId w:val="113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0"/>
        </w:numPr>
      </w:pPr>
      <w:r>
        <w:t xml:space="preserve">Use higher level building blocks (such as TBB) in preference to …</w:t>
      </w:r>
    </w:p>
    <w:p>
      <w:pPr>
        <w:numPr>
          <w:ilvl w:val="0"/>
          <w:numId w:val="1130"/>
        </w:numPr>
      </w:pPr>
      <w:r>
        <w:t xml:space="preserve">Use the C++ Task mechanism in preference to threads …</w:t>
      </w:r>
    </w:p>
    <w:p>
      <w:pPr>
        <w:numPr>
          <w:ilvl w:val="0"/>
          <w:numId w:val="113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3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0"/>
        </w:numPr>
      </w:pPr>
      <w:r>
        <w:rPr>
          <w:i/>
          <w:b/>
        </w:rPr>
        <w:t xml:space="preserve">Do not use platform specific multi-threading facilities</w:t>
      </w:r>
    </w:p>
    <w:p>
      <w:pPr>
        <w:numPr>
          <w:ilvl w:val="0"/>
          <w:numId w:val="1130"/>
        </w:numPr>
      </w:pPr>
      <w:r>
        <w:rPr>
          <w:i/>
          <w:b/>
        </w:rPr>
        <w:t xml:space="preserve">A thread shall not access objects whose lifetime has expired</w:t>
      </w:r>
    </w:p>
    <w:p>
      <w:pPr>
        <w:numPr>
          <w:ilvl w:val="0"/>
          <w:numId w:val="1130"/>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0"/>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0"/>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0"/>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0"/>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0"/>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0"/>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0"/>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0"/>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0"/>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0"/>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0"/>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0"/>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0"/>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0"/>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0"/>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30"/>
        </w:numPr>
      </w:pPr>
      <w:r>
        <w:t xml:space="preserve">0.10.2 [36] Source CCG Rule CP.101: Distrust your</w:t>
      </w:r>
      <w:r>
        <w:t xml:space="preserve"> </w:t>
      </w:r>
      <w:r>
        <w:t xml:space="preserve">hardware/compiler combination</w:t>
      </w:r>
    </w:p>
    <w:p>
      <w:pPr>
        <w:numPr>
          <w:ilvl w:val="0"/>
          <w:numId w:val="1130"/>
        </w:numPr>
      </w:pPr>
      <w:r>
        <w:t xml:space="preserve">0.10.3 [37] Source CCG Rule CP.102: Carefully study the literature</w:t>
      </w:r>
    </w:p>
    <w:p>
      <w:pPr>
        <w:numPr>
          <w:ilvl w:val="0"/>
          <w:numId w:val="1130"/>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0"/>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30"/>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31"/>
        </w:numPr>
      </w:pPr>
      <w:r>
        <w:t xml:space="preserve">Do not cast-away</w:t>
      </w:r>
      <w:r>
        <w:t xml:space="preserve"> </w:t>
      </w:r>
      <w:r>
        <w:rPr>
          <w:rStyle w:val="AttributeTok"/>
        </w:rPr>
        <w:t xml:space="preserve">const</w:t>
      </w:r>
      <w:r>
        <w:t xml:space="preserve">.</w:t>
      </w:r>
    </w:p>
    <w:p>
      <w:pPr>
        <w:numPr>
          <w:ilvl w:val="0"/>
          <w:numId w:val="1131"/>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31"/>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31"/>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2"/>
        </w:numPr>
        <w:pStyle w:val="SourceCode"/>
      </w:pPr>
      <w:r>
        <w:rPr>
          <w:rStyle w:val="VerbatimChar"/>
        </w:rPr>
        <w:t xml:space="preserve">Defining an array type that does automatic bounds checking.</w:t>
      </w:r>
    </w:p>
    <w:p>
      <w:pPr>
        <w:numPr>
          <w:ilvl w:val="0"/>
          <w:numId w:val="113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2"/>
        </w:numPr>
        <w:pStyle w:val="SourceCode"/>
      </w:pPr>
      <w:r>
        <w:rPr>
          <w:rStyle w:val="VerbatimChar"/>
        </w:rPr>
        <w:t xml:space="preserve">Defining an array type that does automatic bounds checking.</w:t>
      </w:r>
    </w:p>
    <w:p>
      <w:pPr>
        <w:numPr>
          <w:ilvl w:val="0"/>
          <w:numId w:val="113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3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2"/>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7"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7"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2021-11-30T15:52:12Z</dcterms:created>
  <dcterms:modified xsi:type="dcterms:W3CDTF">2021-11-30T15:52:12Z</dcterms:modified>
</cp:coreProperties>
</file>

<file path=docProps/custom.xml><?xml version="1.0" encoding="utf-8"?>
<Properties xmlns="http://schemas.openxmlformats.org/officeDocument/2006/custom-properties" xmlns:vt="http://schemas.openxmlformats.org/officeDocument/2006/docPropsVTypes"/>
</file>