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2"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lifetime"/>
    <w:p>
      <w:pPr>
        <w:pStyle w:val="Heading2"/>
      </w:pPr>
      <w:r>
        <w:t xml:space="preserve">4.4 Object Lifetime</w:t>
      </w:r>
    </w:p>
    <w:p>
      <w:pPr>
        <w:pStyle w:val="FirstParagraph"/>
      </w:pPr>
      <w:r>
        <w:t xml:space="preserve">In principle, the lifetime of an object (recursively including subobjects) begins immediately after its constructor completes creating the object and ends immediately before its destructor is called.</w:t>
      </w:r>
    </w:p>
    <w:p>
      <w:pPr>
        <w:pStyle w:val="BodyText"/>
      </w:pPr>
      <w:r>
        <w:t xml:space="preserve">Accessing an object outside of its lifetime is undefined behaviour, see</w:t>
      </w:r>
      <w:r>
        <w:t xml:space="preserve"> </w:t>
      </w:r>
      <w:hyperlink w:anchor="undefined">
        <w:r>
          <w:rPr>
            <w:rStyle w:val="Hyperlink"/>
          </w:rPr>
          <w:t xml:space="preserve">4.7</w:t>
        </w:r>
      </w:hyperlink>
      <w:r>
        <w:t xml:space="preserve">.</w:t>
      </w:r>
    </w:p>
    <w:p>
      <w:pPr>
        <w:pStyle w:val="BodyText"/>
      </w:pPr>
      <w:r>
        <w:t xml:space="preserve">C++ distinguishes references from objects.</w:t>
      </w:r>
      <w:r>
        <w:t xml:space="preserve"> </w:t>
      </w:r>
      <w:r>
        <w:t xml:space="preserve">A reference has a lifetime that begins immediately after it is initialized and ends when the scope or the object containing it ends.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An object of</w:t>
      </w:r>
      <w:r>
        <w:t xml:space="preserve"> </w:t>
      </w:r>
      <w:r>
        <w:rPr>
          <w:i/>
        </w:rPr>
        <w:t xml:space="preserve">implicit lifetime type</w:t>
      </w:r>
      <w:r>
        <w:t xml:space="preserve"> </w:t>
      </w:r>
      <w:r>
        <w:t xml:space="preserve">is implicitly created when declared or allocated.</w:t>
      </w:r>
      <w:r>
        <w:t xml:space="preserve"> </w:t>
      </w:r>
      <w:r>
        <w:t xml:space="preserve">For class types that are not implicit lifetime types at least one constructor must complete for the lifetime of the object to begin.</w:t>
      </w:r>
    </w:p>
    <w:p>
      <w:pPr>
        <w:pStyle w:val="BodyText"/>
      </w:pPr>
      <w:r>
        <w:t xml:space="preserve">Each object has one of the following types of storage durations which influences its lifetime:</w:t>
      </w:r>
      <w:r>
        <w:t xml:space="preserve"> </w:t>
      </w:r>
      <w:r>
        <w:t xml:space="preserve">- static - includes global and static variables; once lifetime has started the object is guaranteed to exist until the program ends.</w:t>
      </w:r>
      <w:r>
        <w:t xml:space="preserve"> </w:t>
      </w:r>
      <w:r>
        <w:t xml:space="preserve">- thread - once lifetime has started, exists on a per-thread basis until the containing thread ends.</w:t>
      </w:r>
      <w:r>
        <w:t xml:space="preserve"> </w:t>
      </w:r>
      <w:r>
        <w:t xml:space="preserve">- automatic - includes non-static local variables and temporary objects; its context defines its lifetime.</w:t>
      </w:r>
      <w:r>
        <w:t xml:space="preserve"> </w:t>
      </w:r>
      <w:r>
        <w:t xml:space="preserve">- dynamic - storage for objects is acquired from dynamic memory allocation and its lifetime is explicitly controlled.</w:t>
      </w:r>
    </w:p>
    <w:p>
      <w:pPr>
        <w:pStyle w:val="BodyText"/>
      </w:pPr>
      <w:r>
        <w:t xml:space="preserve">The lifetime of an object can be prematurely terminated by explicitly</w:t>
      </w:r>
      <w:r>
        <w:t xml:space="preserve"> </w:t>
      </w:r>
      <w:r>
        <w:t xml:space="preserve">- calling its destructor</w:t>
      </w:r>
      <w:r>
        <w:t xml:space="preserve"> </w:t>
      </w:r>
      <w:r>
        <w:t xml:space="preserve">- reusing its storage in a placement new expression</w:t>
      </w:r>
      <w:r>
        <w:t xml:space="preserve"> </w:t>
      </w:r>
      <w:r>
        <w:t xml:space="preserve">- releasing its storage</w:t>
      </w:r>
    </w:p>
    <w:p>
      <w:pPr>
        <w:pStyle w:val="BodyText"/>
      </w:pPr>
      <w:r>
        <w:t xml:space="preserve">Reusing or releasing an object’s storage does not call its destructor: this must be done explicitly.</w:t>
      </w:r>
      <w:r>
        <w:t xml:space="preserve"> </w:t>
      </w:r>
      <w:r>
        <w:t xml:space="preserve">The correct behaviour of a program often depends on the destructor being invoked for each object of class type.</w:t>
      </w:r>
      <w:r>
        <w:t xml:space="preserve"> </w:t>
      </w:r>
      <w:r>
        <w:t xml:space="preserve">Improper management of objects with dynamic storage duration can cause memory leaks.</w:t>
      </w:r>
    </w:p>
    <w:p>
      <w:pPr>
        <w:pStyle w:val="BodyText"/>
      </w:pPr>
      <w:r>
        <w:t xml:space="preserve">TO Do: verify that this clause identifies issues raised in:</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End w:id="32"/>
    <w:bookmarkStart w:id="33"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3"/>
    <w:bookmarkStart w:id="233" w:name="specific-guidance-for-c-vulnerabilities"/>
    <w:p>
      <w:pPr>
        <w:pStyle w:val="Heading1"/>
      </w:pPr>
      <w:r>
        <w:t xml:space="preserve">6. Specific Guidance for C++ Vulnerabilities</w:t>
      </w:r>
    </w:p>
    <w:bookmarkStart w:id="34"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4"/>
    <w:bookmarkStart w:id="37" w:name="IHN"/>
    <w:p>
      <w:pPr>
        <w:pStyle w:val="Heading2"/>
      </w:pPr>
      <w:r>
        <w:t xml:space="preserve">6.2 Type System [IHN]</w:t>
      </w:r>
    </w:p>
    <w:bookmarkStart w:id="35"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0"/>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0"/>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0"/>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0"/>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0"/>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0"/>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0"/>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0"/>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0"/>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1"/>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5"/>
    <w:bookmarkStart w:id="36"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2"/>
        </w:numPr>
      </w:pPr>
      <w:r>
        <w:t xml:space="preserve">Be aware of the rules of the type system, overload resolution, and implicit conversions to avoid vulnerabilities.</w:t>
      </w:r>
    </w:p>
    <w:p>
      <w:pPr>
        <w:numPr>
          <w:ilvl w:val="0"/>
          <w:numId w:val="1012"/>
        </w:numPr>
      </w:pPr>
      <w:r>
        <w:t xml:space="preserve">Enable compiler warnings regarding implicit conversions and/or use static analysis tools that provide such warnings.</w:t>
      </w:r>
    </w:p>
    <w:p>
      <w:pPr>
        <w:numPr>
          <w:ilvl w:val="0"/>
          <w:numId w:val="1012"/>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2"/>
        </w:numPr>
      </w:pPr>
      <w:r>
        <w:t xml:space="preserve">Define any conversion operator as</w:t>
      </w:r>
      <w:r>
        <w:t xml:space="preserve"> </w:t>
      </w:r>
      <w:r>
        <w:rPr>
          <w:rStyle w:val="KeywordTok"/>
        </w:rPr>
        <w:t xml:space="preserve">explicit</w:t>
      </w:r>
    </w:p>
    <w:p>
      <w:pPr>
        <w:numPr>
          <w:ilvl w:val="0"/>
          <w:numId w:val="1012"/>
        </w:numPr>
      </w:pPr>
      <w:r>
        <w:t xml:space="preserve">Use strong types for domain values instead of the built-in types. On system boundaries, e.g., for input, convert a read value immediately to the appropriate strong type.</w:t>
      </w:r>
    </w:p>
    <w:p>
      <w:pPr>
        <w:numPr>
          <w:ilvl w:val="0"/>
          <w:numId w:val="1012"/>
        </w:numPr>
      </w:pPr>
      <w:r>
        <w:t xml:space="preserve">When defining variables of arithmetic type, use a braced-initializer to prevent a potential narrowing conversion from the initial value’s type.</w:t>
      </w:r>
    </w:p>
    <w:p>
      <w:pPr>
        <w:numPr>
          <w:ilvl w:val="0"/>
          <w:numId w:val="1012"/>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2"/>
        </w:numPr>
      </w:pPr>
      <w:r>
        <w:t xml:space="preserve">Use a consistent style in a project with respect to implicit pointer conversions in boolean contexts.</w:t>
      </w:r>
    </w:p>
    <w:bookmarkEnd w:id="36"/>
    <w:bookmarkEnd w:id="37"/>
    <w:bookmarkStart w:id="40" w:name="bit-representations-str"/>
    <w:p>
      <w:pPr>
        <w:pStyle w:val="Heading2"/>
      </w:pPr>
      <w:r>
        <w:t xml:space="preserve">6.3 Bit Representations [STR]</w:t>
      </w:r>
    </w:p>
    <w:bookmarkStart w:id="38"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38"/>
    <w:bookmarkStart w:id="39"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3"/>
        </w:numPr>
      </w:pPr>
      <w:r>
        <w:t xml:space="preserve">Follow the avoidance mechanisms of ISO/IEC 24772-3 clause 6.3.2</w:t>
      </w:r>
    </w:p>
    <w:p>
      <w:pPr>
        <w:numPr>
          <w:ilvl w:val="0"/>
          <w:numId w:val="1013"/>
        </w:numPr>
      </w:pPr>
      <w:r>
        <w:t xml:space="preserve">Avoid the use of shift operations to implement multiplication or division by powers of two.</w:t>
      </w:r>
    </w:p>
    <w:p>
      <w:pPr>
        <w:numPr>
          <w:ilvl w:val="0"/>
          <w:numId w:val="1013"/>
        </w:numPr>
      </w:pPr>
      <w:r>
        <w:t xml:space="preserve">Use built-in bitwise operations only with operands of unsigned integral types or enums with an unsigned underlying type.</w:t>
      </w:r>
    </w:p>
    <w:p>
      <w:pPr>
        <w:numPr>
          <w:ilvl w:val="0"/>
          <w:numId w:val="1013"/>
        </w:numPr>
      </w:pPr>
      <w:r>
        <w:t xml:space="preserve">When performing bitwise operations on operands of an unsigned type that gets promoted to a signed integral type, cast the result to the corresponding unsigned type immediately.</w:t>
      </w:r>
    </w:p>
    <w:p>
      <w:pPr>
        <w:numPr>
          <w:ilvl w:val="0"/>
          <w:numId w:val="1013"/>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3"/>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3"/>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3"/>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39"/>
    <w:bookmarkEnd w:id="40"/>
    <w:bookmarkStart w:id="43" w:name="floating-point-arithmetic-plf"/>
    <w:p>
      <w:pPr>
        <w:pStyle w:val="Heading2"/>
      </w:pPr>
      <w:r>
        <w:t xml:space="preserve">6.4 Floating-point Arithmetic [PLF]</w:t>
      </w:r>
    </w:p>
    <w:bookmarkStart w:id="41"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1"/>
    <w:bookmarkStart w:id="42"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4"/>
        </w:numPr>
      </w:pPr>
      <w:r>
        <w:t xml:space="preserve">Follow the avoidance mechanisms of ISO/IEC 24772-1 clause 6.4.5</w:t>
      </w:r>
    </w:p>
    <w:p>
      <w:pPr>
        <w:numPr>
          <w:ilvl w:val="0"/>
          <w:numId w:val="1014"/>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4"/>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2"/>
    <w:bookmarkEnd w:id="43"/>
    <w:bookmarkStart w:id="46" w:name="CCB"/>
    <w:p>
      <w:pPr>
        <w:pStyle w:val="Heading2"/>
      </w:pPr>
      <w:r>
        <w:t xml:space="preserve">6.5 Enumerator Issues [CCB]</w:t>
      </w:r>
    </w:p>
    <w:bookmarkStart w:id="44"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44"/>
    <w:bookmarkStart w:id="45"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5"/>
        </w:numPr>
      </w:pPr>
      <w:r>
        <w:t xml:space="preserve">Prefer</w:t>
      </w:r>
      <w:r>
        <w:t xml:space="preserve"> </w:t>
      </w:r>
      <w:r>
        <w:rPr>
          <w:i/>
        </w:rPr>
        <w:t xml:space="preserve">scoped enumerations</w:t>
      </w:r>
      <w:r>
        <w:t xml:space="preserve"> </w:t>
      </w:r>
      <w:r>
        <w:t xml:space="preserve">with an explicit fixed underlying type.</w:t>
      </w:r>
    </w:p>
    <w:p>
      <w:pPr>
        <w:numPr>
          <w:ilvl w:val="1"/>
          <w:numId w:val="1016"/>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6"/>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6"/>
        </w:numPr>
        <w:pStyle w:val="SourceCode"/>
      </w:pPr>
      <w:r>
        <w:rPr>
          <w:rStyle w:val="VerbatimChar"/>
        </w:rPr>
        <w:t xml:space="preserve">  See MISRA C++ 8.5.3 </w:t>
      </w:r>
    </w:p>
    <w:p>
      <w:pPr>
        <w:numPr>
          <w:ilvl w:val="1"/>
          <w:numId w:val="1016"/>
        </w:numPr>
        <w:pStyle w:val="SourceCode"/>
      </w:pPr>
      <w:r>
        <w:rPr>
          <w:rStyle w:val="VerbatimChar"/>
        </w:rPr>
        <w:t xml:space="preserve">  See MISRA C++ 28.5.5 </w:t>
      </w:r>
    </w:p>
    <w:p>
      <w:pPr>
        <w:numPr>
          <w:ilvl w:val="0"/>
          <w:numId w:val="1015"/>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Pr>
      <w:r>
        <w:t xml:space="preserve">For an enumeration type with a fixed underlying type, avoid assigning integer values that are outside the range of the enumeration’s underlying type.</w:t>
      </w:r>
    </w:p>
    <w:p>
      <w:pPr>
        <w:numPr>
          <w:ilvl w:val="1"/>
          <w:numId w:val="1017"/>
        </w:numPr>
      </w:pPr>
      <w:r>
        <w:t xml:space="preserve">For an enumeration type with no fixed underlying type, avoid assigning integer values that cannot be represented by the enumeration type.</w:t>
      </w:r>
    </w:p>
    <w:p>
      <w:pPr>
        <w:numPr>
          <w:ilvl w:val="1"/>
          <w:numId w:val="1017"/>
        </w:numPr>
      </w:pPr>
      <w:r>
        <w:t xml:space="preserve">Avoid casting integer values to enumeration type values, but if unavoidable, ensure that it corresponds to a named enumerator.</w:t>
      </w:r>
    </w:p>
    <w:bookmarkEnd w:id="45"/>
    <w:bookmarkEnd w:id="46"/>
    <w:bookmarkStart w:id="49" w:name="FLC"/>
    <w:p>
      <w:pPr>
        <w:pStyle w:val="Heading2"/>
      </w:pPr>
      <w:r>
        <w:t xml:space="preserve">6.6 Conversion Errors [FLC]</w:t>
      </w:r>
    </w:p>
    <w:bookmarkStart w:id="47"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47"/>
    <w:bookmarkStart w:id="48"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1"/>
        </w:numPr>
      </w:pPr>
      <w:r>
        <w:t xml:space="preserve">Use the avoidance mechanisms of ISO/IEC 24772-1 clause 6.6.5:</w:t>
      </w:r>
    </w:p>
    <w:p>
      <w:pPr>
        <w:numPr>
          <w:ilvl w:val="0"/>
          <w:numId w:val="1021"/>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1"/>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1"/>
        </w:numPr>
      </w:pPr>
      <w:r>
        <w:t xml:space="preserve">Avoid widening the result of an arithmetic operation; prefer instead to widen the type of</w:t>
      </w:r>
      <w:r>
        <w:t xml:space="preserve"> </w:t>
      </w:r>
      <w:r>
        <w:t xml:space="preserve">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8"/>
    <w:bookmarkEnd w:id="49"/>
    <w:bookmarkStart w:id="52" w:name="CJM"/>
    <w:p>
      <w:pPr>
        <w:pStyle w:val="Heading2"/>
      </w:pPr>
      <w:r>
        <w:t xml:space="preserve">6.7 String Termination [CJM]</w:t>
      </w:r>
    </w:p>
    <w:bookmarkStart w:id="50"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0"/>
    <w:bookmarkStart w:id="51"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3"/>
        </w:numPr>
      </w:pPr>
      <w:r>
        <w:t xml:space="preserve">Avoid C-style strings.</w:t>
      </w:r>
    </w:p>
    <w:p>
      <w:pPr>
        <w:numPr>
          <w:ilvl w:val="0"/>
          <w:numId w:val="1023"/>
        </w:numPr>
      </w:pPr>
      <w:r>
        <w:t xml:space="preserve">If using C-style strings is unavoidable, use the avoidance mechanisms of ISO/IEC 24772-3 clause 6.7.2.</w:t>
      </w:r>
    </w:p>
    <w:p>
      <w:pPr>
        <w:numPr>
          <w:ilvl w:val="0"/>
          <w:numId w:val="1023"/>
        </w:numPr>
      </w:pPr>
      <w:r>
        <w:t xml:space="preserve">Ensure that explicit overflow checks are performed for all string operations.</w:t>
      </w:r>
    </w:p>
    <w:p>
      <w:pPr>
        <w:numPr>
          <w:ilvl w:val="0"/>
          <w:numId w:val="1023"/>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3"/>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3"/>
        </w:numPr>
      </w:pPr>
      <w:r>
        <w:t xml:space="preserve">Use static analysis tools to help identify occurrences of undefined behaviour.</w:t>
      </w:r>
    </w:p>
    <w:bookmarkEnd w:id="51"/>
    <w:bookmarkEnd w:id="52"/>
    <w:bookmarkStart w:id="60" w:name="HCB"/>
    <w:p>
      <w:pPr>
        <w:pStyle w:val="Heading2"/>
      </w:pPr>
      <w:r>
        <w:t xml:space="preserve">6.8 Buffer Boundary Violation [HCB]</w:t>
      </w:r>
    </w:p>
    <w:bookmarkStart w:id="58"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3" w:name="CJM"/>
      <w:r>
        <w:t xml:space="preserve">6.7 String</w:t>
      </w:r>
      <w:r>
        <w:t xml:space="preserve"> </w:t>
      </w:r>
      <w:r>
        <w:t xml:space="preserve">Termination[CJM]</w:t>
      </w:r>
      <w:bookmarkEnd w:id="53"/>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4">
        <w:r>
          <w:rPr>
            <w:rStyle w:val="Hyperlink"/>
          </w:rPr>
          <w:t xml:space="preserve">SEI CTR50-CPP</w:t>
        </w:r>
      </w:hyperlink>
    </w:p>
    <w:p>
      <w:pPr>
        <w:numPr>
          <w:ilvl w:val="0"/>
          <w:numId w:val="1026"/>
        </w:numPr>
        <w:pStyle w:val="Compact"/>
      </w:pPr>
      <w:hyperlink r:id="rId55">
        <w:r>
          <w:rPr>
            <w:rStyle w:val="Hyperlink"/>
          </w:rPr>
          <w:t xml:space="preserve">SEI CTR53-CPP</w:t>
        </w:r>
      </w:hyperlink>
    </w:p>
    <w:p>
      <w:pPr>
        <w:numPr>
          <w:ilvl w:val="0"/>
          <w:numId w:val="1026"/>
        </w:numPr>
        <w:pStyle w:val="Compact"/>
      </w:pPr>
      <w:hyperlink r:id="rId56">
        <w:r>
          <w:rPr>
            <w:rStyle w:val="Hyperlink"/>
          </w:rPr>
          <w:t xml:space="preserve">SEI CTR55-CPP</w:t>
        </w:r>
      </w:hyperlink>
    </w:p>
    <w:p>
      <w:pPr>
        <w:numPr>
          <w:ilvl w:val="0"/>
          <w:numId w:val="1026"/>
        </w:numPr>
        <w:pStyle w:val="Compact"/>
      </w:pPr>
      <w:hyperlink r:id="rId57">
        <w:r>
          <w:rPr>
            <w:rStyle w:val="Hyperlink"/>
          </w:rPr>
          <w:t xml:space="preserve">C++ core guidelines I.13</w:t>
        </w:r>
      </w:hyperlink>
    </w:p>
    <w:bookmarkEnd w:id="58"/>
    <w:bookmarkStart w:id="59"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27"/>
        </w:numPr>
      </w:pPr>
      <w:r>
        <w:t xml:space="preserve">Use the avoidance mechanisms of ISO/IEC 24772-1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7"/>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7"/>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7"/>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7"/>
        </w:numPr>
      </w:pPr>
      <w:r>
        <w:t xml:space="preserve">Use static analysis tools to detect buffer boundary violations.</w:t>
      </w:r>
    </w:p>
    <w:bookmarkEnd w:id="59"/>
    <w:bookmarkEnd w:id="60"/>
    <w:bookmarkStart w:id="63" w:name="XYZ"/>
    <w:p>
      <w:pPr>
        <w:pStyle w:val="Heading2"/>
      </w:pPr>
      <w:r>
        <w:t xml:space="preserve">6.9 Unchecked Array Indexing [XYZ]</w:t>
      </w:r>
    </w:p>
    <w:bookmarkStart w:id="61"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r>
        <w:t xml:space="preserve"> </w:t>
      </w:r>
      <w:r>
        <w:t xml:space="preserve">For more information on the use of</w:t>
      </w:r>
      <w:r>
        <w:t xml:space="preserve"> </w:t>
      </w:r>
      <w:r>
        <w:rPr>
          <w:rStyle w:val="VerbatimChar"/>
        </w:rPr>
        <w:t xml:space="preserve">std::span</w:t>
      </w:r>
      <w:r>
        <w:t xml:space="preserve"> </w:t>
      </w:r>
      <w:r>
        <w:t xml:space="preserve">see</w:t>
      </w:r>
      <w:r>
        <w:t xml:space="preserve"> </w:t>
      </w:r>
      <w:hyperlink w:anchor="HCB">
        <w:r>
          <w:rPr>
            <w:rStyle w:val="Hyperlink"/>
          </w:rPr>
          <w:t xml:space="preserve">6.8</w:t>
        </w:r>
      </w:hyperlink>
    </w:p>
    <w:bookmarkEnd w:id="61"/>
    <w:bookmarkStart w:id="62"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28"/>
        </w:numPr>
      </w:pPr>
      <w:r>
        <w:t xml:space="preserve">Apply the avoidance mechanisms of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62"/>
    <w:bookmarkEnd w:id="63"/>
    <w:bookmarkStart w:id="67" w:name="XYW"/>
    <w:p>
      <w:pPr>
        <w:pStyle w:val="Heading2"/>
      </w:pPr>
      <w:r>
        <w:t xml:space="preserve">6.10 Unchecked Array Copying [XYW]</w:t>
      </w:r>
    </w:p>
    <w:bookmarkStart w:id="65"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4" w:name="HCB"/>
      <w:r>
        <w:t xml:space="preserve">6.8 Buffer Boundary Violation [HCB]</w:t>
      </w:r>
      <w:bookmarkEnd w:id="64"/>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5"/>
    <w:bookmarkStart w:id="66"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29"/>
        </w:numPr>
      </w:pPr>
      <w:r>
        <w:t xml:space="preserve">Use the avoidance mechanisms of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6"/>
    <w:bookmarkEnd w:id="67"/>
    <w:bookmarkStart w:id="70" w:name="HFC"/>
    <w:p>
      <w:pPr>
        <w:pStyle w:val="Heading2"/>
      </w:pPr>
      <w:r>
        <w:t xml:space="preserve">6.11 Pointer Type Conversions [HFC]</w:t>
      </w:r>
    </w:p>
    <w:bookmarkStart w:id="68"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 (see 4.4).</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 (see 4.4).</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In general, the C++ standard only defines</w:t>
      </w:r>
      <w:r>
        <w:t xml:space="preserve"> </w:t>
      </w:r>
      <w:r>
        <w:rPr>
          <w:rStyle w:val="KeywordTok"/>
        </w:rPr>
        <w:t xml:space="preserve">reinterpret_cast</w:t>
      </w:r>
      <w:r>
        <w:t xml:space="preserve"> </w:t>
      </w:r>
      <w:r>
        <w:t xml:space="preserve">to obtain the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hyperlink w:anchor="FAB">
        <w:r>
          <w:rPr>
            <w:rStyle w:val="Hyperlink"/>
          </w:rPr>
          <w:t xml:space="preserve">Implementation-defined behaviour [FAB]</w:t>
        </w:r>
      </w:hyperlink>
      <w:r>
        <w:t xml:space="preserve">.</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8"/>
    <w:bookmarkStart w:id="69"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w:t>
      </w:r>
      <w:r>
        <w:t xml:space="preserve"> </w:t>
      </w:r>
      <w:r>
        <w:t xml:space="preserve">issued for such conversions as hard errors.</w:t>
      </w:r>
    </w:p>
    <w:p>
      <w:pPr>
        <w:numPr>
          <w:ilvl w:val="0"/>
          <w:numId w:val="1030"/>
        </w:numPr>
      </w:pPr>
      <w:r>
        <w:t xml:space="preserve">Ensure through static analysis that arbitrary pointer casts return a type compatible with the source.</w:t>
      </w:r>
    </w:p>
    <w:bookmarkEnd w:id="69"/>
    <w:bookmarkEnd w:id="70"/>
    <w:bookmarkStart w:id="73" w:name="RVG"/>
    <w:p>
      <w:pPr>
        <w:pStyle w:val="Heading2"/>
      </w:pPr>
      <w:r>
        <w:t xml:space="preserve">6.12 Pointer Arithmetic [RVG]</w:t>
      </w:r>
    </w:p>
    <w:bookmarkStart w:id="71"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1"/>
    <w:bookmarkStart w:id="72"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1"/>
        </w:numPr>
      </w:pPr>
      <w:r>
        <w:t xml:space="preserve">Avoid explicit pointer arithmetic, especially on a pointer to a single object.</w:t>
      </w:r>
    </w:p>
    <w:p>
      <w:pPr>
        <w:numPr>
          <w:ilvl w:val="0"/>
          <w:numId w:val="1031"/>
        </w:numPr>
      </w:pPr>
      <w:r>
        <w:t xml:space="preserve">Prefer calling range-based algorithms over pointer arithmetic.</w:t>
      </w:r>
    </w:p>
    <w:p>
      <w:pPr>
        <w:numPr>
          <w:ilvl w:val="0"/>
          <w:numId w:val="1031"/>
        </w:numPr>
      </w:pPr>
      <w:r>
        <w:t xml:space="preserve">Use the avoidance mechanisms of</w:t>
      </w:r>
      <w:r>
        <w:t xml:space="preserve"> </w:t>
      </w:r>
      <w:hyperlink w:anchor="HCB">
        <w:r>
          <w:rPr>
            <w:rStyle w:val="Hyperlink"/>
          </w:rPr>
          <w:t xml:space="preserve">6.8.2</w:t>
        </w:r>
      </w:hyperlink>
      <w:r>
        <w:t xml:space="preserve">.</w:t>
      </w:r>
    </w:p>
    <w:p>
      <w:pPr>
        <w:numPr>
          <w:ilvl w:val="0"/>
          <w:numId w:val="1031"/>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2"/>
    <w:bookmarkEnd w:id="73"/>
    <w:bookmarkStart w:id="76" w:name="XYH"/>
    <w:p>
      <w:pPr>
        <w:pStyle w:val="Heading2"/>
      </w:pPr>
      <w:r>
        <w:t xml:space="preserve">6.13 NULL Pointer Dereference [XYH]</w:t>
      </w:r>
    </w:p>
    <w:bookmarkStart w:id="74"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target of the pointer?</w:t>
      </w:r>
    </w:p>
    <w:p>
      <w:pPr>
        <w:numPr>
          <w:ilvl w:val="0"/>
          <w:numId w:val="1032"/>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4"/>
    <w:bookmarkStart w:id="75"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3"/>
        </w:numPr>
      </w:pPr>
      <w:r>
        <w:t xml:space="preserve">Avoid the need for pointers by using values.</w:t>
      </w:r>
    </w:p>
    <w:p>
      <w:pPr>
        <w:numPr>
          <w:ilvl w:val="0"/>
          <w:numId w:val="1033"/>
        </w:numPr>
      </w:pPr>
      <w:r>
        <w:t xml:space="preserve">Prefer references over pointers for parameters.</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3"/>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3"/>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3"/>
        </w:numPr>
      </w:pPr>
      <w:r>
        <w:t xml:space="preserve">Use static and dynamic analysis tools to detect potential violations of this guideline.</w:t>
      </w:r>
    </w:p>
    <w:bookmarkEnd w:id="75"/>
    <w:bookmarkEnd w:id="76"/>
    <w:bookmarkStart w:id="79" w:name="XYK"/>
    <w:p>
      <w:pPr>
        <w:pStyle w:val="Heading2"/>
      </w:pPr>
      <w:r>
        <w:t xml:space="preserve">6.14 Dangling Reference to Heap [XYK]</w:t>
      </w:r>
    </w:p>
    <w:bookmarkStart w:id="77"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 See (4.4).</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4"/>
        </w:numPr>
        <w:pStyle w:val="Compact"/>
      </w:pPr>
      <w:r>
        <w:t xml:space="preserve">References (the term value here includes references)</w:t>
      </w:r>
    </w:p>
    <w:p>
      <w:pPr>
        <w:numPr>
          <w:ilvl w:val="0"/>
          <w:numId w:val="1034"/>
        </w:numPr>
        <w:pStyle w:val="Compact"/>
      </w:pPr>
      <w:r>
        <w:t xml:space="preserve">Pointers</w:t>
      </w:r>
    </w:p>
    <w:p>
      <w:pPr>
        <w:numPr>
          <w:ilvl w:val="0"/>
          <w:numId w:val="1034"/>
        </w:numPr>
        <w:pStyle w:val="Compact"/>
      </w:pPr>
      <w:r>
        <w:t xml:space="preserve">Iterators</w:t>
      </w:r>
    </w:p>
    <w:p>
      <w:pPr>
        <w:numPr>
          <w:ilvl w:val="0"/>
          <w:numId w:val="1034"/>
        </w:numPr>
        <w:pStyle w:val="Compact"/>
      </w:pPr>
      <w:r>
        <w:t xml:space="preserve">Views, e.g.,</w:t>
      </w:r>
    </w:p>
    <w:p>
      <w:pPr>
        <w:numPr>
          <w:ilvl w:val="1"/>
          <w:numId w:val="1035"/>
        </w:numPr>
        <w:pStyle w:val="Compact"/>
      </w:pPr>
      <w:r>
        <w:rPr>
          <w:rStyle w:val="BuiltInTok"/>
        </w:rPr>
        <w:t xml:space="preserve">std::</w:t>
      </w:r>
      <w:r>
        <w:rPr>
          <w:rStyle w:val="NormalTok"/>
        </w:rPr>
        <w:t xml:space="preserve">string_view</w:t>
      </w:r>
    </w:p>
    <w:p>
      <w:pPr>
        <w:numPr>
          <w:ilvl w:val="1"/>
          <w:numId w:val="1035"/>
        </w:numPr>
        <w:pStyle w:val="Compact"/>
      </w:pPr>
      <w:r>
        <w:rPr>
          <w:rStyle w:val="BuiltInTok"/>
        </w:rPr>
        <w:t xml:space="preserve">std::</w:t>
      </w:r>
      <w:r>
        <w:rPr>
          <w:rStyle w:val="NormalTok"/>
        </w:rPr>
        <w:t xml:space="preserve">span</w:t>
      </w:r>
    </w:p>
    <w:p>
      <w:pPr>
        <w:numPr>
          <w:ilvl w:val="0"/>
          <w:numId w:val="1034"/>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77"/>
    <w:bookmarkStart w:id="78"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6"/>
        </w:numPr>
      </w:pPr>
      <w:r>
        <w:t xml:space="preserve">Use the avoidance mechanisms of ISO/IEC 24772-1 clause 6.14.5.</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6"/>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6"/>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6"/>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6"/>
        </w:numPr>
      </w:pPr>
      <w:r>
        <w:t xml:space="preserve">Use static and dynamic analysis tools to detect dangling.</w:t>
      </w:r>
    </w:p>
    <w:bookmarkEnd w:id="78"/>
    <w:bookmarkEnd w:id="79"/>
    <w:bookmarkStart w:id="82" w:name="FIF"/>
    <w:p>
      <w:pPr>
        <w:pStyle w:val="Heading2"/>
      </w:pPr>
      <w:r>
        <w:t xml:space="preserve">6.15 Arithmetic Wrap-around Error [FIF]</w:t>
      </w:r>
    </w:p>
    <w:bookmarkStart w:id="80"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37"/>
        </w:numPr>
        <w:pStyle w:val="Compact"/>
      </w:pPr>
      <w:r>
        <w:t xml:space="preserve">although signed integers are defined to be represented as two’s complement, signed integer overflow is undefined behaviour,</w:t>
      </w:r>
    </w:p>
    <w:p>
      <w:pPr>
        <w:numPr>
          <w:ilvl w:val="0"/>
          <w:numId w:val="1037"/>
        </w:numPr>
        <w:pStyle w:val="Compact"/>
      </w:pPr>
      <w:r>
        <w:t xml:space="preserve">unsigned integer arithmetic is defined to wrap-around (modulo arithmetic) and not overflow,</w:t>
      </w:r>
    </w:p>
    <w:p>
      <w:pPr>
        <w:numPr>
          <w:ilvl w:val="0"/>
          <w:numId w:val="1037"/>
        </w:numPr>
        <w:pStyle w:val="Compact"/>
      </w:pPr>
      <w:r>
        <w:t xml:space="preserve">expressions of integral type can implicitly convert to other integral types, even when passed as function arguments,</w:t>
      </w:r>
    </w:p>
    <w:p>
      <w:pPr>
        <w:numPr>
          <w:ilvl w:val="0"/>
          <w:numId w:val="1037"/>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37"/>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38"/>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38"/>
        </w:numPr>
        <w:pStyle w:val="Compact"/>
      </w:pPr>
      <w:r>
        <w:t xml:space="preserve">refrain from relying on integral promotion and implicit conversions, and</w:t>
      </w:r>
    </w:p>
    <w:p>
      <w:pPr>
        <w:numPr>
          <w:ilvl w:val="0"/>
          <w:numId w:val="1038"/>
        </w:numPr>
        <w:pStyle w:val="Compact"/>
      </w:pPr>
      <w:r>
        <w:t xml:space="preserve">guarantee that allowed variation in the range of representable values do not influence computed results.</w:t>
      </w:r>
    </w:p>
    <w:bookmarkEnd w:id="80"/>
    <w:bookmarkStart w:id="81"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6.15.5.</w:t>
      </w:r>
    </w:p>
    <w:p>
      <w:pPr>
        <w:numPr>
          <w:ilvl w:val="0"/>
          <w:numId w:val="1039"/>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39"/>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39"/>
        </w:numPr>
      </w:pPr>
      <w:r>
        <w:t xml:space="preserve">Avoid implicit integral promotions and integral conversions, especially on function arguments.</w:t>
      </w:r>
    </w:p>
    <w:p>
      <w:pPr>
        <w:numPr>
          <w:ilvl w:val="0"/>
          <w:numId w:val="1039"/>
        </w:numPr>
      </w:pPr>
      <w:r>
        <w:t xml:space="preserve">Avoid mixing integral types with different size or different signedness in the same expression.</w:t>
      </w:r>
    </w:p>
    <w:p>
      <w:pPr>
        <w:numPr>
          <w:ilvl w:val="0"/>
          <w:numId w:val="1039"/>
        </w:numPr>
      </w:pPr>
      <w:r>
        <w:t xml:space="preserve">Ensure that the result of any mathematical operation fits within the</w:t>
      </w:r>
      <w:r>
        <w:t xml:space="preserve"> </w:t>
      </w:r>
      <w:r>
        <w:t xml:space="preserve">constraints of the types involved within the expression.</w:t>
      </w:r>
    </w:p>
    <w:p>
      <w:pPr>
        <w:numPr>
          <w:ilvl w:val="0"/>
          <w:numId w:val="1039"/>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39"/>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39"/>
        </w:numPr>
      </w:pPr>
      <w:r>
        <w:t xml:space="preserve">Document where wrap-around is expected for a type.</w:t>
      </w:r>
    </w:p>
    <w:p>
      <w:pPr>
        <w:numPr>
          <w:ilvl w:val="0"/>
          <w:numId w:val="1039"/>
        </w:numPr>
      </w:pPr>
      <w:r>
        <w:t xml:space="preserve">Use static and dynamic analysis tools to detect problematic expressions.</w:t>
      </w:r>
    </w:p>
    <w:bookmarkEnd w:id="81"/>
    <w:bookmarkEnd w:id="82"/>
    <w:bookmarkStart w:id="85" w:name="PIK"/>
    <w:p>
      <w:pPr>
        <w:pStyle w:val="Heading2"/>
      </w:pPr>
      <w:r>
        <w:t xml:space="preserve">6.16 Using Shift Operations for Multiplication and Division [PIK]</w:t>
      </w:r>
    </w:p>
    <w:bookmarkStart w:id="8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3"/>
    <w:bookmarkStart w:id="84"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0"/>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0"/>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4"/>
    <w:bookmarkEnd w:id="85"/>
    <w:bookmarkStart w:id="88" w:name="NAI"/>
    <w:p>
      <w:pPr>
        <w:pStyle w:val="Heading2"/>
      </w:pPr>
      <w:r>
        <w:t xml:space="preserve">6.17 Choice of Clear Names [NAI]</w:t>
      </w:r>
    </w:p>
    <w:bookmarkStart w:id="8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1"/>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1"/>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1"/>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1"/>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1"/>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1"/>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6"/>
    <w:bookmarkStart w:id="87"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24772-1:2019 clause 6.17.5.</w:t>
      </w:r>
    </w:p>
    <w:p>
      <w:pPr>
        <w:numPr>
          <w:ilvl w:val="0"/>
          <w:numId w:val="1042"/>
        </w:numPr>
      </w:pPr>
      <w:r>
        <w:t xml:space="preserve">Follow the rules of ISO/IEC 14882:2020 clause [lex.name] regarding</w:t>
      </w:r>
      <w:r>
        <w:t xml:space="preserve"> </w:t>
      </w:r>
      <w:r>
        <w:t xml:space="preserve">names to refrain from usage.</w:t>
      </w:r>
    </w:p>
    <w:p>
      <w:pPr>
        <w:numPr>
          <w:ilvl w:val="0"/>
          <w:numId w:val="1042"/>
        </w:numPr>
      </w:pPr>
      <w:r>
        <w:t xml:space="preserve">Avoid the use of similar names to denote different objects of the same type.</w:t>
      </w:r>
    </w:p>
    <w:p>
      <w:pPr>
        <w:numPr>
          <w:ilvl w:val="0"/>
          <w:numId w:val="1042"/>
        </w:numPr>
      </w:pPr>
      <w:r>
        <w:t xml:space="preserve">Use consistency in choosing names, especially for dealing with similar names.</w:t>
      </w:r>
    </w:p>
    <w:p>
      <w:pPr>
        <w:numPr>
          <w:ilvl w:val="0"/>
          <w:numId w:val="1042"/>
        </w:numPr>
      </w:pPr>
      <w:r>
        <w:t xml:space="preserve">Use static analysis and tooling to enforce project-specific naming rules and detect possible similar names, for example, homoglyphs and unexpected text-direction vulnerabilities.</w:t>
      </w:r>
    </w:p>
    <w:p>
      <w:pPr>
        <w:numPr>
          <w:ilvl w:val="0"/>
          <w:numId w:val="1042"/>
        </w:numPr>
      </w:pPr>
      <w:r>
        <w:t xml:space="preserve">Keep the scope of names as small as reasonable.</w:t>
      </w:r>
    </w:p>
    <w:p>
      <w:pPr>
        <w:numPr>
          <w:ilvl w:val="0"/>
          <w:numId w:val="1042"/>
        </w:numPr>
      </w:pPr>
      <w:r>
        <w:t xml:space="preserve">Ensure that the names in your program do not exceed the compiler’s documented limit.</w:t>
      </w:r>
    </w:p>
    <w:p>
      <w:pPr>
        <w:numPr>
          <w:ilvl w:val="0"/>
          <w:numId w:val="1042"/>
        </w:numPr>
      </w:pPr>
      <w:r>
        <w:t xml:space="preserve">Do not differentiate names through only a mixture of case or the</w:t>
      </w:r>
      <w:r>
        <w:t xml:space="preserve"> </w:t>
      </w:r>
      <w:r>
        <w:t xml:space="preserve">presence/absence of an underscore character.</w:t>
      </w:r>
    </w:p>
    <w:p>
      <w:pPr>
        <w:numPr>
          <w:ilvl w:val="0"/>
          <w:numId w:val="1042"/>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7"/>
    <w:bookmarkEnd w:id="88"/>
    <w:bookmarkStart w:id="91" w:name="WXQ"/>
    <w:p>
      <w:pPr>
        <w:pStyle w:val="Heading2"/>
      </w:pPr>
      <w:r>
        <w:t xml:space="preserve">6.18 Dead Store [WXQ]</w:t>
      </w:r>
    </w:p>
    <w:bookmarkStart w:id="8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9"/>
    <w:bookmarkStart w:id="90"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6.18.5.</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w:t>
      </w:r>
      <w:r>
        <w:t xml:space="preserve"> </w:t>
      </w:r>
      <w:r>
        <w:t xml:space="preserve">agents. See clause 6.61 Concurrent data access [CGX]</w:t>
      </w:r>
    </w:p>
    <w:bookmarkEnd w:id="90"/>
    <w:bookmarkEnd w:id="91"/>
    <w:bookmarkStart w:id="94" w:name="YZS"/>
    <w:p>
      <w:pPr>
        <w:pStyle w:val="Heading2"/>
      </w:pPr>
      <w:r>
        <w:t xml:space="preserve">6.19 Unused Variable [YZS]</w:t>
      </w:r>
    </w:p>
    <w:bookmarkStart w:id="92"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2"/>
    <w:bookmarkStart w:id="93"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6.19.5.</w:t>
      </w:r>
    </w:p>
    <w:p>
      <w:pPr>
        <w:numPr>
          <w:ilvl w:val="0"/>
          <w:numId w:val="1044"/>
        </w:numPr>
      </w:pPr>
      <w:r>
        <w:t xml:space="preserve">Use compiler warnings and/or static analysis tools to indicate and eliminate unused variables.</w:t>
      </w:r>
    </w:p>
    <w:bookmarkEnd w:id="93"/>
    <w:bookmarkEnd w:id="94"/>
    <w:bookmarkStart w:id="97" w:name="identifier-name-reuse-yow"/>
    <w:p>
      <w:pPr>
        <w:pStyle w:val="Heading2"/>
      </w:pPr>
      <w:r>
        <w:t xml:space="preserve">6.20 Identifier Name Reuse [YOW]</w:t>
      </w:r>
    </w:p>
    <w:bookmarkStart w:id="9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5"/>
    <w:bookmarkStart w:id="96"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 clause 6.20.5,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6"/>
    <w:bookmarkEnd w:id="97"/>
    <w:bookmarkStart w:id="100" w:name="BJL"/>
    <w:p>
      <w:pPr>
        <w:pStyle w:val="Heading2"/>
      </w:pPr>
      <w:r>
        <w:t xml:space="preserve">6.21 Namespace Issues [BJL]</w:t>
      </w:r>
    </w:p>
    <w:bookmarkStart w:id="9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7"/>
        </w:numPr>
        <w:pStyle w:val="Compact"/>
      </w:pPr>
      <w:r>
        <w:t xml:space="preserve">Template specialization, where clause 6.40 [#SYM] applies;</w:t>
      </w:r>
    </w:p>
    <w:p>
      <w:pPr>
        <w:numPr>
          <w:ilvl w:val="0"/>
          <w:numId w:val="1047"/>
        </w:numPr>
        <w:pStyle w:val="Compact"/>
      </w:pPr>
      <w:r>
        <w:t xml:space="preserve">Overloading, where clause 6.20 [#YOW] applies;</w:t>
      </w:r>
    </w:p>
    <w:p>
      <w:pPr>
        <w:numPr>
          <w:ilvl w:val="0"/>
          <w:numId w:val="1047"/>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8"/>
        </w:numPr>
        <w:pStyle w:val="Compact"/>
      </w:pPr>
      <w:r>
        <w:t xml:space="preserve">an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8"/>
        </w:numPr>
        <w:pStyle w:val="Compact"/>
      </w:pPr>
      <w:r>
        <w:t xml:space="preserve">a non-template function that is preferred to a function template,</w:t>
      </w:r>
    </w:p>
    <w:p>
      <w:pPr>
        <w:numPr>
          <w:ilvl w:val="0"/>
          <w:numId w:val="1048"/>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8"/>
    <w:bookmarkStart w:id="99"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clauses 6.20.2, 6.40.2,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Arguments to called functions should not be subject to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specialize function templates.</w:t>
      </w:r>
    </w:p>
    <w:p>
      <w:pPr>
        <w:numPr>
          <w:ilvl w:val="0"/>
          <w:numId w:val="1049"/>
        </w:numPr>
      </w:pPr>
      <w:r>
        <w:t xml:space="preserve">For template specialization, ensure that specializations are declared as follows:</w:t>
      </w:r>
    </w:p>
    <w:p>
      <w:pPr>
        <w:numPr>
          <w:ilvl w:val="1"/>
          <w:numId w:val="1050"/>
        </w:numPr>
      </w:pPr>
      <w:r>
        <w:t xml:space="preserve">In the same file as the primary template; or</w:t>
      </w:r>
    </w:p>
    <w:p>
      <w:pPr>
        <w:numPr>
          <w:ilvl w:val="1"/>
          <w:numId w:val="1050"/>
        </w:numPr>
      </w:pPr>
      <w:r>
        <w:t xml:space="preserve">In the same file as the user-defined type for which the</w:t>
      </w:r>
      <w:r>
        <w:t xml:space="preserve"> </w:t>
      </w:r>
      <w:r>
        <w:t xml:space="preserve">specialization is declared.</w:t>
      </w:r>
    </w:p>
    <w:p>
      <w:pPr>
        <w:numPr>
          <w:ilvl w:val="0"/>
          <w:numId w:val="1049"/>
        </w:numPr>
      </w:pPr>
      <w:r>
        <w:t xml:space="preserve">Define an entity in only one file to prevent ODR-violations.</w:t>
      </w:r>
    </w:p>
    <w:p>
      <w:pPr>
        <w:numPr>
          <w:ilvl w:val="0"/>
          <w:numId w:val="1049"/>
        </w:numPr>
      </w:pPr>
      <w:r>
        <w:t xml:space="preserve">Ensure that no ODR-violations occur, i.e., through a static analysis tool.</w:t>
      </w:r>
    </w:p>
    <w:p>
      <w:pPr>
        <w:numPr>
          <w:ilvl w:val="0"/>
          <w:numId w:val="1049"/>
        </w:numPr>
      </w:pPr>
      <w:r>
        <w:t xml:space="preserve">Use a version-aware analysis tool to identify situations where preference rules cause a silent change of name binding between versions.</w:t>
      </w:r>
    </w:p>
    <w:p>
      <w:pPr>
        <w:numPr>
          <w:ilvl w:val="0"/>
          <w:numId w:val="1049"/>
        </w:numPr>
      </w:pPr>
      <w:r>
        <w:t xml:space="preserve">Only declare equaility or relational operators as member functions or friend</w:t>
      </w:r>
      <w:r>
        <w:t xml:space="preserve"> </w:t>
      </w:r>
      <w:r>
        <w:t xml:space="preserve">functions of the class</w:t>
      </w:r>
    </w:p>
    <w:bookmarkEnd w:id="99"/>
    <w:bookmarkEnd w:id="100"/>
    <w:bookmarkStart w:id="104" w:name="LAV"/>
    <w:p>
      <w:pPr>
        <w:pStyle w:val="Heading2"/>
      </w:pPr>
      <w:r>
        <w:t xml:space="preserve">6.22 Missing Initialization of Variables [LAV]</w:t>
      </w:r>
    </w:p>
    <w:bookmarkStart w:id="101"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w:t>
      </w:r>
      <w:r>
        <w:t xml:space="preserve"> </w:t>
      </w:r>
      <w:r>
        <w:t xml:space="preserve">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An object with non-trivial type requires running a constructor for its lifetime to start correctly (see 4.4).</w:t>
      </w:r>
      <w:r>
        <w:t xml:space="preserve"> </w:t>
      </w:r>
      <w:r>
        <w:t xml:space="preserve">Attempting to cast a pointer to allocated memory and using it as an object that is not implicitly defined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are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1"/>
    <w:bookmarkStart w:id="103"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1"/>
        </w:numPr>
        <w:pStyle w:val="Compact"/>
      </w:pPr>
      <w:r>
        <w:t xml:space="preserve">Use the avoidance mechanisms of ISO/IEC 24772-1 subclause 6.22.5</w:t>
      </w:r>
    </w:p>
    <w:p>
      <w:pPr>
        <w:numPr>
          <w:ilvl w:val="0"/>
          <w:numId w:val="1051"/>
        </w:numPr>
        <w:pStyle w:val="Compact"/>
      </w:pPr>
      <w:r>
        <w:t xml:space="preserve">Initialize every object defined, including data members, such as by providing an initializer for each variable definition.</w:t>
      </w:r>
    </w:p>
    <w:p>
      <w:pPr>
        <w:numPr>
          <w:ilvl w:val="0"/>
          <w:numId w:val="1051"/>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1"/>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1"/>
        </w:numPr>
        <w:pStyle w:val="Compact"/>
      </w:pPr>
      <w:r>
        <w:t xml:space="preserve">Avoid using non-const variables with static storage duration (see</w:t>
      </w:r>
      <w:r>
        <w:t xml:space="preserve"> </w:t>
      </w:r>
      <w:bookmarkStart w:id="102" w:name="CGX"/>
      <w:r>
        <w:t xml:space="preserve">6.61 Concurrent Data Access [CGX]</w:t>
      </w:r>
      <w:bookmarkEnd w:id="102"/>
      <w:r>
        <w:t xml:space="preserve">).</w:t>
      </w:r>
    </w:p>
    <w:p>
      <w:pPr>
        <w:numPr>
          <w:ilvl w:val="0"/>
          <w:numId w:val="1051"/>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1"/>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1"/>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3"/>
    <w:bookmarkEnd w:id="104"/>
    <w:bookmarkStart w:id="108" w:name="Xeb4b392fc60d52e0e62d52a00eabaa492eaa9e0"/>
    <w:p>
      <w:pPr>
        <w:pStyle w:val="Heading2"/>
      </w:pPr>
      <w:r>
        <w:t xml:space="preserve">6.23 Operator Precedence and Associativity [JCW]</w:t>
      </w:r>
    </w:p>
    <w:bookmarkStart w:id="10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6"/>
    <w:bookmarkStart w:id="107"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ISO/IEC 24772-1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107"/>
    <w:bookmarkEnd w:id="108"/>
    <w:bookmarkStart w:id="111" w:name="X187ad205340e16f022c4e8cacaf0507e2964127"/>
    <w:p>
      <w:pPr>
        <w:pStyle w:val="Heading2"/>
      </w:pPr>
      <w:r>
        <w:t xml:space="preserve">6.24 Side-effects and Order of Evaluation of Operands [SAM]</w:t>
      </w:r>
    </w:p>
    <w:bookmarkStart w:id="10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9"/>
    <w:bookmarkStart w:id="110"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5"/>
        </w:numPr>
      </w:pPr>
      <w:r>
        <w:t xml:space="preserve">Use the avoidance mechanisms of ISO/IEC 24772-1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10"/>
    <w:bookmarkEnd w:id="111"/>
    <w:bookmarkStart w:id="116" w:name="KOA"/>
    <w:p>
      <w:pPr>
        <w:pStyle w:val="Heading2"/>
      </w:pPr>
      <w:r>
        <w:t xml:space="preserve">6.25 Likely Incorrect Expression [KOA]</w:t>
      </w:r>
    </w:p>
    <w:bookmarkStart w:id="11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2"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2"/>
    <w:bookmarkStart w:id="113" w:name="the-most-vexing-parse"/>
    <w:p>
      <w:pPr>
        <w:pStyle w:val="Heading4"/>
      </w:pPr>
      <w:r>
        <w:t xml:space="preserve">6.25.1.2 The Most vexing parse</w:t>
      </w:r>
    </w:p>
    <w:p>
      <w:pPr>
        <w:pStyle w:val="FirstParagraph"/>
      </w:pPr>
      <w:r>
        <w:t xml:space="preserve">In C++ if the syntax of a declaration can be interpreted as a function declaration in preference to an object declaration, .</w:t>
      </w:r>
      <w:r>
        <w:t xml:space="preserve"> </w:t>
      </w:r>
      <w:r>
        <w:t xml:space="preserve">In the following example, the intention is to create a scoped lock object, but the compiler interprets it as a function declaration</w:t>
      </w:r>
      <w:r>
        <w:t xml:space="preserve"> </w:t>
      </w:r>
      <w:r>
        <w:rPr>
          <w:rStyle w:val="VerbatimChar"/>
        </w:rPr>
        <w:t xml:space="preserve">lock()</w:t>
      </w:r>
      <w:r>
        <w:t xml:space="preserve">.</w:t>
      </w:r>
      <w:r>
        <w:t xml:space="preserve"> </w:t>
      </w:r>
      <w:r>
        <w:t xml:space="preserve">```{.cpp}</w:t>
      </w:r>
    </w:p>
    <w:p>
      <w:pPr>
        <w:pStyle w:val="BodyText"/>
      </w:pPr>
      <w:r>
        <w:t xml:space="preserve">std::scoped_lock</w:t>
      </w:r>
      <w:r>
        <w:t xml:space="preserve"> </w:t>
      </w:r>
      <w:r>
        <w:t xml:space="preserve">lock();</w:t>
      </w:r>
      <w:r>
        <w:t xml:space="preserve"> </w:t>
      </w:r>
      <w:r>
        <w:t xml:space="preserve">```</w:t>
      </w:r>
    </w:p>
    <w:p>
      <w:pPr>
        <w:pStyle w:val="BodyText"/>
      </w:pPr>
      <w:r>
        <w:t xml:space="preserve">std::vector</w:t>
      </w:r>
      <w:r>
        <w:t xml:space="preserve"> </w:t>
      </w:r>
      <w:r>
        <w:t xml:space="preserve">v1();</w:t>
      </w:r>
    </w:p>
    <w:p>
      <w:pPr>
        <w:pStyle w:val="BodyText"/>
      </w:pPr>
      <w:r>
        <w:t xml:space="preserve">std::vector</w:t>
      </w:r>
      <w:r>
        <w:t xml:space="preserve"> </w:t>
      </w:r>
      <w:r>
        <w:t xml:space="preserve">v2{};</w:t>
      </w:r>
    </w:p>
    <w:bookmarkEnd w:id="113"/>
    <w:bookmarkEnd w:id="114"/>
    <w:bookmarkStart w:id="115"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58"/>
        </w:numPr>
      </w:pPr>
      <w:r>
        <w:t xml:space="preserve">Simplify expressions to aid in code readability and help future maintainers understand the intent and nuances of the code. For example,</w:t>
      </w:r>
    </w:p>
    <w:p>
      <w:pPr>
        <w:numPr>
          <w:ilvl w:val="1"/>
          <w:numId w:val="1059"/>
        </w:numPr>
        <w:pStyle w:val="Compact"/>
      </w:pPr>
      <w:r>
        <w:t xml:space="preserve">by using parentheses around sub-expressions to limit precedence confusion,</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8"/>
        </w:numPr>
      </w:pPr>
      <w:r>
        <w:t xml:space="preserve">Avoid the use of unary plus, since it is almost always a no-op for built-in types.</w:t>
      </w:r>
    </w:p>
    <w:p>
      <w:pPr>
        <w:numPr>
          <w:ilvl w:val="0"/>
          <w:numId w:val="1058"/>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8"/>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8"/>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Prohibit conflicting side-effects in sub-expressions.</w:t>
      </w:r>
    </w:p>
    <w:p>
      <w:pPr>
        <w:numPr>
          <w:ilvl w:val="0"/>
          <w:numId w:val="1058"/>
        </w:numPr>
      </w:pPr>
      <w:r>
        <w:t xml:space="preserve">Avoid defining semantics of overloaded operators to deviate from the semantics of these operators for the built-in types.</w:t>
      </w:r>
    </w:p>
    <w:p>
      <w:pPr>
        <w:numPr>
          <w:ilvl w:val="0"/>
          <w:numId w:val="1058"/>
        </w:numPr>
      </w:pPr>
      <w:r>
        <w:t xml:space="preserve">Prefer defaulted and synthesized comparison operators over individual overloads to ensure that all of the related comparison operators behave consistently.</w:t>
      </w:r>
    </w:p>
    <w:bookmarkEnd w:id="115"/>
    <w:bookmarkEnd w:id="116"/>
    <w:bookmarkStart w:id="119" w:name="XYQ"/>
    <w:p>
      <w:pPr>
        <w:pStyle w:val="Heading2"/>
      </w:pPr>
      <w:r>
        <w:t xml:space="preserve">6.26 Dead and Deactivated Code [XYQ]</w:t>
      </w:r>
    </w:p>
    <w:bookmarkStart w:id="11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7"/>
    <w:bookmarkStart w:id="118"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 6.26.5.</w:t>
      </w:r>
    </w:p>
    <w:p>
      <w:pPr>
        <w:numPr>
          <w:ilvl w:val="0"/>
          <w:numId w:val="1060"/>
        </w:numPr>
      </w:pPr>
      <w:r>
        <w:t xml:space="preserve">Use IDEs or similar tools that visualize the code that gets selected for the executable program.</w:t>
      </w:r>
    </w:p>
    <w:p>
      <w:pPr>
        <w:numPr>
          <w:ilvl w:val="0"/>
          <w:numId w:val="1060"/>
        </w:numPr>
      </w:pPr>
      <w:r>
        <w:t xml:space="preserve">Use modern version control to manage unused code.</w:t>
      </w:r>
    </w:p>
    <w:bookmarkEnd w:id="118"/>
    <w:bookmarkEnd w:id="119"/>
    <w:bookmarkStart w:id="122" w:name="Xc86cceedfcf0c77c094b3df762cc0f756518ffc"/>
    <w:p>
      <w:pPr>
        <w:pStyle w:val="Heading2"/>
      </w:pPr>
      <w:r>
        <w:t xml:space="preserve">6.27 Switch Statements and Static Analysis [CLL]</w:t>
      </w:r>
    </w:p>
    <w:bookmarkStart w:id="12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0"/>
    <w:bookmarkStart w:id="121"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1"/>
        </w:numPr>
      </w:pPr>
      <w:r>
        <w:t xml:space="preserve">Use the avoidance mechanisms of ISO/IEC 24772-1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1"/>
    <w:bookmarkEnd w:id="122"/>
    <w:bookmarkStart w:id="125" w:name="demarcation-of-control-flow-eoj"/>
    <w:p>
      <w:pPr>
        <w:pStyle w:val="Heading2"/>
      </w:pPr>
      <w:r>
        <w:t xml:space="preserve">6.28 Demarcation of Control Flow [EOJ]</w:t>
      </w:r>
    </w:p>
    <w:bookmarkStart w:id="12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3"/>
    <w:bookmarkStart w:id="124"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2"/>
        </w:numPr>
      </w:pPr>
      <w:r>
        <w:t xml:space="preserve">Use the avoidance mechanisms of ISO/IEC 24772-1 clause 6.28.5.</w:t>
      </w:r>
    </w:p>
    <w:p>
      <w:pPr>
        <w:numPr>
          <w:ilvl w:val="0"/>
          <w:numId w:val="1062"/>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2"/>
        </w:numPr>
      </w:pPr>
      <w:r>
        <w:t xml:space="preserve">Declare loop variables in the initializer of the loop statement</w:t>
      </w:r>
    </w:p>
    <w:p>
      <w:pPr>
        <w:numPr>
          <w:ilvl w:val="0"/>
          <w:numId w:val="1062"/>
        </w:numPr>
      </w:pPr>
      <w:r>
        <w:t xml:space="preserve">Prefer the standard library algorithms over hand-crafted loops.</w:t>
      </w:r>
    </w:p>
    <w:p>
      <w:pPr>
        <w:numPr>
          <w:ilvl w:val="0"/>
          <w:numId w:val="1062"/>
        </w:numPr>
      </w:pPr>
      <w:r>
        <w:t xml:space="preserve">Consider the use of source code auto-formatters before code reviews.</w:t>
      </w:r>
    </w:p>
    <w:p>
      <w:pPr>
        <w:pStyle w:val="BlockText"/>
      </w:pPr>
      <w:r>
        <w:t xml:space="preserve">See also the C++ Core Guidelines ES.85, ES.71, ES.74, ES.1 and ES.2</w:t>
      </w:r>
    </w:p>
    <w:bookmarkEnd w:id="124"/>
    <w:bookmarkEnd w:id="125"/>
    <w:bookmarkStart w:id="128" w:name="loop-control-variables-tex"/>
    <w:p>
      <w:pPr>
        <w:pStyle w:val="Heading2"/>
      </w:pPr>
      <w:r>
        <w:t xml:space="preserve">6.29 Loop Control Variables [TEX]</w:t>
      </w:r>
    </w:p>
    <w:bookmarkStart w:id="12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6"/>
    <w:bookmarkStart w:id="127"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6.29.5.</w:t>
      </w:r>
    </w:p>
    <w:p>
      <w:pPr>
        <w:numPr>
          <w:ilvl w:val="0"/>
          <w:numId w:val="1063"/>
        </w:numPr>
      </w:pPr>
      <w:r>
        <w:t xml:space="preserve">Do not modify a loop control variable within a loop.</w:t>
      </w:r>
    </w:p>
    <w:p>
      <w:pPr>
        <w:numPr>
          <w:ilvl w:val="0"/>
          <w:numId w:val="1063"/>
        </w:numPr>
      </w:pPr>
      <w:r>
        <w:t xml:space="preserve">Use a range-for loop in preference to general loops.</w:t>
      </w:r>
    </w:p>
    <w:p>
      <w:pPr>
        <w:numPr>
          <w:ilvl w:val="0"/>
          <w:numId w:val="1063"/>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7"/>
    <w:bookmarkEnd w:id="128"/>
    <w:bookmarkStart w:id="131" w:name="off-by-one-error-xzh"/>
    <w:p>
      <w:pPr>
        <w:pStyle w:val="Heading2"/>
      </w:pPr>
      <w:r>
        <w:t xml:space="preserve">6.30 Off-by-one Error [XZH]</w:t>
      </w:r>
    </w:p>
    <w:bookmarkStart w:id="12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4"/>
        </w:numPr>
      </w:pPr>
      <w:r>
        <w:t xml:space="preserve">Range-based for loops</w:t>
      </w:r>
    </w:p>
    <w:p>
      <w:pPr>
        <w:numPr>
          <w:ilvl w:val="0"/>
          <w:numId w:val="1064"/>
        </w:numPr>
      </w:pPr>
      <w:r>
        <w:rPr>
          <w:rStyle w:val="NormalTok"/>
        </w:rPr>
        <w:t xml:space="preserve">std</w:t>
      </w:r>
      <w:r>
        <w:t xml:space="preserve"> </w:t>
      </w:r>
      <w:r>
        <w:t xml:space="preserve">algorithms</w:t>
      </w:r>
    </w:p>
    <w:p>
      <w:pPr>
        <w:numPr>
          <w:ilvl w:val="0"/>
          <w:numId w:val="1064"/>
        </w:numPr>
      </w:pPr>
      <w:r>
        <w:t xml:space="preserve">Iterator style loops terminated by</w:t>
      </w:r>
      <w:r>
        <w:t xml:space="preserve"> </w:t>
      </w:r>
      <w:r>
        <w:rPr>
          <w:rStyle w:val="NormalTok"/>
        </w:rPr>
        <w:t xml:space="preserve">!=</w:t>
      </w:r>
    </w:p>
    <w:p>
      <w:pPr>
        <w:numPr>
          <w:ilvl w:val="0"/>
          <w:numId w:val="1064"/>
        </w:numPr>
      </w:pPr>
      <w:r>
        <w:t xml:space="preserve">Container classes</w:t>
      </w:r>
    </w:p>
    <w:p>
      <w:pPr>
        <w:numPr>
          <w:ilvl w:val="0"/>
          <w:numId w:val="1064"/>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9"/>
    <w:bookmarkStart w:id="130"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6.30.5.</w:t>
      </w:r>
    </w:p>
    <w:p>
      <w:pPr>
        <w:numPr>
          <w:ilvl w:val="0"/>
          <w:numId w:val="1065"/>
        </w:numPr>
      </w:pPr>
      <w:r>
        <w:t xml:space="preserve">Use careful programming, testing of border conditions, and static</w:t>
      </w:r>
      <w:r>
        <w:t xml:space="preserve"> </w:t>
      </w:r>
      <w:r>
        <w:t xml:space="preserve">analysis tools to detect off-by-one errors in C++.</w:t>
      </w:r>
    </w:p>
    <w:p>
      <w:pPr>
        <w:numPr>
          <w:ilvl w:val="0"/>
          <w:numId w:val="1065"/>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0"/>
    <w:bookmarkEnd w:id="131"/>
    <w:bookmarkStart w:id="134" w:name="structured-programming-ewd"/>
    <w:p>
      <w:pPr>
        <w:pStyle w:val="Heading2"/>
      </w:pPr>
      <w:r>
        <w:t xml:space="preserve">6.31 Structured Programming [EWD]</w:t>
      </w:r>
    </w:p>
    <w:bookmarkStart w:id="13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2"/>
    <w:bookmarkStart w:id="133"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6.31.5.</w:t>
      </w:r>
    </w:p>
    <w:p>
      <w:pPr>
        <w:numPr>
          <w:ilvl w:val="0"/>
          <w:numId w:val="1066"/>
        </w:numPr>
      </w:pPr>
      <w:r>
        <w:t xml:space="preserve">Write clear and concise structured code to make code as</w:t>
      </w:r>
      <w:r>
        <w:t xml:space="preserve"> </w:t>
      </w:r>
      <w:r>
        <w:t xml:space="preserve">understandable as possible.</w:t>
      </w:r>
    </w:p>
    <w:p>
      <w:pPr>
        <w:numPr>
          <w:ilvl w:val="0"/>
          <w:numId w:val="1066"/>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6"/>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3"/>
    <w:bookmarkEnd w:id="134"/>
    <w:bookmarkStart w:id="137" w:name="passing-parameters-and-return-values-csj"/>
    <w:p>
      <w:pPr>
        <w:pStyle w:val="Heading2"/>
      </w:pPr>
      <w:r>
        <w:t xml:space="preserve">6.32 Passing Parameters and Return Values [CSJ]</w:t>
      </w:r>
    </w:p>
    <w:bookmarkStart w:id="135"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7"/>
        </w:numPr>
        <w:pStyle w:val="Compact"/>
      </w:pPr>
      <w:r>
        <w:t xml:space="preserve">without a qualification a member function can be called on rvalues and non-const lvalues, and</w:t>
      </w:r>
    </w:p>
    <w:p>
      <w:pPr>
        <w:numPr>
          <w:ilvl w:val="0"/>
          <w:numId w:val="1067"/>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5"/>
    <w:bookmarkStart w:id="136"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68"/>
        </w:numPr>
      </w:pPr>
      <w:r>
        <w:t xml:space="preserve">Apply the avoidance mechanisms of ISO/IEC 24772-1 6.32.5.</w:t>
      </w:r>
    </w:p>
    <w:p>
      <w:pPr>
        <w:numPr>
          <w:ilvl w:val="0"/>
          <w:numId w:val="1068"/>
        </w:numPr>
      </w:pPr>
      <w:r>
        <w:t xml:space="preserve">Prefer pass-by-value and pass-by-const-reference over other means of</w:t>
      </w:r>
      <w:r>
        <w:t xml:space="preserve"> </w:t>
      </w:r>
      <w:r>
        <w:t xml:space="preserve">parameter declaration.</w:t>
      </w:r>
    </w:p>
    <w:p>
      <w:pPr>
        <w:numPr>
          <w:ilvl w:val="0"/>
          <w:numId w:val="1068"/>
        </w:numPr>
      </w:pPr>
      <w:r>
        <w:t xml:space="preserve">Prefer reference parameters over corresponding pointer parameters.</w:t>
      </w:r>
    </w:p>
    <w:p>
      <w:pPr>
        <w:numPr>
          <w:ilvl w:val="0"/>
          <w:numId w:val="1068"/>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8"/>
        </w:numPr>
      </w:pPr>
      <w:r>
        <w:t xml:space="preserve">Unless the moved-from state is well-defined, always reassign a variable passed by rvalue-reference before subsequent use after the call.</w:t>
      </w:r>
    </w:p>
    <w:p>
      <w:pPr>
        <w:numPr>
          <w:ilvl w:val="0"/>
          <w:numId w:val="1068"/>
        </w:numPr>
      </w:pPr>
      <w:r>
        <w:t xml:space="preserve">Use forwarding reference parameters only,</w:t>
      </w:r>
      <w:r>
        <w:t xml:space="preserve"> </w:t>
      </w:r>
      <w:r>
        <w:t xml:space="preserve">if perfect forwarding is needed in the body of a function template or generic lambda.</w:t>
      </w:r>
    </w:p>
    <w:p>
      <w:pPr>
        <w:numPr>
          <w:ilvl w:val="0"/>
          <w:numId w:val="1068"/>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68"/>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68"/>
        </w:numPr>
      </w:pPr>
      <w:r>
        <w:t xml:space="preserve">Do not use function-like macros. If used, surround all macro parameters in the replacement text with parentheses.</w:t>
      </w:r>
    </w:p>
    <w:bookmarkEnd w:id="136"/>
    <w:bookmarkEnd w:id="137"/>
    <w:bookmarkStart w:id="140" w:name="dangling-references-to-stack-frames-dcm"/>
    <w:p>
      <w:pPr>
        <w:pStyle w:val="Heading2"/>
      </w:pPr>
      <w:r>
        <w:t xml:space="preserve">6.33 Dangling References to Stack Frames [DCM]</w:t>
      </w:r>
    </w:p>
    <w:bookmarkStart w:id="138"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38"/>
    <w:bookmarkStart w:id="139"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69"/>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9"/>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0"/>
        </w:numPr>
        <w:pStyle w:val="Compact"/>
      </w:pPr>
      <w:r>
        <w:t xml:space="preserve">Returning the</w:t>
      </w:r>
      <w:r>
        <w:t xml:space="preserve"> </w:t>
      </w:r>
      <w:r>
        <w:rPr>
          <w:i/>
        </w:rPr>
        <w:t xml:space="preserve">pointer-like</w:t>
      </w:r>
      <w:r>
        <w:t xml:space="preserve"> </w:t>
      </w:r>
      <w:r>
        <w:t xml:space="preserve">value from a function;</w:t>
      </w:r>
    </w:p>
    <w:p>
      <w:pPr>
        <w:numPr>
          <w:ilvl w:val="1"/>
          <w:numId w:val="1070"/>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9"/>
        </w:numPr>
      </w:pPr>
      <w:r>
        <w:t xml:space="preserve">Avoid capturing by reference in a lambda that will be used non-locally, that is</w:t>
      </w:r>
    </w:p>
    <w:p>
      <w:pPr>
        <w:numPr>
          <w:ilvl w:val="1"/>
          <w:numId w:val="1071"/>
        </w:numPr>
        <w:pStyle w:val="Compact"/>
      </w:pPr>
      <w:r>
        <w:t xml:space="preserve">returned,</w:t>
      </w:r>
    </w:p>
    <w:p>
      <w:pPr>
        <w:numPr>
          <w:ilvl w:val="1"/>
          <w:numId w:val="1071"/>
        </w:numPr>
        <w:pStyle w:val="Compact"/>
      </w:pPr>
      <w:r>
        <w:t xml:space="preserve">passed to another thread or coroutine, or</w:t>
      </w:r>
    </w:p>
    <w:p>
      <w:pPr>
        <w:numPr>
          <w:ilvl w:val="1"/>
          <w:numId w:val="1071"/>
        </w:numPr>
        <w:pStyle w:val="Compact"/>
      </w:pPr>
      <w:r>
        <w:t xml:space="preserve">stored in a variable with a longer lifetime than the captured variables.</w:t>
      </w:r>
    </w:p>
    <w:p>
      <w:pPr>
        <w:numPr>
          <w:ilvl w:val="0"/>
          <w:numId w:val="1069"/>
        </w:numPr>
      </w:pPr>
      <w:r>
        <w:t xml:space="preserve">Avoid relying on lifetime extension of temporaries by binding them to named references;</w:t>
      </w:r>
      <w:r>
        <w:t xml:space="preserve"> </w:t>
      </w:r>
      <w:r>
        <w:t xml:space="preserve">use (local) variables instead.</w:t>
      </w:r>
    </w:p>
    <w:p>
      <w:pPr>
        <w:numPr>
          <w:ilvl w:val="0"/>
          <w:numId w:val="1069"/>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9"/>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9"/>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9"/>
        </w:numPr>
      </w:pPr>
      <w:r>
        <w:t xml:space="preserve">Employ static and dynamic analysis tools to detect dangling</w:t>
      </w:r>
      <w:r>
        <w:t xml:space="preserve"> </w:t>
      </w:r>
      <w:r>
        <w:rPr>
          <w:i/>
        </w:rPr>
        <w:t xml:space="preserve">pointer-like</w:t>
      </w:r>
      <w:r>
        <w:t xml:space="preserve"> </w:t>
      </w:r>
      <w:r>
        <w:t xml:space="preserve">objects.</w:t>
      </w:r>
    </w:p>
    <w:bookmarkEnd w:id="139"/>
    <w:bookmarkEnd w:id="140"/>
    <w:bookmarkStart w:id="144" w:name="OTR"/>
    <w:p>
      <w:pPr>
        <w:pStyle w:val="Heading2"/>
      </w:pPr>
      <w:r>
        <w:t xml:space="preserve">6.34 Subprogram Signature Mismatch [OTR]</w:t>
      </w:r>
    </w:p>
    <w:bookmarkStart w:id="142"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2"/>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3"/>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2"/>
    <w:bookmarkStart w:id="143"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4"/>
        </w:numPr>
      </w:pPr>
      <w:r>
        <w:t xml:space="preserve">Use the avoidance mechanisms of ISO/IEC TR 24772-1:2019 clause 6.34.5.</w:t>
      </w:r>
    </w:p>
    <w:p>
      <w:pPr>
        <w:numPr>
          <w:ilvl w:val="0"/>
          <w:numId w:val="1074"/>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4"/>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3"/>
    <w:bookmarkEnd w:id="144"/>
    <w:bookmarkStart w:id="147" w:name="GDL"/>
    <w:p>
      <w:pPr>
        <w:pStyle w:val="Heading2"/>
      </w:pPr>
      <w:r>
        <w:t xml:space="preserve">6.35 Recursion [GDL]</w:t>
      </w:r>
    </w:p>
    <w:bookmarkStart w:id="14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5"/>
    <w:bookmarkStart w:id="146"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6"/>
    <w:bookmarkEnd w:id="147"/>
    <w:bookmarkStart w:id="150" w:name="X7b5801efcad7d4f25e284b0270c97edc564ec06"/>
    <w:p>
      <w:pPr>
        <w:pStyle w:val="Heading2"/>
      </w:pPr>
      <w:r>
        <w:t xml:space="preserve">6.36 Ignored Error Status and Unhandled Exceptions [OYB]</w:t>
      </w:r>
    </w:p>
    <w:bookmarkStart w:id="14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48"/>
    <w:bookmarkStart w:id="149"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5"/>
        </w:numPr>
      </w:pPr>
      <w:r>
        <w:t xml:space="preserve">Follow the avoidance mechanisms of ISO/IEC 24772-1 subclause 6.36.5;</w:t>
      </w:r>
    </w:p>
    <w:p>
      <w:pPr>
        <w:numPr>
          <w:ilvl w:val="0"/>
          <w:numId w:val="1075"/>
        </w:numPr>
      </w:pPr>
      <w:r>
        <w:t xml:space="preserve">Develop an error management strategy, including error-detection, error-reporting, and error-handling,that, based on context, selects the most appropriate mechanism(s) from the different ones provided by C++;</w:t>
      </w:r>
    </w:p>
    <w:p>
      <w:pPr>
        <w:numPr>
          <w:ilvl w:val="0"/>
          <w:numId w:val="1075"/>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5"/>
        </w:numPr>
      </w:pPr>
      <w:r>
        <w:t xml:space="preserve">Prohibit error handling based on unsynchronized global state;</w:t>
      </w:r>
    </w:p>
    <w:p>
      <w:pPr>
        <w:numPr>
          <w:ilvl w:val="0"/>
          <w:numId w:val="1075"/>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5"/>
        </w:numPr>
      </w:pPr>
      <w:r>
        <w:t xml:space="preserve">Use static analysis tools to detect and report missing or ineffective error detection or handling;</w:t>
      </w:r>
    </w:p>
    <w:p>
      <w:pPr>
        <w:numPr>
          <w:ilvl w:val="0"/>
          <w:numId w:val="107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5"/>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5"/>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9"/>
    <w:bookmarkEnd w:id="150"/>
    <w:bookmarkStart w:id="153" w:name="AMV"/>
    <w:p>
      <w:pPr>
        <w:pStyle w:val="Heading2"/>
      </w:pPr>
      <w:r>
        <w:t xml:space="preserve">6.37 Type-breaking Reinterpretation of Data [AMV]</w:t>
      </w:r>
    </w:p>
    <w:bookmarkStart w:id="151"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1"/>
    <w:bookmarkStart w:id="152"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6"/>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6"/>
        </w:numPr>
      </w:pPr>
      <w:r>
        <w:t xml:space="preserve">Prohibit casts that reinterpret data values.</w:t>
      </w:r>
    </w:p>
    <w:p>
      <w:pPr>
        <w:numPr>
          <w:ilvl w:val="0"/>
          <w:numId w:val="1076"/>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6"/>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6"/>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6"/>
        </w:numPr>
      </w:pPr>
      <w:r>
        <w:t xml:space="preserve">Ensure through static analysis that no accidental type-breaking reinterpretation of data values occur.</w:t>
      </w:r>
    </w:p>
    <w:bookmarkEnd w:id="152"/>
    <w:bookmarkEnd w:id="153"/>
    <w:bookmarkStart w:id="156" w:name="deep-vs.-shallow-copying-yan"/>
    <w:p>
      <w:pPr>
        <w:pStyle w:val="Heading2"/>
      </w:pPr>
      <w:r>
        <w:t xml:space="preserve">6.38 Deep vs. Shallow Copying [YAN]</w:t>
      </w:r>
    </w:p>
    <w:bookmarkStart w:id="15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4"/>
    <w:bookmarkStart w:id="155"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77"/>
        </w:numPr>
      </w:pPr>
      <w:r>
        <w:t xml:space="preserve">Follow the avoidance mechanisms of ISO/IEC 24772-1 clause 6.38.5.</w:t>
      </w:r>
    </w:p>
    <w:p>
      <w:pPr>
        <w:numPr>
          <w:ilvl w:val="0"/>
          <w:numId w:val="1077"/>
        </w:numPr>
      </w:pPr>
      <w:r>
        <w:t xml:space="preserve">Use and create value types.</w:t>
      </w:r>
    </w:p>
    <w:p>
      <w:pPr>
        <w:numPr>
          <w:ilvl w:val="0"/>
          <w:numId w:val="1077"/>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78"/>
        </w:numPr>
        <w:pStyle w:val="Compact"/>
      </w:pPr>
      <w:r>
        <w:t xml:space="preserve">when reference semantics is required, e.g., for side effects, or</w:t>
      </w:r>
    </w:p>
    <w:p>
      <w:pPr>
        <w:numPr>
          <w:ilvl w:val="1"/>
          <w:numId w:val="1078"/>
        </w:numPr>
        <w:pStyle w:val="Compact"/>
      </w:pPr>
      <w:r>
        <w:t xml:space="preserve">when copying is prohibitively expensive.</w:t>
      </w:r>
    </w:p>
    <w:p>
      <w:pPr>
        <w:numPr>
          <w:ilvl w:val="0"/>
          <w:numId w:val="1077"/>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77"/>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7"/>
        </w:numPr>
      </w:pPr>
      <w:r>
        <w:t xml:space="preserve">Prefer value parameters to thread functions and coroutines.</w:t>
      </w:r>
    </w:p>
    <w:bookmarkEnd w:id="155"/>
    <w:bookmarkEnd w:id="156"/>
    <w:bookmarkStart w:id="159" w:name="memory-leak-and-heap-fragmentation-xyl"/>
    <w:p>
      <w:pPr>
        <w:pStyle w:val="Heading2"/>
      </w:pPr>
      <w:r>
        <w:t xml:space="preserve">6.39 Memory Leak and Heap Fragmentation [XYL]</w:t>
      </w:r>
    </w:p>
    <w:bookmarkStart w:id="157"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p>
    <w:p>
      <w:pPr>
        <w:pStyle w:val="BodyText"/>
      </w:pPr>
      <w:r>
        <w:t xml:space="preserve">A</w:t>
      </w:r>
      <w:r>
        <w:t xml:space="preserve"> </w:t>
      </w:r>
      <w:r>
        <w:rPr>
          <w:rStyle w:val="BuiltInTok"/>
        </w:rPr>
        <w:t xml:space="preserve">std::</w:t>
      </w:r>
      <w:r>
        <w:rPr>
          <w:rStyle w:val="NormalTok"/>
        </w:rPr>
        <w:t xml:space="preserve">shared_ptr&lt;T&gt;</w:t>
      </w:r>
      <w:r>
        <w:t xml:space="preserve"> </w:t>
      </w:r>
      <w:r>
        <w:t xml:space="preserve">is a reference-counted pointer to type</w:t>
      </w:r>
      <w:r>
        <w:t xml:space="preserve"> </w:t>
      </w:r>
      <w:r>
        <w:rPr>
          <w:rStyle w:val="VerbatimChar"/>
        </w:rPr>
        <w:t xml:space="preserve">T</w:t>
      </w:r>
      <w:r>
        <w:t xml:space="preserve">.</w:t>
      </w:r>
      <w:r>
        <w:t xml:space="preserve"> </w:t>
      </w:r>
      <w:r>
        <w:t xml:space="preserve">Several shared_ptr objects can own the same object.</w:t>
      </w:r>
      <w:r>
        <w:t xml:space="preserve"> </w:t>
      </w:r>
      <w:r>
        <w:t xml:space="preserve">An owned object is destroyed when the last shared_ptr that owns it is destroyed or otherwise released.</w:t>
      </w:r>
      <w:r>
        <w:t xml:space="preserve"> </w:t>
      </w:r>
      <w:r>
        <w:t xml:space="preserve">A memory-leak vulnerability can occur when using shared pointers for data structures such as a doubly-linked list.</w:t>
      </w:r>
      <w:r>
        <w:t xml:space="preserve"> </w:t>
      </w:r>
      <w:r>
        <w:t xml:space="preserve">In such circumstances the reference count can never drop to zero unless addition measures are taken, such as breaking the cycle using a weak pointer.</w:t>
      </w:r>
      <w:r>
        <w:t xml:space="preserve"> </w:t>
      </w:r>
      <w:r>
        <w:t xml:space="preserve">(EXAMPLE HERE?)</w:t>
      </w:r>
    </w:p>
    <w:p>
      <w:pPr>
        <w:pStyle w:val="BodyText"/>
      </w:pPr>
    </w:p>
    <w:p>
      <w:pPr>
        <w:pStyle w:val="BodyText"/>
      </w:pPr>
      <w:r>
        <w:t xml:space="preserve">In a concurrent context, the issues associated with access to data structures through</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weak_ptr</w:t>
      </w:r>
      <w:r>
        <w:t xml:space="preserve"> </w:t>
      </w:r>
      <w:r>
        <w:t xml:space="preserve">are complicated by concurrent access to such structures.</w:t>
      </w:r>
      <w:r>
        <w:t xml:space="preserve"> </w:t>
      </w:r>
      <w:r>
        <w:t xml:space="preserve">If shared pointers are being used in a concurrent context, locking is required in order to manage concurrent access to a single object.</w:t>
      </w:r>
    </w:p>
    <w:p>
      <w:pPr>
        <w:pStyle w:val="BodyText"/>
      </w:pPr>
      <w:r>
        <w:t xml:space="preserve">In a concurrent context,</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weak_ptr</w:t>
      </w:r>
      <w:r>
        <w:t xml:space="preserve">) store a pointer to the owned object and the associated control block.</w:t>
      </w:r>
    </w:p>
    <w:p>
      <w:pPr>
        <w:pStyle w:val="BodyText"/>
      </w:pPr>
      <w:r>
        <w:rPr>
          <w:rStyle w:val="BuiltInTok"/>
        </w:rPr>
        <w:t xml:space="preserve">std::</w:t>
      </w:r>
      <w:r>
        <w:rPr>
          <w:rStyle w:val="NormalTok"/>
        </w:rPr>
        <w:t xml:space="preserve">atomic&lt;</w:t>
      </w:r>
      <w:r>
        <w:rPr>
          <w:rStyle w:val="BuiltInTok"/>
        </w:rPr>
        <w:t xml:space="preserve">std::</w:t>
      </w:r>
      <w:r>
        <w:rPr>
          <w:rStyle w:val="NormalTok"/>
        </w:rPr>
        <w:t xml:space="preserve">shared_ptr&lt;T&gt;&gt;</w:t>
      </w:r>
      <w:r>
        <w:t xml:space="preserve"> </w:t>
      </w:r>
      <w:r>
        <w:t xml:space="preserve">and</w:t>
      </w:r>
      <w:r>
        <w:t xml:space="preserve"> </w:t>
      </w:r>
      <w:r>
        <w:rPr>
          <w:rStyle w:val="BuiltInTok"/>
        </w:rPr>
        <w:t xml:space="preserve">std::</w:t>
      </w:r>
      <w:r>
        <w:rPr>
          <w:rStyle w:val="NormalTok"/>
        </w:rPr>
        <w:t xml:space="preserve">atomic&lt;</w:t>
      </w:r>
      <w:r>
        <w:rPr>
          <w:rStyle w:val="BuiltInTok"/>
        </w:rPr>
        <w:t xml:space="preserve">std::</w:t>
      </w:r>
      <w:r>
        <w:rPr>
          <w:rStyle w:val="NormalTok"/>
        </w:rPr>
        <w:t xml:space="preserve">weak_ptr&lt;T&gt;&gt;</w:t>
      </w:r>
      <w:r>
        <w:t xml:space="preserve"> </w:t>
      </w:r>
      <w:r>
        <w:t xml:space="preserve">so that exclusive access to the pointer can be guaranteed.</w:t>
      </w:r>
    </w:p>
    <w:p>
      <w:pPr>
        <w:pStyle w:val="BodyText"/>
      </w:pP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57"/>
    <w:bookmarkStart w:id="158"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79"/>
        </w:numPr>
      </w:pPr>
      <w:r>
        <w:t xml:space="preserve">Apply the avoidance mechanism of ISO/IEC 24772-1:2024 6.39.5</w:t>
      </w:r>
    </w:p>
    <w:p>
      <w:pPr>
        <w:numPr>
          <w:ilvl w:val="0"/>
          <w:numId w:val="1079"/>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79"/>
        </w:numPr>
      </w:pPr>
      <w:r>
        <w:t xml:space="preserve">Avoid mixing C-based functions and C++ memory management functions.</w:t>
      </w:r>
    </w:p>
    <w:p>
      <w:pPr>
        <w:numPr>
          <w:ilvl w:val="0"/>
          <w:numId w:val="1079"/>
        </w:numPr>
      </w:pPr>
      <w:r>
        <w:t xml:space="preserve">Prefer C++ allocators that are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p>
    <w:p>
      <w:pPr>
        <w:numPr>
          <w:ilvl w:val="0"/>
          <w:numId w:val="1079"/>
        </w:numPr>
      </w:pPr>
      <w:r>
        <w:t xml:space="preserve">Prefer containers standard library containers over other forms of memory management.</w:t>
      </w:r>
    </w:p>
    <w:p>
      <w:pPr>
        <w:numPr>
          <w:ilvl w:val="0"/>
          <w:numId w:val="1079"/>
        </w:numPr>
      </w:pPr>
      <w:r>
        <w:t xml:space="preserve">Use smart pointers and their factory functions to allocate and manage heap memory.</w:t>
      </w:r>
    </w:p>
    <w:p>
      <w:pPr>
        <w:numPr>
          <w:ilvl w:val="0"/>
          <w:numId w:val="1079"/>
        </w:numPr>
      </w:pPr>
      <w:r>
        <w:t xml:space="preserve">For heap fragmentation issues, use special memory resource objects with appropriate allocation strategies.</w:t>
      </w:r>
    </w:p>
    <w:p>
      <w:pPr>
        <w:numPr>
          <w:ilvl w:val="0"/>
          <w:numId w:val="1079"/>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9"/>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9"/>
        </w:numPr>
      </w:pPr>
      <w:r>
        <w:t xml:space="preserve">Use dynamic analysis to detect memory leaks and issues with heap fragmentation.</w:t>
      </w:r>
    </w:p>
    <w:bookmarkEnd w:id="158"/>
    <w:bookmarkEnd w:id="159"/>
    <w:bookmarkStart w:id="162" w:name="SYM"/>
    <w:p>
      <w:pPr>
        <w:pStyle w:val="Heading2"/>
      </w:pPr>
      <w:r>
        <w:t xml:space="preserve">6.40 Templates and Generics [SYM]</w:t>
      </w:r>
    </w:p>
    <w:bookmarkStart w:id="16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0"/>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0"/>
        </w:numPr>
        <w:pStyle w:val="Compact"/>
      </w:pPr>
      <w:r>
        <w:t xml:space="preserve">They have no runtime overhead;</w:t>
      </w:r>
    </w:p>
    <w:p>
      <w:pPr>
        <w:numPr>
          <w:ilvl w:val="0"/>
          <w:numId w:val="1080"/>
        </w:numPr>
        <w:pStyle w:val="Compact"/>
      </w:pPr>
      <w:r>
        <w:t xml:space="preserve">They do not have any implicit run-time memory usage; and</w:t>
      </w:r>
    </w:p>
    <w:p>
      <w:pPr>
        <w:numPr>
          <w:ilvl w:val="0"/>
          <w:numId w:val="1080"/>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0"/>
    <w:bookmarkStart w:id="161"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subclause 6.40.5. and the guidance provided in the different related sections of this document.</w:t>
      </w:r>
    </w:p>
    <w:p>
      <w:pPr>
        <w:numPr>
          <w:ilvl w:val="0"/>
          <w:numId w:val="1081"/>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1"/>
        </w:numPr>
      </w:pPr>
      <w:r>
        <w:t xml:space="preserve">Consider using</w:t>
      </w:r>
      <w:r>
        <w:t xml:space="preserve"> </w:t>
      </w:r>
      <w:r>
        <w:rPr>
          <w:i/>
        </w:rPr>
        <w:t xml:space="preserve">concepts</w:t>
      </w:r>
      <w:r>
        <w:t xml:space="preserve"> </w:t>
      </w:r>
      <w:r>
        <w:t xml:space="preserve">to constrain template parameters.</w:t>
      </w:r>
    </w:p>
    <w:p>
      <w:pPr>
        <w:numPr>
          <w:ilvl w:val="0"/>
          <w:numId w:val="1081"/>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 mix-in class templates.</w:t>
      </w:r>
    </w:p>
    <w:p>
      <w:pPr>
        <w:numPr>
          <w:ilvl w:val="0"/>
          <w:numId w:val="1081"/>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1"/>
        </w:numPr>
      </w:pPr>
      <w:r>
        <w:t xml:space="preserve">For template specialization, ensure that specializations are declared as follows:</w:t>
      </w:r>
    </w:p>
    <w:p>
      <w:pPr>
        <w:numPr>
          <w:ilvl w:val="1"/>
          <w:numId w:val="1082"/>
        </w:numPr>
      </w:pPr>
      <w:r>
        <w:t xml:space="preserve">In the same file as the primary template; or</w:t>
      </w:r>
    </w:p>
    <w:p>
      <w:pPr>
        <w:numPr>
          <w:ilvl w:val="1"/>
          <w:numId w:val="1082"/>
        </w:numPr>
      </w:pPr>
      <w:r>
        <w:t xml:space="preserve">In the same file as the user-defined type for which the</w:t>
      </w:r>
      <w:r>
        <w:t xml:space="preserve"> </w:t>
      </w:r>
      <w:r>
        <w:t xml:space="preserve">specialization is declared.</w:t>
      </w:r>
    </w:p>
    <w:p>
      <w:pPr>
        <w:numPr>
          <w:ilvl w:val="0"/>
          <w:numId w:val="1081"/>
        </w:numPr>
      </w:pPr>
      <w:r>
        <w:t xml:space="preserve">Prohibit specializing function templates.</w:t>
      </w:r>
    </w:p>
    <w:bookmarkEnd w:id="161"/>
    <w:bookmarkEnd w:id="162"/>
    <w:bookmarkStart w:id="163" w:name="RIP"/>
    <w:p>
      <w:pPr>
        <w:pStyle w:val="Heading2"/>
      </w:pPr>
      <w:r>
        <w:t xml:space="preserve">6.41 Inheritance [RIP]</w:t>
      </w:r>
    </w:p>
    <w:bookmarkEnd w:id="163"/>
    <w:bookmarkStart w:id="164" w:name="applicability-to-language"/>
    <w:p>
      <w:pPr>
        <w:pStyle w:val="Heading2"/>
      </w:pPr>
      <w:r>
        <w:t xml:space="preserve">6.41.1 Applicability to language</w:t>
      </w:r>
    </w:p>
    <w:p>
      <w:pPr>
        <w:pStyle w:val="FirstParagraph"/>
      </w:pPr>
      <w:r>
        <w:t xml:space="preserve">The vulnerability as described in ISO/IEC 24772-1:2024 6.41 is</w:t>
      </w:r>
      <w:r>
        <w:t xml:space="preserve"> </w:t>
      </w:r>
      <w:r>
        <w:t xml:space="preserve">applicable to C++.</w:t>
      </w:r>
    </w:p>
    <w:p>
      <w:pPr>
        <w:pStyle w:val="BodyText"/>
      </w:pPr>
      <w:r>
        <w:t xml:space="preserve">In C++, inheritance is defined differently than in most other languages that support inheritance, e.g.:</w:t>
      </w:r>
      <w:r>
        <w:t xml:space="preserve"> </w:t>
      </w:r>
      <w:r>
        <w:t xml:space="preserve">- There is no implicit common base class.</w:t>
      </w:r>
      <w:r>
        <w:t xml:space="preserve"> </w:t>
      </w:r>
      <w:r>
        <w:t xml:space="preserve">- Defining a member with a name that is defined in a base class causes hiding the base class member in the derived class including all overloads with that name. (Full qualification via the base class name is required to access these hidden members.)</w:t>
      </w:r>
      <w:r>
        <w:t xml:space="preserve"> </w:t>
      </w:r>
      <w:r>
        <w:t xml:space="preserve">- Dynamic polymorphism requires the use of references or pointers.</w:t>
      </w:r>
      <w:r>
        <w:t xml:space="preserve"> </w:t>
      </w:r>
      <w:r>
        <w:t xml:space="preserve">- Private virtual member functions can be overridden in derived classes.</w:t>
      </w:r>
    </w:p>
    <w:p>
      <w:pPr>
        <w:pStyle w:val="BodyText"/>
      </w:pPr>
      <w:r>
        <w:t xml:space="preserve">A vulnerability similar to namespace issues (see [BJL]) can arise if a new</w:t>
      </w:r>
      <w:r>
        <w:t xml:space="preserve"> </w:t>
      </w:r>
      <w:r>
        <w:rPr>
          <w:i/>
        </w:rPr>
        <w:t xml:space="preserve">final overrider</w:t>
      </w:r>
      <w:r>
        <w:t xml:space="preserve"> </w:t>
      </w:r>
      <w:r>
        <w:t xml:space="preserve">is defined in one of multiple parents, which can result in a silent change to the semantics of an existing program, as shown in the following example.</w:t>
      </w:r>
    </w:p>
    <w:p>
      <w:pPr>
        <w:pStyle w:val="SourceCode"/>
      </w:pPr>
      <w:r>
        <w:rPr>
          <w:rStyle w:val="KeywordTok"/>
        </w:rPr>
        <w:t xml:space="preserve">struct</w:t>
      </w:r>
      <w:r>
        <w:rPr>
          <w:rStyle w:val="NormalTok"/>
        </w:rPr>
        <w:t xml:space="preserve"> A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foo ();</w:t>
      </w:r>
      <w:r>
        <w:br/>
      </w:r>
      <w:r>
        <w:rPr>
          <w:rStyle w:val="NormalTok"/>
        </w:rPr>
        <w:t xml:space="preserve">};</w:t>
      </w:r>
      <w:r>
        <w:br/>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br/>
      </w:r>
      <w:r>
        <w:br/>
      </w:r>
      <w:r>
        <w:rPr>
          <w:rStyle w:val="KeywordTok"/>
        </w:rPr>
        <w:t xml:space="preserve">struct</w:t>
      </w:r>
      <w:r>
        <w:rPr>
          <w:rStyle w:val="NormalTok"/>
        </w:rPr>
        <w:t xml:space="preserve"> C : </w:t>
      </w:r>
      <w:r>
        <w:rPr>
          <w:rStyle w:val="KeywordTok"/>
        </w:rPr>
        <w:t xml:space="preserve">virtual</w:t>
      </w:r>
      <w:r>
        <w:rPr>
          <w:rStyle w:val="NormalTok"/>
        </w:rPr>
        <w:t xml:space="preserve"> A {</w:t>
      </w:r>
      <w:r>
        <w:br/>
      </w:r>
      <w:r>
        <w:rPr>
          <w:rStyle w:val="NormalTok"/>
        </w:rPr>
        <w:t xml:space="preserve">    </w:t>
      </w:r>
      <w:r>
        <w:rPr>
          <w:rStyle w:val="DataTypeTok"/>
        </w:rPr>
        <w:t xml:space="preserve">void</w:t>
      </w:r>
      <w:r>
        <w:rPr>
          <w:rStyle w:val="NormalTok"/>
        </w:rPr>
        <w:t xml:space="preserve"> foo () </w:t>
      </w:r>
      <w:r>
        <w:rPr>
          <w:rStyle w:val="KeywordTok"/>
        </w:rPr>
        <w:t xml:space="preserve">override</w:t>
      </w:r>
      <w:r>
        <w:rPr>
          <w:rStyle w:val="NormalTok"/>
        </w:rPr>
        <w:t xml:space="preserve">; </w:t>
      </w:r>
      <w:r>
        <w:rPr>
          <w:rStyle w:val="CommentTok"/>
        </w:rPr>
        <w:t xml:space="preserve">// late addition</w:t>
      </w:r>
      <w:r>
        <w:br/>
      </w:r>
      <w:r>
        <w:rPr>
          <w:rStyle w:val="NormalTok"/>
        </w:rPr>
        <w:t xml:space="preserve">};</w:t>
      </w:r>
      <w:r>
        <w:br/>
      </w:r>
      <w:r>
        <w:br/>
      </w:r>
      <w:r>
        <w:rPr>
          <w:rStyle w:val="KeywordTok"/>
        </w:rPr>
        <w:t xml:space="preserve">struct</w:t>
      </w:r>
      <w:r>
        <w:rPr>
          <w:rStyle w:val="NormalTok"/>
        </w:rPr>
        <w:t xml:space="preserve"> D : B, C </w:t>
      </w:r>
      <w:r>
        <w:br/>
      </w:r>
      <w:r>
        <w:rPr>
          <w:rStyle w:val="NormalTok"/>
        </w:rPr>
        <w:t xml:space="preserve">{</w:t>
      </w:r>
      <w:r>
        <w:br/>
      </w:r>
      <w:r>
        <w:rPr>
          <w:rStyle w:val="NormalTok"/>
        </w:rPr>
        <w:t xml:space="preserve">    </w:t>
      </w:r>
      <w:r>
        <w:rPr>
          <w:rStyle w:val="DataTypeTok"/>
        </w:rPr>
        <w:t xml:space="preserve">void</w:t>
      </w:r>
      <w:r>
        <w:rPr>
          <w:rStyle w:val="NormalTok"/>
        </w:rPr>
        <w:t xml:space="preserve"> bar () {</w:t>
      </w:r>
      <w:r>
        <w:br/>
      </w:r>
      <w:r>
        <w:rPr>
          <w:rStyle w:val="NormalTok"/>
        </w:rPr>
        <w:t xml:space="preserve">        foo ();  </w:t>
      </w:r>
      <w:r>
        <w:rPr>
          <w:rStyle w:val="CommentTok"/>
        </w:rPr>
        <w:t xml:space="preserve">// calls the late addition</w:t>
      </w:r>
      <w:r>
        <w:br/>
      </w:r>
      <w:r>
        <w:rPr>
          <w:rStyle w:val="NormalTok"/>
        </w:rPr>
        <w:t xml:space="preserve">    }</w:t>
      </w:r>
      <w:r>
        <w:br/>
      </w:r>
      <w:r>
        <w:rPr>
          <w:rStyle w:val="NormalTok"/>
        </w:rPr>
        <w:t xml:space="preserve">};</w:t>
      </w:r>
    </w:p>
    <w:p>
      <w:pPr>
        <w:pStyle w:val="FirstParagraph"/>
      </w:pPr>
      <w:r>
        <w:t xml:space="preserve">The implementation of virtual member functions does not take access into account.</w:t>
      </w:r>
      <w:r>
        <w:t xml:space="preserve"> </w:t>
      </w:r>
      <w:r>
        <w:t xml:space="preserve">This can lead to a potentially surprising situation where a virtual function overrides an otherwise inaccessible base class function.</w:t>
      </w:r>
      <w:r>
        <w:t xml:space="preserve"> </w:t>
      </w:r>
      <w:r>
        <w:t xml:space="preserve">This is quite different than the situation for non-virtual private member functions, which cannot be accessed from outside the declaring class or any</w:t>
      </w:r>
      <w:r>
        <w:t xml:space="preserve"> </w:t>
      </w:r>
      <w:r>
        <w:rPr>
          <w:rStyle w:val="KeywordTok"/>
        </w:rPr>
        <w:t xml:space="preserve">friend</w:t>
      </w:r>
      <w:r>
        <w:t xml:space="preserve">s.</w:t>
      </w:r>
    </w:p>
    <w:p>
      <w:pPr>
        <w:pStyle w:val="BodyText"/>
      </w:pPr>
      <w:r>
        <w:t xml:space="preserve">Inheriting from a non-polymorphic base class can be used to implement</w:t>
      </w:r>
      <w:r>
        <w:t xml:space="preserve"> </w:t>
      </w:r>
      <w:r>
        <w:rPr>
          <w:i/>
        </w:rPr>
        <w:t xml:space="preserve">adaptor</w:t>
      </w:r>
      <w:r>
        <w:t xml:space="preserve"> </w:t>
      </w:r>
      <w:r>
        <w:t xml:space="preserve">types, i.e., by limiting or extending the base’s functionality.</w:t>
      </w:r>
      <w:r>
        <w:t xml:space="preserve"> </w:t>
      </w:r>
      <w:r>
        <w:t xml:space="preserve">Using private inheritance can prevent treating the derived type object as a base type object.</w:t>
      </w:r>
      <w:r>
        <w:t xml:space="preserve"> </w:t>
      </w:r>
      <w:r>
        <w:t xml:space="preserve">Multiple inheritance adds an additional dimension since a class can inherit the same base class</w:t>
      </w:r>
      <w:r>
        <w:t xml:space="preserve"> </w:t>
      </w:r>
      <w:r>
        <w:rPr>
          <w:rStyle w:val="VerbatimChar"/>
        </w:rPr>
        <w:t xml:space="preserve">A</w:t>
      </w:r>
      <w:r>
        <w:t xml:space="preserve"> </w:t>
      </w:r>
      <w:r>
        <w:t xml:space="preserve">indirectly via different direct base classes and can result in multiple base class sub-objects of type</w:t>
      </w:r>
      <w:r>
        <w:t xml:space="preserve"> </w:t>
      </w:r>
      <w:r>
        <w:rPr>
          <w:rStyle w:val="NormalTok"/>
        </w:rPr>
        <w:t xml:space="preserve">A</w:t>
      </w:r>
      <w:r>
        <w:t xml:space="preserve">, which can result in ambiguous code.</w:t>
      </w:r>
    </w:p>
    <w:p>
      <w:pPr>
        <w:pStyle w:val="BodyText"/>
      </w:pPr>
      <w:r>
        <w:t xml:space="preserve">If all classes in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base class sub-object of type</w:t>
      </w:r>
      <w:r>
        <w:t xml:space="preserve"> </w:t>
      </w:r>
      <w:r>
        <w:rPr>
          <w:rStyle w:val="VerbatimChar"/>
        </w:rPr>
        <w:t xml:space="preserve">A</w:t>
      </w:r>
      <w:r>
        <w:t xml:space="preserve"> </w:t>
      </w:r>
      <w:r>
        <w:t xml:space="preserve">in the most derived object.</w:t>
      </w:r>
      <w:r>
        <w:t xml:space="preserve"> </w:t>
      </w:r>
      <w:r>
        <w:t xml:space="preserve">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is confusing, because multiple base objects of type</w:t>
      </w:r>
      <w:r>
        <w:t xml:space="preserve"> </w:t>
      </w:r>
      <w:r>
        <w:rPr>
          <w:rStyle w:val="VerbatimChar"/>
        </w:rPr>
        <w:t xml:space="preserve">A</w:t>
      </w:r>
      <w:r>
        <w:t xml:space="preserve"> </w:t>
      </w:r>
      <w:r>
        <w:t xml:space="preserve">exist.</w:t>
      </w:r>
      <w:r>
        <w:t xml:space="preserve"> </w:t>
      </w:r>
      <w:r>
        <w:t xml:space="preserve">Even when an ambiguity does not currently exist, refering to a base class member using its qualified name reduces the chance that a future modification silently changes the program’s behaviour through accessing a different member with the same name.</w:t>
      </w:r>
    </w:p>
    <w:p>
      <w:pPr>
        <w:pStyle w:val="BodyText"/>
      </w:pPr>
      <w:r>
        <w:t xml:space="preserve">In C++, a name declared in a virtual base and inherited multiple times but hidden on any virtual path is considered to be hidden on all virtual paths.</w:t>
      </w:r>
      <w:r>
        <w:t xml:space="preserve"> </w:t>
      </w:r>
      <w:r>
        <w:t xml:space="preserve">Consequently, a hiding declaration introduced later will silently alter the semantics of code refering to this name.</w:t>
      </w:r>
      <w:r>
        <w:t xml:space="preserve"> </w:t>
      </w:r>
      <w:r>
        <w:t xml:space="preserve">The vulnerability does not arise if a multiply-inherited name is found on at least one non-virtual inheritance path, since the use of the name is diagnosed as ambiguous.</w:t>
      </w:r>
    </w:p>
    <w:p>
      <w:pPr>
        <w:pStyle w:val="BodyText"/>
      </w:pPr>
      <w:r>
        <w:t xml:space="preserve">C++ favours value-semantics for copy and move operations as well as destruction that conflicts with object-oriented polymorphic behaviour.</w:t>
      </w:r>
    </w:p>
    <w:p>
      <w:pPr>
        <w:numPr>
          <w:ilvl w:val="0"/>
          <w:numId w:val="1083"/>
        </w:numPr>
      </w:pPr>
      <w:r>
        <w:rPr>
          <w:b/>
        </w:rPr>
        <w:t xml:space="preserve">Virtual Destructor</w:t>
      </w:r>
      <w:r>
        <w:t xml:space="preserve">: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3"/>
        </w:numPr>
      </w:pPr>
      <w:r>
        <w:rPr>
          <w:b/>
        </w:rPr>
        <w:t xml:space="preserve">Slicing</w:t>
      </w:r>
      <w:r>
        <w:t xml:space="preserve">: A common failure is to not eliminate implicitly callable copy and move operations in base classes that can lead to accidental copying of a base class sub-object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w:t>
      </w:r>
      <w:r>
        <w:t xml:space="preserve"> </w:t>
      </w:r>
      <w:r>
        <w:t xml:space="preserve">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w:t>
      </w:r>
      <w:r>
        <w:t xml:space="preserve"> </w:t>
      </w:r>
      <w:r>
        <w:t xml:space="preserve">“</w:t>
      </w:r>
      <w:r>
        <w:t xml:space="preserve">using-declaration</w:t>
      </w:r>
      <w:r>
        <w:t xml:space="preserve">”</w:t>
      </w:r>
      <w:r>
        <w:t xml:space="preserve"> </w:t>
      </w:r>
      <w:r>
        <w:t xml:space="preserve">refers to a constructor of a direct base class, all constructors of that base are candidates for the initialization of the derived class.</w:t>
      </w:r>
      <w:r>
        <w:t xml:space="preserve"> </w:t>
      </w:r>
      <w:r>
        <w:t xml:space="preserve">If a base class constructor is selected to initialize the derived type, any other bases or members of the derived type will be initialized as if by an</w:t>
      </w:r>
      <w:r>
        <w:t xml:space="preserve"> </w:t>
      </w:r>
      <w:r>
        <w:rPr>
          <w:rStyle w:val="VerbatimChar"/>
        </w:rPr>
        <w:t xml:space="preserve">= default</w:t>
      </w:r>
      <w:r>
        <w:t xml:space="preserve"> </w:t>
      </w:r>
      <w:r>
        <w:t xml:space="preserve">default constructor.</w:t>
      </w:r>
      <w:r>
        <w:t xml:space="preserve"> </w:t>
      </w:r>
      <w:r>
        <w:t xml:space="preserve">This can leave some members uninitialzed, that can result in undefined behaviour.</w:t>
      </w:r>
    </w:p>
    <w:p>
      <w:pPr>
        <w:pStyle w:val="BodyText"/>
      </w:pPr>
      <w:r>
        <w:t xml:space="preserve">If a using-declaration refers to a protected member of a base class, its accessibility can be changed, which destroys the encapsulation of the member.</w:t>
      </w:r>
    </w:p>
    <w:p>
      <w:pPr>
        <w:pStyle w:val="BodyText"/>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those operations.</w:t>
      </w:r>
      <w:r>
        <w:t xml:space="preserve"> </w:t>
      </w:r>
      <w:r>
        <w:t xml:space="preserve">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can result in undefined behaviour.</w:t>
      </w:r>
    </w:p>
    <w:p>
      <w:pPr>
        <w:pStyle w:val="BodyText"/>
      </w:pPr>
      <w:r>
        <w:t xml:space="preserve">The mechanisms of failure from ISO/IEC 24772-1:2024 clause 6.41 can be mitigated in C++ as follows:</w:t>
      </w:r>
    </w:p>
    <w:p>
      <w:pPr>
        <w:numPr>
          <w:ilvl w:val="0"/>
          <w:numId w:val="1084"/>
        </w:numPr>
      </w:pPr>
      <w:r>
        <w:rPr>
          <w:i/>
        </w:rPr>
        <w:t xml:space="preserve">Execution of malicious redefinitions</w:t>
      </w:r>
      <w:r>
        <w:t xml:space="preserve"> </w:t>
      </w:r>
      <w:r>
        <w:t xml:space="preserve">can be prevented by use of</w:t>
      </w:r>
      <w:r>
        <w:t xml:space="preserve"> </w:t>
      </w:r>
      <w:r>
        <w:rPr>
          <w:rStyle w:val="KeywordTok"/>
        </w:rPr>
        <w:t xml:space="preserve">final</w:t>
      </w:r>
      <w:r>
        <w:t xml:space="preserve"> </w:t>
      </w:r>
      <w:r>
        <w:t xml:space="preserve">on each member function to generate compiler diagnostics 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VerbatimChar"/>
        </w:rPr>
        <w:t xml:space="preserve">override</w:t>
      </w:r>
      <w:r>
        <w:t xml:space="preserve"> </w:t>
      </w:r>
      <w:r>
        <w:t xml:space="preserve">on each member function intended to be redefined to 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 the default constructor and by defining data members private to ensure that the functions with the appropriate functionality are called and thus class invariants are preserved.</w:t>
      </w:r>
      <w:r>
        <w:t xml:space="preserve"> </w:t>
      </w:r>
      <w:r>
        <w:t xml:space="preserve">If copy and move operations are user-defined in a derived class they must ensure to call the corresponding base class operations.</w:t>
      </w:r>
    </w:p>
    <w:bookmarkEnd w:id="164"/>
    <w:bookmarkStart w:id="165"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85"/>
        </w:numPr>
        <w:pStyle w:val="Compact"/>
      </w:pPr>
      <w:r>
        <w:t xml:space="preserve">Apply the avoidance mechanisms of ISO/IEC 24772-1 clause 41.5.</w:t>
      </w:r>
    </w:p>
    <w:p>
      <w:pPr>
        <w:numPr>
          <w:ilvl w:val="0"/>
          <w:numId w:val="1085"/>
        </w:numPr>
        <w:pStyle w:val="Compact"/>
      </w:pPr>
      <w:r>
        <w:t xml:space="preserve">Avoid multiple inheritance.</w:t>
      </w:r>
    </w:p>
    <w:p>
      <w:pPr>
        <w:numPr>
          <w:ilvl w:val="0"/>
          <w:numId w:val="1085"/>
        </w:numPr>
        <w:pStyle w:val="Compact"/>
      </w:pPr>
      <w:r>
        <w:t xml:space="preserve">Ensure that shallow-copying or shallow-move of inheritance hierarchies cannot occur, e.g. by defining the appropriate member operation</w:t>
      </w:r>
      <w:r>
        <w:t xml:space="preserve"> </w:t>
      </w:r>
      <w:r>
        <w:rPr>
          <w:rStyle w:val="NormalTok"/>
        </w:rPr>
        <w:t xml:space="preserve">=</w:t>
      </w:r>
      <w:r>
        <w:rPr>
          <w:rStyle w:val="KeywordTok"/>
        </w:rPr>
        <w:t xml:space="preserve">delete</w:t>
      </w:r>
      <w:r>
        <w:t xml:space="preserve"> </w:t>
      </w:r>
      <w:r>
        <w:t xml:space="preserve">(see clause 6.38 Deep vs. Shallow Copying [YAN]).</w:t>
      </w:r>
    </w:p>
    <w:p>
      <w:pPr>
        <w:numPr>
          <w:ilvl w:val="0"/>
          <w:numId w:val="1085"/>
        </w:numPr>
        <w:pStyle w:val="Compact"/>
      </w:pPr>
      <w:r>
        <w:t xml:space="preserve">If the implementation of copy-operations or move-operations in a derived class is mandatory, then statically ensure that all calls are to the corresponding base classes’ operations.</w:t>
      </w:r>
    </w:p>
    <w:p>
      <w:pPr>
        <w:numPr>
          <w:ilvl w:val="0"/>
          <w:numId w:val="1085"/>
        </w:numPr>
        <w:pStyle w:val="Compact"/>
      </w:pPr>
      <w:r>
        <w:t xml:space="preserve">Prefer composition over inheritance.</w:t>
      </w:r>
    </w:p>
    <w:p>
      <w:pPr>
        <w:numPr>
          <w:ilvl w:val="0"/>
          <w:numId w:val="1085"/>
        </w:numPr>
        <w:pStyle w:val="Compact"/>
      </w:pPr>
      <w:r>
        <w:t xml:space="preserve">Keep inheritance hierarchies shallow.</w:t>
      </w:r>
    </w:p>
    <w:p>
      <w:pPr>
        <w:numPr>
          <w:ilvl w:val="0"/>
          <w:numId w:val="1085"/>
        </w:numPr>
        <w:pStyle w:val="Compact"/>
      </w:pPr>
      <w:r>
        <w:t xml:space="preserve">Avoid the use of virtual member functions unless unbounded run-time polymorphism can be justified.</w:t>
      </w:r>
    </w:p>
    <w:p>
      <w:pPr>
        <w:numPr>
          <w:ilvl w:val="0"/>
          <w:numId w:val="1085"/>
        </w:numPr>
        <w:pStyle w:val="Compact"/>
      </w:pPr>
      <w:r>
        <w:t xml:space="preserve">If a class has any virtual functions, ensure it has a virtual destructor.</w:t>
      </w:r>
    </w:p>
    <w:p>
      <w:pPr>
        <w:numPr>
          <w:ilvl w:val="0"/>
          <w:numId w:val="1085"/>
        </w:numPr>
        <w:pStyle w:val="Compact"/>
      </w:pPr>
      <w:r>
        <w:t xml:space="preserve">Use the special identifier</w:t>
      </w:r>
      <w:r>
        <w:t xml:space="preserve"> </w:t>
      </w:r>
      <w:r>
        <w:rPr>
          <w:rStyle w:val="KeywordTok"/>
        </w:rPr>
        <w:t xml:space="preserve">override</w:t>
      </w:r>
      <w:r>
        <w:t xml:space="preserve"> </w:t>
      </w:r>
      <w:r>
        <w:t xml:space="preserve">whenever overriding a virtual member function.</w:t>
      </w:r>
    </w:p>
    <w:p>
      <w:pPr>
        <w:numPr>
          <w:ilvl w:val="0"/>
          <w:numId w:val="1085"/>
        </w:numPr>
        <w:pStyle w:val="Compact"/>
      </w:pPr>
      <w:r>
        <w:t xml:space="preserve">Use the special identifier</w:t>
      </w:r>
      <w:r>
        <w:t xml:space="preserve"> </w:t>
      </w:r>
      <w:r>
        <w:rPr>
          <w:rStyle w:val="KeywordTok"/>
        </w:rPr>
        <w:t xml:space="preserve">final</w:t>
      </w:r>
      <w:r>
        <w:t xml:space="preserve"> </w:t>
      </w:r>
      <w:r>
        <w:t xml:space="preserve">to prevent an unexpected overriding of that function deeper in the hierarchy.</w:t>
      </w:r>
    </w:p>
    <w:p>
      <w:pPr>
        <w:numPr>
          <w:ilvl w:val="0"/>
          <w:numId w:val="1085"/>
        </w:numPr>
        <w:pStyle w:val="Compact"/>
      </w:pPr>
      <w:r>
        <w:t xml:space="preserve">Require the use of</w:t>
      </w:r>
      <w:r>
        <w:t xml:space="preserve"> </w:t>
      </w:r>
      <w:r>
        <w:rPr>
          <w:rStyle w:val="KeywordTok"/>
        </w:rPr>
        <w:t xml:space="preserve">final</w:t>
      </w:r>
      <w:r>
        <w:t xml:space="preserve"> </w:t>
      </w:r>
      <w:r>
        <w:t xml:space="preserve">or</w:t>
      </w:r>
      <w:r>
        <w:t xml:space="preserve"> </w:t>
      </w:r>
      <w:r>
        <w:rPr>
          <w:rStyle w:val="KeywordTok"/>
        </w:rPr>
        <w:t xml:space="preserve">override</w:t>
      </w:r>
      <w:r>
        <w:t xml:space="preserve"> </w:t>
      </w:r>
      <w:r>
        <w:t xml:space="preserve">when overriding a member function.</w:t>
      </w:r>
    </w:p>
    <w:p>
      <w:pPr>
        <w:numPr>
          <w:ilvl w:val="0"/>
          <w:numId w:val="1085"/>
        </w:numPr>
        <w:pStyle w:val="Compact"/>
      </w:pPr>
      <w:r>
        <w:t xml:space="preserve">Do not assume that a private virtual function cannot be overridden.</w:t>
      </w:r>
    </w:p>
    <w:p>
      <w:pPr>
        <w:numPr>
          <w:ilvl w:val="0"/>
          <w:numId w:val="1085"/>
        </w:numPr>
        <w:pStyle w:val="Compact"/>
      </w:pPr>
      <w:r>
        <w:t xml:space="preserve">Consider using fully-qualified names to address members of a base class.</w:t>
      </w:r>
    </w:p>
    <w:p>
      <w:pPr>
        <w:numPr>
          <w:ilvl w:val="0"/>
          <w:numId w:val="1085"/>
        </w:numPr>
        <w:pStyle w:val="Compact"/>
      </w:pPr>
      <w:r>
        <w:t xml:space="preserve">When defining an overload that hides overloads in a base class, consider adding a</w:t>
      </w:r>
      <w:r>
        <w:t xml:space="preserve"> </w:t>
      </w:r>
      <w:r>
        <w:rPr>
          <w:i/>
        </w:rPr>
        <w:t xml:space="preserve">using declaration</w:t>
      </w:r>
      <w:r>
        <w:t xml:space="preserve"> </w:t>
      </w:r>
      <w:r>
        <w:t xml:space="preserve">for the name from the base class.</w:t>
      </w:r>
    </w:p>
    <w:p>
      <w:pPr>
        <w:numPr>
          <w:ilvl w:val="0"/>
          <w:numId w:val="1085"/>
        </w:numPr>
        <w:pStyle w:val="Compact"/>
      </w:pPr>
      <w:r>
        <w:t xml:space="preserve">Avoid the use of using-declarations that refer to constructors in types where default initialization is not appropriate for base classes of the derived type or members of the derived type.</w:t>
      </w:r>
    </w:p>
    <w:p>
      <w:pPr>
        <w:numPr>
          <w:ilvl w:val="0"/>
          <w:numId w:val="1085"/>
        </w:numPr>
        <w:pStyle w:val="Compact"/>
      </w:pPr>
      <w:r>
        <w:t xml:space="preserve">Avoid using a</w:t>
      </w:r>
      <w:r>
        <w:t xml:space="preserve"> </w:t>
      </w:r>
      <w:r>
        <w:t xml:space="preserve">“</w:t>
      </w:r>
      <w:r>
        <w:t xml:space="preserve">using-declaration</w:t>
      </w:r>
      <w:r>
        <w:t xml:space="preserve">”</w:t>
      </w:r>
      <w:r>
        <w:t xml:space="preserve"> </w:t>
      </w:r>
      <w:r>
        <w:t xml:space="preserve">to promote the accessability of a base class member.</w:t>
      </w:r>
    </w:p>
    <w:p>
      <w:pPr>
        <w:numPr>
          <w:ilvl w:val="0"/>
          <w:numId w:val="1085"/>
        </w:numPr>
        <w:pStyle w:val="Compact"/>
      </w:pPr>
      <w:r>
        <w:t xml:space="preserve">Prohibit mixing virtual and non-virtual inheritance of the same base class in a hierarchy.</w:t>
      </w:r>
    </w:p>
    <w:p>
      <w:pPr>
        <w:numPr>
          <w:ilvl w:val="0"/>
          <w:numId w:val="1085"/>
        </w:numPr>
        <w:pStyle w:val="Compact"/>
      </w:pPr>
      <w:r>
        <w:t xml:space="preserve">Preserve class invariants and declare all class members as</w:t>
      </w:r>
      <w:r>
        <w:t xml:space="preserve"> </w:t>
      </w:r>
      <w:r>
        <w:rPr>
          <w:rStyle w:val="KeywordTok"/>
        </w:rPr>
        <w:t xml:space="preserve">protected</w:t>
      </w:r>
      <w:r>
        <w:t xml:space="preserve"> </w:t>
      </w:r>
      <w:r>
        <w:t xml:space="preserve">or</w:t>
      </w:r>
      <w:r>
        <w:t xml:space="preserve"> </w:t>
      </w:r>
      <w:r>
        <w:rPr>
          <w:rStyle w:val="KeywordTok"/>
        </w:rPr>
        <w:t xml:space="preserve">private</w:t>
      </w:r>
      <w:r>
        <w:t xml:space="preserve"> </w:t>
      </w:r>
      <w:r>
        <w:t xml:space="preserve">whenever appropriate.</w:t>
      </w:r>
    </w:p>
    <w:p>
      <w:pPr>
        <w:numPr>
          <w:ilvl w:val="0"/>
          <w:numId w:val="1085"/>
        </w:numPr>
        <w:pStyle w:val="Compact"/>
      </w:pPr>
      <w:r>
        <w:t xml:space="preserve">Use static analysis tools, including compilers from different sources, to:</w:t>
      </w:r>
    </w:p>
    <w:p>
      <w:pPr>
        <w:numPr>
          <w:ilvl w:val="1"/>
          <w:numId w:val="1086"/>
        </w:numPr>
        <w:pStyle w:val="Compact"/>
      </w:pPr>
      <w:r>
        <w:t xml:space="preserve">detect hiding of member names in virtual base classes, and</w:t>
      </w:r>
    </w:p>
    <w:p>
      <w:pPr>
        <w:numPr>
          <w:ilvl w:val="1"/>
          <w:numId w:val="1086"/>
        </w:numPr>
        <w:pStyle w:val="Compact"/>
      </w:pPr>
      <w:r>
        <w:t xml:space="preserve">identify methods that are accidentaly turned into overrides when equally-named methods are added to parents.</w:t>
      </w:r>
    </w:p>
    <w:bookmarkEnd w:id="165"/>
    <w:bookmarkStart w:id="168" w:name="BLP"/>
    <w:p>
      <w:pPr>
        <w:pStyle w:val="Heading2"/>
      </w:pPr>
      <w:r>
        <w:t xml:space="preserve">6.42 Violations of the Liskov Substitution Principle or the Contract Model [BLP]</w:t>
      </w:r>
    </w:p>
    <w:bookmarkStart w:id="16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66"/>
    <w:bookmarkStart w:id="167"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87"/>
        </w:numPr>
      </w:pPr>
      <w:r>
        <w:t xml:space="preserve">Apply the avoidance mechanisms of ISO/IEC 24772-1 6.42.5</w:t>
      </w:r>
    </w:p>
    <w:p>
      <w:pPr>
        <w:numPr>
          <w:ilvl w:val="0"/>
          <w:numId w:val="1087"/>
        </w:numPr>
      </w:pPr>
      <w:r>
        <w:t xml:space="preserve">Use static analysis tools that identify violations of preconditions and postconditions.</w:t>
      </w:r>
    </w:p>
    <w:p>
      <w:pPr>
        <w:numPr>
          <w:ilvl w:val="0"/>
          <w:numId w:val="1087"/>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67"/>
    <w:bookmarkEnd w:id="168"/>
    <w:bookmarkStart w:id="171" w:name="redispatching-pph"/>
    <w:p>
      <w:pPr>
        <w:pStyle w:val="Heading2"/>
      </w:pPr>
      <w:r>
        <w:t xml:space="preserve">6.43 Redispatching [PPH]</w:t>
      </w:r>
    </w:p>
    <w:bookmarkStart w:id="16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9"/>
    <w:bookmarkStart w:id="170"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70"/>
    <w:bookmarkEnd w:id="171"/>
    <w:bookmarkStart w:id="174" w:name="BKK"/>
    <w:p>
      <w:pPr>
        <w:pStyle w:val="Heading2"/>
      </w:pPr>
      <w:r>
        <w:t xml:space="preserve">6.44 Polymorphic variables [BKK]</w:t>
      </w:r>
    </w:p>
    <w:bookmarkStart w:id="17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2"/>
    <w:bookmarkStart w:id="173"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3"/>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3"/>
    <w:bookmarkEnd w:id="174"/>
    <w:bookmarkStart w:id="177" w:name="LRM"/>
    <w:p>
      <w:pPr>
        <w:pStyle w:val="Heading2"/>
      </w:pPr>
      <w:r>
        <w:t xml:space="preserve">6.45 Extra Intrinsics [LRM]</w:t>
      </w:r>
    </w:p>
    <w:bookmarkStart w:id="175"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5"/>
    <w:bookmarkStart w:id="176"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4"/>
        </w:numPr>
        <w:pStyle w:val="Compact"/>
      </w:pPr>
      <w:r>
        <w:t xml:space="preserve">Prohibit identifiers containing a double underscore</w:t>
      </w:r>
      <w:r>
        <w:t xml:space="preserve"> </w:t>
      </w:r>
      <w:r>
        <w:rPr>
          <w:rStyle w:val="VerbatimChar"/>
        </w:rPr>
        <w:t xml:space="preserve">__</w:t>
      </w:r>
      <w:r>
        <w:t xml:space="preserve">.</w:t>
      </w:r>
    </w:p>
    <w:p>
      <w:pPr>
        <w:numPr>
          <w:ilvl w:val="0"/>
          <w:numId w:val="1094"/>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4"/>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4"/>
        </w:numPr>
        <w:pStyle w:val="Compact"/>
      </w:pPr>
      <w:r>
        <w:t xml:space="preserve">Prohibit the declaration of names in reserved namespaces.</w:t>
      </w:r>
    </w:p>
    <w:p>
      <w:pPr>
        <w:numPr>
          <w:ilvl w:val="0"/>
          <w:numId w:val="1094"/>
        </w:numPr>
        <w:pStyle w:val="Compact"/>
      </w:pPr>
      <w:r>
        <w:t xml:space="preserve">Prohibit the specialization of a restricted template.</w:t>
      </w:r>
    </w:p>
    <w:p>
      <w:pPr>
        <w:numPr>
          <w:ilvl w:val="0"/>
          <w:numId w:val="1094"/>
        </w:numPr>
        <w:pStyle w:val="Compact"/>
      </w:pPr>
      <w:r>
        <w:t xml:space="preserve">Use compiler warnings and static analysis tools to detect and report violations of the above.</w:t>
      </w:r>
    </w:p>
    <w:bookmarkEnd w:id="176"/>
    <w:bookmarkEnd w:id="177"/>
    <w:bookmarkStart w:id="180" w:name="Xc417c172da80bb70cea1f9e7af9871a63840609"/>
    <w:p>
      <w:pPr>
        <w:pStyle w:val="Heading2"/>
      </w:pPr>
      <w:r>
        <w:t xml:space="preserve">6.46 Argument Passing to Library Functions [TRJ]</w:t>
      </w:r>
    </w:p>
    <w:bookmarkStart w:id="17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8"/>
    <w:bookmarkStart w:id="179"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095"/>
        </w:numPr>
      </w:pPr>
      <w:r>
        <w:t xml:space="preserve">Follow the avoidance mechanisms of ISO/IEC 24772-1 clause 6.47.5.</w:t>
      </w:r>
    </w:p>
    <w:p>
      <w:pPr>
        <w:numPr>
          <w:ilvl w:val="0"/>
          <w:numId w:val="1095"/>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9"/>
    <w:bookmarkEnd w:id="180"/>
    <w:bookmarkStart w:id="183" w:name="inter-language-calling-djs"/>
    <w:p>
      <w:pPr>
        <w:pStyle w:val="Heading2"/>
      </w:pPr>
      <w:r>
        <w:t xml:space="preserve">6.47 Inter-language Calling [DJS]</w:t>
      </w:r>
    </w:p>
    <w:bookmarkStart w:id="18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1"/>
    <w:bookmarkStart w:id="182"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096"/>
        </w:numPr>
      </w:pPr>
      <w:r>
        <w:t xml:space="preserve">Follow the avoidance mechanisms of ISO/IEC 24772-1 clause 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2"/>
    <w:bookmarkEnd w:id="183"/>
    <w:bookmarkStart w:id="186" w:name="NYY"/>
    <w:p>
      <w:pPr>
        <w:pStyle w:val="Heading2"/>
      </w:pPr>
      <w:r>
        <w:t xml:space="preserve">6.48 Dynamically-linked Code and Self-modifying Code [NYY]</w:t>
      </w:r>
    </w:p>
    <w:bookmarkStart w:id="184"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4"/>
    <w:bookmarkStart w:id="185"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098"/>
        </w:numPr>
        <w:pStyle w:val="Compact"/>
      </w:pPr>
      <w:r>
        <w:t xml:space="preserve">Follow the avoidance mechanisms of ISO/IEC 24772-1 clause 6.48.5 and ISO/IEC 24772-3 clause 6.48.2.</w:t>
      </w:r>
    </w:p>
    <w:p>
      <w:pPr>
        <w:numPr>
          <w:ilvl w:val="0"/>
          <w:numId w:val="1098"/>
        </w:numPr>
        <w:pStyle w:val="Compact"/>
      </w:pPr>
      <w:r>
        <w:t xml:space="preserve">Follow the avoidance mechanisms of 6.11.2 Pointer type conversions [HFC].</w:t>
      </w:r>
    </w:p>
    <w:p>
      <w:pPr>
        <w:numPr>
          <w:ilvl w:val="0"/>
          <w:numId w:val="1098"/>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85"/>
    <w:bookmarkEnd w:id="186"/>
    <w:bookmarkStart w:id="189" w:name="NSQ"/>
    <w:p>
      <w:pPr>
        <w:pStyle w:val="Heading2"/>
      </w:pPr>
      <w:r>
        <w:t xml:space="preserve">6.49 Library Signature [NSQ]</w:t>
      </w:r>
    </w:p>
    <w:bookmarkStart w:id="18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7"/>
    <w:bookmarkStart w:id="188"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099"/>
        </w:numPr>
      </w:pPr>
      <w:r>
        <w:t xml:space="preserve">Follow the avoidance mechanisms of ISO/IEC 24772-1 clause 6.49.5.</w:t>
      </w:r>
    </w:p>
    <w:p>
      <w:pPr>
        <w:numPr>
          <w:ilvl w:val="0"/>
          <w:numId w:val="1099"/>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8"/>
    <w:bookmarkEnd w:id="189"/>
    <w:bookmarkStart w:id="192" w:name="X165926c342ab175b2667683b6cb7551fc7b18d8"/>
    <w:p>
      <w:pPr>
        <w:pStyle w:val="Heading2"/>
      </w:pPr>
      <w:r>
        <w:t xml:space="preserve">6.50. Unanticipated Exceptions from Library Routines [HJW]</w:t>
      </w:r>
    </w:p>
    <w:bookmarkStart w:id="19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0"/>
    <w:bookmarkStart w:id="191"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0"/>
        </w:numPr>
      </w:pPr>
      <w:r>
        <w:t xml:space="preserve">Follow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91"/>
    <w:bookmarkEnd w:id="192"/>
    <w:bookmarkStart w:id="195" w:name="NMP"/>
    <w:p>
      <w:pPr>
        <w:pStyle w:val="Heading2"/>
      </w:pPr>
      <w:r>
        <w:t xml:space="preserve">6.51 Pre-processor Directives [NMP]</w:t>
      </w:r>
    </w:p>
    <w:bookmarkStart w:id="19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3"/>
    <w:bookmarkStart w:id="194"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Prohibit embedding the following in a function-like macro: pre-processor directives; or side-effects such as an assignment, increment/decrement, volatile access, or function call.</w:t>
      </w:r>
    </w:p>
    <w:p>
      <w:pPr>
        <w:numPr>
          <w:ilvl w:val="0"/>
          <w:numId w:val="1101"/>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4"/>
    <w:bookmarkEnd w:id="195"/>
    <w:bookmarkStart w:id="198" w:name="Xe4ed1f6d7e7049a22cf11fb58e9b78561722b0b"/>
    <w:p>
      <w:pPr>
        <w:pStyle w:val="Heading2"/>
      </w:pPr>
      <w:r>
        <w:t xml:space="preserve">6.52 Suppression of Language-defined Run-time Checking [MXB]</w:t>
      </w:r>
    </w:p>
    <w:bookmarkStart w:id="19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6"/>
    <w:bookmarkStart w:id="197"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7"/>
    <w:bookmarkEnd w:id="198"/>
    <w:bookmarkStart w:id="201" w:name="X2e6df9becdc68c65fdb33865090fafdb8a33550"/>
    <w:p>
      <w:pPr>
        <w:pStyle w:val="Heading2"/>
      </w:pPr>
      <w:r>
        <w:t xml:space="preserve">6.53 Provision of Inherently Unsafe Operations [SKL]</w:t>
      </w:r>
    </w:p>
    <w:bookmarkStart w:id="199"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199"/>
    <w:bookmarkStart w:id="200"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2"/>
        </w:numPr>
      </w:pPr>
      <w:r>
        <w:t xml:space="preserve">Use the avoidance mechanisms of ISO/IEC 24772-1:2024 and ISO/IEC TR 24772-3:2020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200"/>
    <w:bookmarkEnd w:id="201"/>
    <w:bookmarkStart w:id="204" w:name="BRS"/>
    <w:p>
      <w:pPr>
        <w:pStyle w:val="Heading2"/>
      </w:pPr>
      <w:r>
        <w:t xml:space="preserve">6.54 Obscure Language Features [BRS]</w:t>
      </w:r>
    </w:p>
    <w:bookmarkStart w:id="20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2"/>
    <w:bookmarkStart w:id="203"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6.54.5.</w:t>
      </w:r>
    </w:p>
    <w:p>
      <w:pPr>
        <w:numPr>
          <w:ilvl w:val="0"/>
          <w:numId w:val="1103"/>
        </w:numPr>
      </w:pPr>
      <w:r>
        <w:t xml:space="preserve">Use static analysis tools or multiple compilers to help identify occurrences of obscure language features.</w:t>
      </w:r>
    </w:p>
    <w:bookmarkEnd w:id="203"/>
    <w:bookmarkEnd w:id="204"/>
    <w:bookmarkStart w:id="207" w:name="unspecified-behaviour-bqf"/>
    <w:p>
      <w:pPr>
        <w:pStyle w:val="Heading2"/>
      </w:pPr>
      <w:r>
        <w:t xml:space="preserve">6.55 Unspecified Behaviour [BQF]</w:t>
      </w:r>
    </w:p>
    <w:bookmarkStart w:id="205"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05"/>
    <w:bookmarkStart w:id="206"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6.55.5.</w:t>
      </w:r>
    </w:p>
    <w:p>
      <w:pPr>
        <w:numPr>
          <w:ilvl w:val="0"/>
          <w:numId w:val="1104"/>
        </w:numPr>
      </w:pPr>
      <w:r>
        <w:t xml:space="preserve">Use static analysis tools and multiple compilers/tools to help identify occurrences of</w:t>
      </w:r>
      <w:r>
        <w:t xml:space="preserve"> </w:t>
      </w:r>
      <w:r>
        <w:t xml:space="preserve">unspecified behaviour.</w:t>
      </w:r>
    </w:p>
    <w:bookmarkEnd w:id="206"/>
    <w:bookmarkEnd w:id="207"/>
    <w:bookmarkStart w:id="210" w:name="EWF"/>
    <w:p>
      <w:pPr>
        <w:pStyle w:val="Heading2"/>
      </w:pPr>
      <w:r>
        <w:t xml:space="preserve">6.56 Undefined Behaviour [EWF]</w:t>
      </w:r>
    </w:p>
    <w:bookmarkStart w:id="208"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08"/>
    <w:bookmarkStart w:id="209"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6.56.5.</w:t>
      </w:r>
    </w:p>
    <w:p>
      <w:pPr>
        <w:numPr>
          <w:ilvl w:val="0"/>
          <w:numId w:val="1105"/>
        </w:numPr>
      </w:pPr>
      <w:r>
        <w:t xml:space="preserve">Exploit compile-time evaluation whenever possible to detect undefined behaviour.</w:t>
      </w:r>
    </w:p>
    <w:p>
      <w:pPr>
        <w:numPr>
          <w:ilvl w:val="0"/>
          <w:numId w:val="1105"/>
        </w:numPr>
      </w:pPr>
      <w:r>
        <w:t xml:space="preserve">Use static analysis tools in addition to the compiler to help identify occurrences of undefined behaviour.</w:t>
      </w:r>
    </w:p>
    <w:p>
      <w:pPr>
        <w:numPr>
          <w:ilvl w:val="0"/>
          <w:numId w:val="1105"/>
        </w:numPr>
      </w:pPr>
      <w:r>
        <w:t xml:space="preserve">Augment static analysis tool usage with runtime tools such as ASAN</w:t>
      </w:r>
      <w:r>
        <w:t xml:space="preserve"> </w:t>
      </w:r>
      <w:r>
        <w:t xml:space="preserve">(address sanitizer) and related tools.</w:t>
      </w:r>
    </w:p>
    <w:p>
      <w:pPr>
        <w:numPr>
          <w:ilvl w:val="0"/>
          <w:numId w:val="1105"/>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5"/>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09"/>
    <w:bookmarkEnd w:id="210"/>
    <w:bookmarkStart w:id="213" w:name="implementationdefined-behaviour-fab"/>
    <w:p>
      <w:pPr>
        <w:pStyle w:val="Heading2"/>
      </w:pPr>
      <w:r>
        <w:t xml:space="preserve">6.57 Implementation–defined Behaviour [FAB]</w:t>
      </w:r>
    </w:p>
    <w:bookmarkStart w:id="211"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p>
      <w:pPr>
        <w:pStyle w:val="BodyText"/>
      </w:pPr>
      <w:r>
        <w:t xml:space="preserve">In deciding whether or not to use a feature with implementation-defined behaviours, it is important be cognizant that:</w:t>
      </w:r>
    </w:p>
    <w:p>
      <w:pPr>
        <w:numPr>
          <w:ilvl w:val="0"/>
          <w:numId w:val="1106"/>
        </w:numPr>
      </w:pPr>
      <w:r>
        <w:t xml:space="preserve">A given implementation may change or remove an implementation-defined behaviour; and</w:t>
      </w:r>
    </w:p>
    <w:p>
      <w:pPr>
        <w:numPr>
          <w:ilvl w:val="0"/>
          <w:numId w:val="1106"/>
        </w:numPr>
      </w:pPr>
      <w:r>
        <w:t xml:space="preserve">Programs that are specifically intended for a particular implementation may in the future be ported to another environment or sections reused for future implementations.</w:t>
      </w:r>
    </w:p>
    <w:p>
      <w:pPr>
        <w:pStyle w:val="FirstParagraph"/>
      </w:pPr>
      <w:r>
        <w:t xml:space="preserve">In either situation, the implementation-defined behaviour will become problematic.</w:t>
      </w:r>
    </w:p>
    <w:bookmarkEnd w:id="211"/>
    <w:bookmarkStart w:id="212"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 clause 6.57.5.</w:t>
      </w:r>
    </w:p>
    <w:p>
      <w:pPr>
        <w:numPr>
          <w:ilvl w:val="0"/>
          <w:numId w:val="1107"/>
        </w:numPr>
      </w:pPr>
      <w:r>
        <w:t xml:space="preserve">Eliminate to the extent possible any reliance on</w:t>
      </w:r>
      <w:r>
        <w:t xml:space="preserve"> </w:t>
      </w:r>
      <w:r>
        <w:t xml:space="preserve">implementation-defined behaviour from programs in order to increase</w:t>
      </w:r>
      <w:r>
        <w:t xml:space="preserve"> </w:t>
      </w:r>
      <w:r>
        <w:t xml:space="preserve">portability.</w:t>
      </w:r>
    </w:p>
    <w:p>
      <w:pPr>
        <w:numPr>
          <w:ilvl w:val="0"/>
          <w:numId w:val="1107"/>
        </w:numPr>
      </w:pPr>
      <w:r>
        <w:t xml:space="preserve">Use multiple compilers/tools to increase your chance of identifying</w:t>
      </w:r>
      <w:r>
        <w:t xml:space="preserve"> </w:t>
      </w:r>
      <w:r>
        <w:t xml:space="preserve">constructs that have implementation-defined behaviours.</w:t>
      </w:r>
    </w:p>
    <w:p>
      <w:pPr>
        <w:numPr>
          <w:ilvl w:val="0"/>
          <w:numId w:val="110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2"/>
    <w:bookmarkEnd w:id="213"/>
    <w:bookmarkStart w:id="216" w:name="deprecated-language-features-mem"/>
    <w:p>
      <w:pPr>
        <w:pStyle w:val="Heading2"/>
      </w:pPr>
      <w:r>
        <w:t xml:space="preserve">6.58 Deprecated Language Features [MEM]</w:t>
      </w:r>
    </w:p>
    <w:bookmarkStart w:id="214"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4"/>
    <w:bookmarkStart w:id="215"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6.58.5.</w:t>
      </w:r>
    </w:p>
    <w:p>
      <w:pPr>
        <w:numPr>
          <w:ilvl w:val="0"/>
          <w:numId w:val="1108"/>
        </w:numPr>
      </w:pPr>
      <w:r>
        <w:t xml:space="preserve">Enable compiler options or use static analysis tools that identify the</w:t>
      </w:r>
      <w:r>
        <w:t xml:space="preserve"> </w:t>
      </w:r>
      <w:r>
        <w:t xml:space="preserve">use of deprecated features.</w:t>
      </w:r>
    </w:p>
    <w:p>
      <w:pPr>
        <w:numPr>
          <w:ilvl w:val="0"/>
          <w:numId w:val="110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5"/>
    <w:bookmarkEnd w:id="216"/>
    <w:bookmarkStart w:id="219" w:name="CGA"/>
    <w:p>
      <w:pPr>
        <w:pStyle w:val="Heading2"/>
      </w:pPr>
      <w:r>
        <w:t xml:space="preserve">6.59 Concurrency – Activation [CGA]</w:t>
      </w:r>
    </w:p>
    <w:bookmarkStart w:id="217"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w:t>
      </w:r>
      <w:r>
        <w:t xml:space="preserve"> </w:t>
      </w:r>
      <w:r>
        <w:t xml:space="preserve">-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 Co-routines (describe and reference clause 7.x on coroutines.</w:t>
      </w:r>
    </w:p>
    <w:p>
      <w:pPr>
        <w:pStyle w:val="BodyText"/>
      </w:pP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7"/>
    <w:bookmarkStart w:id="218"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09"/>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9"/>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09"/>
        </w:numPr>
        <w:pStyle w:val="Compact"/>
      </w:pPr>
      <w:r>
        <w:t xml:space="preserve">When handling the exception thrown due to failure to create a thread, ensure that potentially dependent other threads are informed.</w:t>
      </w:r>
    </w:p>
    <w:p>
      <w:pPr>
        <w:numPr>
          <w:ilvl w:val="0"/>
          <w:numId w:val="1109"/>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09"/>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09"/>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18"/>
    <w:bookmarkEnd w:id="219"/>
    <w:bookmarkStart w:id="221" w:name="concurrency-directed-termination-cgt"/>
    <w:p>
      <w:pPr>
        <w:pStyle w:val="Heading2"/>
      </w:pPr>
      <w:r>
        <w:t xml:space="preserve">6.60 Concurrency – Directed termination [CGT]</w:t>
      </w:r>
    </w:p>
    <w:bookmarkStart w:id="220"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0"/>
    <w:bookmarkEnd w:id="221"/>
    <w:bookmarkStart w:id="222"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For threads created using the C library, follow the avoidance mechanisms of ISO/IEC TR 24772-3.</w:t>
      </w:r>
    </w:p>
    <w:p>
      <w:pPr>
        <w:numPr>
          <w:ilvl w:val="0"/>
          <w:numId w:val="1110"/>
        </w:numPr>
      </w:pPr>
      <w:r>
        <w:t xml:space="preserve">Follow the avoidance mechanisms of ISO/IEC 24772-1 clause 6.60.5.</w:t>
      </w:r>
    </w:p>
    <w:p>
      <w:pPr>
        <w:numPr>
          <w:ilvl w:val="0"/>
          <w:numId w:val="1110"/>
        </w:numPr>
      </w:pPr>
      <w:r>
        <w:t xml:space="preserve">Use code reviews and static analysis tools if available, to ensure that threads correctly terminate.</w:t>
      </w:r>
    </w:p>
    <w:bookmarkEnd w:id="222"/>
    <w:bookmarkStart w:id="225" w:name="CGX"/>
    <w:p>
      <w:pPr>
        <w:pStyle w:val="Heading2"/>
      </w:pPr>
      <w:r>
        <w:t xml:space="preserve">6.61 Concurrent Data Access [CGX]</w:t>
      </w:r>
    </w:p>
    <w:bookmarkStart w:id="223"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3"/>
    <w:bookmarkStart w:id="224"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1"/>
        </w:numPr>
      </w:pPr>
      <w:r>
        <w:t xml:space="preserve">Place all mutable data in memory accessible to only one thread at a time;</w:t>
      </w:r>
    </w:p>
    <w:p>
      <w:pPr>
        <w:numPr>
          <w:ilvl w:val="0"/>
          <w:numId w:val="1111"/>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1"/>
        </w:numPr>
      </w:pPr>
      <w:r>
        <w:t xml:space="preserve">Prohibit calling lock and unlock facilities directly.</w:t>
      </w:r>
    </w:p>
    <w:p>
      <w:pPr>
        <w:numPr>
          <w:ilvl w:val="0"/>
          <w:numId w:val="1111"/>
        </w:numPr>
      </w:pPr>
      <w:r>
        <w:t xml:space="preserve">Forbid the use of volatile for synchronization;</w:t>
      </w:r>
    </w:p>
    <w:p>
      <w:pPr>
        <w:numPr>
          <w:ilvl w:val="0"/>
          <w:numId w:val="1111"/>
        </w:numPr>
      </w:pPr>
      <w:r>
        <w:t xml:space="preserve">Avoid specifying memory orders on atomic operations other than sequential consistency;</w:t>
      </w:r>
    </w:p>
    <w:p>
      <w:pPr>
        <w:numPr>
          <w:ilvl w:val="0"/>
          <w:numId w:val="1111"/>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1"/>
        </w:numPr>
      </w:pPr>
      <w:r>
        <w:t xml:space="preserve">Pass all thread function arguments by non-pointer-like values.</w:t>
      </w:r>
    </w:p>
    <w:bookmarkEnd w:id="224"/>
    <w:bookmarkEnd w:id="225"/>
    <w:bookmarkStart w:id="229" w:name="concurrency-premature-termination-cgs"/>
    <w:p>
      <w:pPr>
        <w:pStyle w:val="Heading2"/>
      </w:pPr>
      <w:r>
        <w:t xml:space="preserve">6.62 Concurrency – Premature Termination [CGS]</w:t>
      </w:r>
    </w:p>
    <w:bookmarkStart w:id="226" w:name="applicability-to-language"/>
    <w:p>
      <w:pPr>
        <w:pStyle w:val="Heading3"/>
      </w:pPr>
      <w:r>
        <w:t xml:space="preserve">6.62.1 Applicability to language</w:t>
      </w:r>
    </w:p>
    <w:bookmarkEnd w:id="226"/>
    <w:bookmarkStart w:id="227"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27"/>
    <w:bookmarkStart w:id="228"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2"/>
        </w:numPr>
      </w:pPr>
      <w:r>
        <w:t xml:space="preserve">Use the avoidance mechanisms of ISO/IEC 24772-1 clause 6.63.5.</w:t>
      </w:r>
    </w:p>
    <w:p>
      <w:pPr>
        <w:numPr>
          <w:ilvl w:val="0"/>
          <w:numId w:val="1112"/>
        </w:numPr>
      </w:pPr>
      <w:r>
        <w:t xml:space="preserve">Use low-level operating system primitives or other APIs where</w:t>
      </w:r>
      <w:r>
        <w:t xml:space="preserve"> </w:t>
      </w:r>
      <w:r>
        <w:t xml:space="preserve">available to check that a required thread is still active.</w:t>
      </w:r>
    </w:p>
    <w:p>
      <w:pPr>
        <w:numPr>
          <w:ilvl w:val="0"/>
          <w:numId w:val="1112"/>
        </w:numPr>
      </w:pPr>
      <w:r>
        <w:t xml:space="preserve">Prohibit explicit or implicit calls to program-terminating functions whenever active threads are executing.</w:t>
      </w:r>
    </w:p>
    <w:p>
      <w:pPr>
        <w:numPr>
          <w:ilvl w:val="0"/>
          <w:numId w:val="1112"/>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2"/>
        </w:numPr>
      </w:pPr>
      <w:r>
        <w:t xml:space="preserve">Return some indication of conditions resulting in premature termination</w:t>
      </w:r>
    </w:p>
    <w:p>
      <w:pPr>
        <w:numPr>
          <w:ilvl w:val="0"/>
          <w:numId w:val="1112"/>
        </w:numPr>
      </w:pPr>
      <w:r>
        <w:t xml:space="preserve">Ensure that the main program joins all created threads that need to complete</w:t>
      </w:r>
      <w:r>
        <w:t xml:space="preserve"> </w:t>
      </w:r>
      <w:r>
        <w:t xml:space="preserve">normally, such as by using the std::jthread type.</w:t>
      </w:r>
    </w:p>
    <w:bookmarkEnd w:id="228"/>
    <w:bookmarkEnd w:id="229"/>
    <w:bookmarkStart w:id="232" w:name="uncontrolled-format-string-shl"/>
    <w:p>
      <w:pPr>
        <w:pStyle w:val="Heading2"/>
      </w:pPr>
      <w:r>
        <w:t xml:space="preserve">6.64 Uncontrolled Format String [SHL]</w:t>
      </w:r>
    </w:p>
    <w:bookmarkStart w:id="230"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0"/>
    <w:bookmarkStart w:id="231"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3"/>
        </w:numPr>
      </w:pPr>
      <w:r>
        <w:t xml:space="preserve">Forbid the use of the C library facilities provided by</w:t>
      </w:r>
      <w:r>
        <w:t xml:space="preserve"> </w:t>
      </w:r>
      <w:r>
        <w:rPr>
          <w:rStyle w:val="VerbatimChar"/>
          <w:b/>
        </w:rPr>
        <w:t xml:space="preserve">&lt;cstdio&gt;</w:t>
      </w:r>
      <w:r>
        <w:t xml:space="preserve">.</w:t>
      </w:r>
    </w:p>
    <w:p>
      <w:pPr>
        <w:numPr>
          <w:ilvl w:val="0"/>
          <w:numId w:val="1113"/>
        </w:numPr>
      </w:pPr>
      <w:r>
        <w:t xml:space="preserve">Apply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1"/>
    <w:bookmarkEnd w:id="232"/>
    <w:bookmarkEnd w:id="233"/>
    <w:bookmarkStart w:id="238" w:name="UJO"/>
    <w:p>
      <w:pPr>
        <w:pStyle w:val="Heading1"/>
      </w:pPr>
      <w:r>
        <w:t xml:space="preserve">6.65 Modifying constants [UJO]</w:t>
      </w:r>
    </w:p>
    <w:bookmarkStart w:id="23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 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 (see</w:t>
      </w:r>
      <w:r>
        <w:t xml:space="preserve"> </w:t>
      </w:r>
      <w:bookmarkStart w:id="234" w:name="EWF"/>
      <w:r>
        <w:t xml:space="preserve">Undefined Behavior [EWF]</w:t>
      </w:r>
      <w:bookmarkEnd w:id="234"/>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w:t>
      </w:r>
      <w:r>
        <w:br/>
      </w:r>
      <w:r>
        <w:t xml:space="preserve">The following badly defined class introduces a non-</w:t>
      </w:r>
      <w:r>
        <w:rPr>
          <w:rStyle w:val="AttributeTok"/>
        </w:rPr>
        <w:t xml:space="preserve">const</w:t>
      </w:r>
      <w:r>
        <w:t xml:space="preserve"> </w:t>
      </w:r>
      <w:r>
        <w:t xml:space="preserve">access path to a 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5" w:name="FLC"/>
      <w:r>
        <w:t xml:space="preserve">Conversion Errors [FLC]</w:t>
      </w:r>
      <w:bookmarkEnd w:id="235"/>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 example where a mutex member is declared</w:t>
      </w:r>
      <w:r>
        <w:t xml:space="preserve"> </w:t>
      </w:r>
      <w:r>
        <w:rPr>
          <w:rStyle w:val="AttributeTok"/>
        </w:rPr>
        <w:t xml:space="preserve">mutable</w:t>
      </w:r>
      <w:r>
        <w:t xml:space="preserve"> </w:t>
      </w:r>
      <w:r>
        <w:t xml:space="preserve">to allow 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6"/>
    <w:bookmarkStart w:id="237"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4"/>
        </w:numPr>
      </w:pPr>
      <w:r>
        <w:t xml:space="preserve">Apply the avoidance mechanisms of ISO/IEC 24772-1 clause 6.65.5.</w:t>
      </w:r>
    </w:p>
    <w:p>
      <w:pPr>
        <w:numPr>
          <w:ilvl w:val="0"/>
          <w:numId w:val="1114"/>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4"/>
        </w:numPr>
      </w:pPr>
      <w:r>
        <w:t xml:space="preserve">Apply</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4"/>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4"/>
        </w:numPr>
      </w:pPr>
      <w:r>
        <w:t xml:space="preserve">Ensure in concurrent code, that mutable data members are synchronisation primitives or are explicitly synchronized.</w:t>
      </w:r>
    </w:p>
    <w:p>
      <w:pPr>
        <w:numPr>
          <w:ilvl w:val="0"/>
          <w:numId w:val="1114"/>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4"/>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7"/>
    <w:bookmarkEnd w:id="238"/>
    <w:bookmarkStart w:id="239" w:name="language-specific-vulnerabilities-for-c"/>
    <w:p>
      <w:pPr>
        <w:pStyle w:val="Heading1"/>
      </w:pPr>
      <w:r>
        <w:t xml:space="preserve">7. Language specific vulnerabilities for C++</w:t>
      </w:r>
    </w:p>
    <w:p>
      <w:pPr>
        <w:pStyle w:val="FirstParagraph"/>
      </w:pPr>
      <w:r>
        <w:t xml:space="preserve">TBD</w:t>
      </w:r>
    </w:p>
    <w:bookmarkEnd w:id="239"/>
    <w:bookmarkStart w:id="24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41"/>
    <w:bookmarkStart w:id="25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4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4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47">
        <w:r>
          <w:rPr>
            <w:rStyle w:val="Hyperlink"/>
          </w:rPr>
          <w:t xml:space="preserve">http://myweb.lmu.edu/dondi/share/pl/type-checking-v02.pdf</w:t>
        </w:r>
      </w:hyperlink>
    </w:p>
    <w:p>
      <w:pPr>
        <w:pStyle w:val="Bibliography1"/>
      </w:pPr>
      <w:r>
        <w:t xml:space="preserve">[32] MISRA Limited. "</w:t>
      </w:r>
      <w:hyperlink r:id="rId24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4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55"/>
    <w:bookmarkStart w:id="256" w:name="index"/>
    <w:p>
      <w:pPr>
        <w:pStyle w:val="Heading1"/>
      </w:pPr>
      <w:r>
        <w:t xml:space="preserve">Index</w:t>
      </w:r>
    </w:p>
    <w:p>
      <w:pPr>
        <w:pStyle w:val="Bibliography1"/>
      </w:pPr>
      <w:r>
        <w:t xml:space="preserve">LHS (left-hand side), 22</w:t>
      </w:r>
    </w:p>
    <w:bookmarkEnd w:id="2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2025-10-27T15:22:35Z</dcterms:created>
  <dcterms:modified xsi:type="dcterms:W3CDTF">2025-10-27T15:22:35Z</dcterms:modified>
</cp:coreProperties>
</file>

<file path=docProps/custom.xml><?xml version="1.0" encoding="utf-8"?>
<Properties xmlns="http://schemas.openxmlformats.org/officeDocument/2006/custom-properties" xmlns:vt="http://schemas.openxmlformats.org/officeDocument/2006/docPropsVTypes"/>
</file>