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Use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If you provide an encapsulation of a string, perform the appropriate verifications.</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heap memory) whose objects may dangle, e.g.,</w:t>
      </w:r>
    </w:p>
    <w:p>
      <w:pPr>
        <w:numPr>
          <w:ilvl w:val="0"/>
          <w:numId w:val="1033"/>
        </w:numPr>
        <w:pStyle w:val="Compact"/>
      </w:pPr>
      <w:r>
        <w:t xml:space="preserve">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user-defined class types can be</w:t>
      </w:r>
      <w:r>
        <w:t xml:space="preserve"> </w:t>
      </w:r>
      <w:r>
        <w:rPr>
          <w:i/>
        </w:rPr>
        <w:t xml:space="preserve">pointer-like</w:t>
      </w:r>
      <w:r>
        <w:t xml:space="preserve"> </w:t>
      </w:r>
      <w:r>
        <w:t xml:space="preserve">types, if a subobject is of</w:t>
      </w:r>
      <w:r>
        <w:t xml:space="preserve"> </w:t>
      </w:r>
      <w:r>
        <w:rPr>
          <w:i/>
        </w:rPr>
        <w:t xml:space="preserve">pointer-like</w:t>
      </w:r>
      <w:r>
        <w:t xml:space="preserve"> </w:t>
      </w:r>
      <w:r>
        <w:t xml:space="preserve">type and it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A special case of</w:t>
      </w:r>
      <w:r>
        <w:t xml:space="preserve"> </w:t>
      </w:r>
      <w:r>
        <w:rPr>
          <w:i/>
        </w:rPr>
        <w:t xml:space="preserve">pointer-like</w:t>
      </w:r>
      <w:r>
        <w:t xml:space="preserve"> </w:t>
      </w:r>
      <w:r>
        <w:t xml:space="preserve">types are those with a representation through regular object types, e.g., indices into a container or operating system handles.</w:t>
      </w:r>
      <w:r>
        <w:t xml:space="preserve"> </w:t>
      </w:r>
      <w:r>
        <w:t xml:space="preserve">Their validity can often not be directly mapped to the C++ object lifetime model.</w:t>
      </w:r>
    </w:p>
    <w:p>
      <w:pPr>
        <w:pStyle w:val="BodyText"/>
      </w:pPr>
      <w:r>
        <w:t xml:space="preserve">If the lifetime of a</w:t>
      </w:r>
      <w:r>
        <w:t xml:space="preserve"> </w:t>
      </w:r>
      <w:r>
        <w:rPr>
          <w:i/>
        </w:rPr>
        <w:t xml:space="preserve">pointer-like</w:t>
      </w:r>
      <w:r>
        <w:t xml:space="preserve"> </w:t>
      </w:r>
      <w:r>
        <w:t xml:space="preserve">object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object.</w:t>
      </w:r>
      <w:r>
        <w:t xml:space="preserve"> </w:t>
      </w:r>
      <w:r>
        <w:t xml:space="preserve">This is the primary C++ strategy for avoiding vulnerabilities of dangling</w:t>
      </w:r>
      <w:r>
        <w:t xml:space="preserve"> </w:t>
      </w:r>
      <w:r>
        <w:rPr>
          <w:i/>
        </w:rPr>
        <w:t xml:space="preserve">pointer-like</w:t>
      </w:r>
      <w:r>
        <w:t xml:space="preserve"> </w:t>
      </w:r>
      <w:r>
        <w:t xml:space="preserve">objects.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p>
    <w:p>
      <w:pPr>
        <w:pStyle w:val="BodyText"/>
      </w:pPr>
      <w:r>
        <w:t xml:space="preserve">The C++ library containers, such as</w:t>
      </w:r>
      <w:r>
        <w:t xml:space="preserve"> </w:t>
      </w:r>
      <w:r>
        <w:rPr>
          <w:rStyle w:val="BuiltInTok"/>
        </w:rPr>
        <w:t xml:space="preserve">std::</w:t>
      </w:r>
      <w:r>
        <w:rPr>
          <w:rStyle w:val="NormalTok"/>
        </w:rPr>
        <w:t xml:space="preserve">vector</w:t>
      </w:r>
      <w:r>
        <w:t xml:space="preserve"> </w:t>
      </w:r>
      <w:r>
        <w:t xml:space="preserve">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object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rPr>
          <w:b/>
        </w:rPr>
        <w:t xml:space="preserve">TODO</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4"/>
        </w:numPr>
      </w:pPr>
      <w:r>
        <w:t xml:space="preserve">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7"/>
        </w:numPr>
      </w:pPr>
      <w:r>
        <w:t xml:space="preserve">Use the avoidance mechanisms of ISO/IEC 24772-1 clause 6.26.5.</w:t>
      </w:r>
    </w:p>
    <w:p>
      <w:pPr>
        <w:numPr>
          <w:ilvl w:val="0"/>
          <w:numId w:val="1057"/>
        </w:numPr>
      </w:pPr>
      <w:r>
        <w:t xml:space="preserve">Use IDEs or similar tools that visualize the code that gets selected for the executable program.</w:t>
      </w:r>
    </w:p>
    <w:p>
      <w:pPr>
        <w:numPr>
          <w:ilvl w:val="0"/>
          <w:numId w:val="1057"/>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8"/>
        </w:numPr>
      </w:pPr>
      <w:r>
        <w:t xml:space="preserve">Use the avoidance mechanisms of ISO/IEC 24772-1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9"/>
        </w:numPr>
      </w:pPr>
      <w:r>
        <w:t xml:space="preserve">Use theavoidance mechanisms of ISO/IEC 24772-1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60"/>
        </w:numPr>
      </w:pPr>
      <w:r>
        <w:t xml:space="preserve">Use the avoidance mechanisms of ISO/IEC 24772-1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2"/>
        </w:numPr>
      </w:pPr>
      <w:r>
        <w:t xml:space="preserve">Use the avoidance mechanisms of ISO/IEC 24772-1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3"/>
        </w:numPr>
      </w:pPr>
      <w:r>
        <w:t xml:space="preserve">Use the avoidance mechanisms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5"/>
        </w:numPr>
      </w:pPr>
      <w:r>
        <w:t xml:space="preserve">Use the avoidance mechanisms of ISO/IEC 24772-1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9"/>
    <w:bookmarkStart w:id="130" w:name="avoidance-mechanisms-for-language-users"/>
    <w:p>
      <w:pPr>
        <w:pStyle w:val="Heading3"/>
      </w:pPr>
      <w:r>
        <w:t xml:space="preserve">6.33.2 Avoidance mechanisms for language users</w:t>
      </w:r>
    </w:p>
    <w:p>
      <w:pPr>
        <w:numPr>
          <w:ilvl w:val="0"/>
          <w:numId w:val="1067"/>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7"/>
        </w:numPr>
      </w:pPr>
      <w:r>
        <w:t xml:space="preserve">Do not returning the address or reference of a local variable as the result of a</w:t>
      </w:r>
      <w:r>
        <w:t xml:space="preserve"> </w:t>
      </w:r>
      <w:r>
        <w:t xml:space="preserve">function call.</w:t>
      </w:r>
    </w:p>
    <w:p>
      <w:pPr>
        <w:numPr>
          <w:ilvl w:val="0"/>
          <w:numId w:val="1067"/>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7"/>
        </w:numPr>
      </w:pPr>
      <w:r>
        <w:t xml:space="preserve">If attempting to bind a reference to a temporary object, … thinking …</w:t>
      </w:r>
    </w:p>
    <w:p>
      <w:pPr>
        <w:pStyle w:val="FirstParagraph"/>
      </w:pPr>
      <w:r>
        <w:t xml:space="preserve">See also C++ Core Guidelines F.53, …</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70"/>
        </w:numPr>
      </w:pPr>
      <w:r>
        <w:t xml:space="preserve">Use the avoidance mechanisms of ISO/IEC TR 24772-1:2019 clause 6.34.5.</w:t>
      </w:r>
    </w:p>
    <w:p>
      <w:pPr>
        <w:numPr>
          <w:ilvl w:val="0"/>
          <w:numId w:val="1070"/>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1"/>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2"/>
        </w:numPr>
      </w:pPr>
      <w:r>
        <w:t xml:space="preserve">Use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2"/>
        </w:numPr>
      </w:pPr>
      <w:r>
        <w:t xml:space="preserve">Avoid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 reinterpret_cast. For type-breaking reinterpretation involving pointers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avoided.</w:t>
      </w:r>
      <w:r>
        <w:t xml:space="preserve"> </w:t>
      </w:r>
      <w:r>
        <w:t xml:space="preserve">In addition, C++ named casts include some compile-time checks, and in the case of dynamic_cast run-time checks, that help avoid some but not all vulnerabilities.</w:t>
      </w:r>
      <w:r>
        <w:t xml:space="preserve"> </w:t>
      </w:r>
      <w:r>
        <w:t xml:space="preserve">From the named casts in C++, only</w:t>
      </w:r>
      <w:r>
        <w:t xml:space="preserve"> </w:t>
      </w:r>
      <w:r>
        <w:rPr>
          <w:rStyle w:val="KeywordTok"/>
        </w:rPr>
        <w:t xml:space="preserve">reinterpret_cast</w:t>
      </w:r>
      <w:r>
        <w:t xml:space="preserve"> </w:t>
      </w:r>
      <w:r>
        <w:t xml:space="preserve">and</w:t>
      </w:r>
      <w:r>
        <w:t xml:space="preserve"> </w:t>
      </w:r>
      <w:r>
        <w:rPr>
          <w:rStyle w:val="BuiltInTok"/>
        </w:rPr>
        <w:t xml:space="preserve">std::</w:t>
      </w:r>
      <w:r>
        <w:rPr>
          <w:rStyle w:val="NormalTok"/>
        </w:rPr>
        <w:t xml:space="preserve">bit_cast</w:t>
      </w:r>
      <w:r>
        <w:t xml:space="preserve"> </w:t>
      </w:r>
      <w:r>
        <w:t xml:space="preserve">allow the reintepretation of data as a different type within limits.</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r>
        <w:t xml:space="preserve"> </w:t>
      </w: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w:t>
      </w:r>
      <w:r>
        <w:t xml:space="preserve">and</w:t>
      </w:r>
      <w:r>
        <w:t xml:space="preserve"> </w:t>
      </w:r>
      <w:r>
        <w:rPr>
          <w:rStyle w:val="BuiltInTok"/>
        </w:rPr>
        <w:t xml:space="preserve">std::</w:t>
      </w:r>
      <w:r>
        <w:rPr>
          <w:rStyle w:val="NormalTok"/>
        </w:rPr>
        <w:t xml:space="preserve">is_pointer_interconvertible_base_of</w:t>
      </w:r>
      <w:r>
        <w:t xml:space="preserve">, that can be used to help ensure some properties for the legality of a specific reinterpretation cast.</w:t>
      </w:r>
    </w:p>
    <w:p>
      <w:pPr>
        <w:pStyle w:val="BodyText"/>
      </w:pPr>
      <w:r>
        <w:t xml:space="preserve">Reading a union member that was not previously written is undefined behaviour except for a few cases described by ISO/IEC 14882:2020 clause [class.mem.general]. The reinterpretation of data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Using</w:t>
      </w:r>
      <w:r>
        <w:t xml:space="preserve"> </w:t>
      </w:r>
      <w:r>
        <w:rPr>
          <w:rStyle w:val="KeywordTok"/>
        </w:rPr>
        <w:t xml:space="preserve">reinterpret_cast</w:t>
      </w:r>
      <w:r>
        <w:t xml:space="preserve"> </w:t>
      </w:r>
      <w:r>
        <w:t xml:space="preserve">to reinterpret the representation of an object as a different type is, in most cases, undefined behaviour.</w:t>
      </w:r>
      <w:r>
        <w:t xml:space="preserve"> </w:t>
      </w:r>
      <w:r>
        <w:t xml:space="preserve">See</w:t>
      </w:r>
      <w:r>
        <w:t xml:space="preserve"> </w:t>
      </w:r>
      <w:hyperlink w:anchor="HFC">
        <w:r>
          <w:rPr>
            <w:rStyle w:val="Hyperlink"/>
          </w:rPr>
          <w:t xml:space="preserve">6.11 Pointer Type Conversions [HFC]</w:t>
        </w:r>
      </w:hyperlink>
      <w:r>
        <w:t xml:space="preserve"> </w:t>
      </w:r>
      <w:r>
        <w:t xml:space="preserve">for the well-defined</w:t>
      </w:r>
      <w:r>
        <w:t xml:space="preserve"> </w:t>
      </w:r>
      <w:r>
        <w:rPr>
          <w:rStyle w:val="KeywordTok"/>
        </w:rPr>
        <w:t xml:space="preserve">reinterpret_cast</w:t>
      </w:r>
      <w:r>
        <w:t xml:space="preserve"> </w:t>
      </w:r>
      <w:r>
        <w:t xml:space="preserve">applications involving pointer types.</w:t>
      </w:r>
    </w:p>
    <w:p>
      <w:pPr>
        <w:pStyle w:val="SourceCode"/>
      </w:pPr>
      <w:r>
        <w:rPr>
          <w:rStyle w:val="VerbatimChar"/>
        </w:rPr>
        <w:t xml:space="preserve">enum E { one, two, four=4 };</w:t>
      </w:r>
      <w:r>
        <w:br/>
      </w:r>
      <w:r>
        <w:rPr>
          <w:rStyle w:val="VerbatimChar"/>
        </w:rPr>
        <w:t xml:space="preserve">constexpr auto x = std::bit_cast&lt;E&gt;(42); // 42 is not representable by E</w:t>
      </w:r>
    </w:p>
    <w:p>
      <w:pPr>
        <w:pStyle w:val="FirstParagraph"/>
      </w:pPr>
      <w:r>
        <w:t xml:space="preserve">Using</w:t>
      </w:r>
      <w:r>
        <w:t xml:space="preserve"> </w:t>
      </w:r>
      <w:r>
        <w:rPr>
          <w:rStyle w:val="KeywordTok"/>
        </w:rPr>
        <w:t xml:space="preserve">reinterpret_cast</w:t>
      </w:r>
      <w:r>
        <w:t xml:space="preserve"> </w:t>
      </w:r>
      <w:r>
        <w:t xml:space="preserve">to cast from the first data member of a non-union class type (provided it is not a bit-field) to the class type and vice versa is legal.</w:t>
      </w:r>
    </w:p>
    <w:bookmarkEnd w:id="142"/>
    <w:bookmarkStart w:id="143" w:name="avoidance-mechanisms-for-language-users"/>
    <w:p>
      <w:pPr>
        <w:pStyle w:val="Heading3"/>
      </w:pPr>
      <w:r>
        <w:t xml:space="preserve">6.37.2 Avoidance mechanisms for language users</w:t>
      </w:r>
    </w:p>
    <w:p>
      <w:pPr>
        <w:numPr>
          <w:ilvl w:val="0"/>
          <w:numId w:val="1073"/>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Do not use C-style casts.</w:t>
      </w:r>
    </w:p>
    <w:p>
      <w:pPr>
        <w:numPr>
          <w:ilvl w:val="0"/>
          <w:numId w:val="1073"/>
        </w:numPr>
      </w:pPr>
      <w:r>
        <w:t xml:space="preserve">Avoid casts that reinterpret data.</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KeywordTok"/>
        </w:rPr>
        <w:t xml:space="preserve">reinterpret_cast</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KeywordTok"/>
        </w:rPr>
        <w:t xml:space="preserve">reinterpret_cast</w:t>
      </w:r>
      <w:r>
        <w:t xml:space="preserve"> </w:t>
      </w:r>
      <w:r>
        <w:t xml:space="preserve">only where no other named casts apply.</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s.</w:t>
      </w:r>
    </w:p>
    <w:p>
      <w:pPr>
        <w:numPr>
          <w:ilvl w:val="0"/>
          <w:numId w:val="1073"/>
        </w:numPr>
      </w:pPr>
      <w:r>
        <w:t xml:space="preserve">Ensure through static analysis that no accidental type-breaking reinterpretation of data occurs.</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4"/>
        </w:numPr>
      </w:pPr>
      <w:r>
        <w:t xml:space="preserve">Use the avoidance mechanisms of ISO/IEC 24772-1 clause 6.38.5.</w:t>
      </w:r>
    </w:p>
    <w:p>
      <w:pPr>
        <w:numPr>
          <w:ilvl w:val="0"/>
          <w:numId w:val="1074"/>
        </w:numPr>
      </w:pPr>
      <w:r>
        <w:t xml:space="preserve">Prefer to 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78"/>
        </w:numPr>
      </w:pPr>
      <w:r>
        <w:t xml:space="preserve">Use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5"/>
        </w:numPr>
      </w:pPr>
      <w:r>
        <w:t xml:space="preserve">Use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5"/>
        </w:numPr>
      </w:pPr>
      <w:r>
        <w:t xml:space="preserve">Prefer composition over inheritance,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Ensure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5"/>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2"/>
        </w:numPr>
      </w:pPr>
      <w:r>
        <w:t xml:space="preserve">Use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2"/>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3"/>
        </w:numPr>
      </w:pPr>
      <w:r>
        <w:t xml:space="preserve">Use the avoidance mechanisms of ISO/IEC 24772-1 clause 6.47.5.</w:t>
      </w:r>
    </w:p>
    <w:p>
      <w:pPr>
        <w:numPr>
          <w:ilvl w:val="0"/>
          <w:numId w:val="1093"/>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4"/>
        </w:numPr>
      </w:pPr>
      <w:r>
        <w:t xml:space="preserve">Use the avoidance mechanisms of ISO/IEC 24772-1 clause</w:t>
      </w:r>
      <w:r>
        <w:t xml:space="preserve"> </w:t>
      </w:r>
      <w:r>
        <w:t xml:space="preserve">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6"/>
        </w:numPr>
      </w:pPr>
      <w:r>
        <w:t xml:space="preserve">Use the avoidance mechanisms of ISO/IEC 24772-1 clause 6.48.5.</w:t>
      </w:r>
    </w:p>
    <w:p>
      <w:pPr>
        <w:numPr>
          <w:ilvl w:val="0"/>
          <w:numId w:val="1096"/>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7"/>
        </w:numPr>
      </w:pPr>
      <w:r>
        <w:t xml:space="preserve">Use the avoidance mechanisms of ISO/IEC 24772-1 clause 6.49.5.</w:t>
      </w:r>
    </w:p>
    <w:p>
      <w:pPr>
        <w:numPr>
          <w:ilvl w:val="0"/>
          <w:numId w:val="1097"/>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8"/>
        </w:numPr>
      </w:pPr>
      <w:r>
        <w:t xml:space="preserve">Use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9"/>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1"/>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2"/>
        </w:numPr>
      </w:pPr>
      <w:r>
        <w:t xml:space="preserve">Use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4"/>
        </w:numPr>
      </w:pPr>
      <w:r>
        <w:t xml:space="preserve">Use the avoidance mechanisms of ISO/IEC 24772-1 clause 6.58.5.</w:t>
      </w:r>
    </w:p>
    <w:p>
      <w:pPr>
        <w:numPr>
          <w:ilvl w:val="0"/>
          <w:numId w:val="1104"/>
        </w:numPr>
      </w:pPr>
      <w:r>
        <w:t xml:space="preserve">Enable compiler options or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6"/>
        </w:numPr>
      </w:pPr>
      <w:r>
        <w:t xml:space="preserve">Use the avoidance mechanisms of ISO/IEC 24772-1 clause 6.60.5.</w:t>
      </w:r>
    </w:p>
    <w:p>
      <w:pPr>
        <w:numPr>
          <w:ilvl w:val="0"/>
          <w:numId w:val="1106"/>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7"/>
        </w:numPr>
      </w:pPr>
      <w:r>
        <w:t xml:space="preserve">Use the avoidance mechanisms of ISO/IEC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09"/>
        </w:numPr>
      </w:pPr>
      <w:r>
        <w:t xml:space="preserve">Use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1"/>
        </w:numPr>
      </w:pPr>
      <w:r>
        <w:t xml:space="preserve">Avoid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2"/>
        </w:numPr>
      </w:pPr>
      <w:r>
        <w:t xml:space="preserve">Use the avoidance mechanisms of ISO/IEC 24772-1 clause 6.65.5: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2023-05-15T14:12:59Z</dcterms:created>
  <dcterms:modified xsi:type="dcterms:W3CDTF">2023-05-15T14:12:59Z</dcterms:modified>
</cp:coreProperties>
</file>

<file path=docProps/custom.xml><?xml version="1.0" encoding="utf-8"?>
<Properties xmlns="http://schemas.openxmlformats.org/officeDocument/2006/custom-properties" xmlns:vt="http://schemas.openxmlformats.org/officeDocument/2006/docPropsVTypes"/>
</file>