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SourceCode"/>
      </w:pPr>
      <w:r>
        <w:rPr>
          <w:rStyle w:val="VerbatimChar"/>
        </w:rPr>
        <w:t xml:space="preserve">  See Core Guideline.ES.1 (TBD)</w:t>
      </w:r>
    </w:p>
    <w:p>
      <w:pPr>
        <w:numPr>
          <w:ilvl w:val="0"/>
          <w:numId w:val="1041"/>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2"/>
        </w:numPr>
      </w:pPr>
      <w:r>
        <w:t xml:space="preserve">If a function-like macro must be used, ensure that its</w:t>
      </w:r>
      <w:r>
        <w:t xml:space="preserve"> </w:t>
      </w:r>
      <w:r>
        <w:t xml:space="preserve">parameters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8"/>
        </w:numPr>
        <w:pStyle w:val="Compact"/>
      </w:pPr>
      <w:r>
        <w:t xml:space="preserve">6.61 Concurrent Data Access,</w:t>
      </w:r>
    </w:p>
    <w:p>
      <w:pPr>
        <w:numPr>
          <w:ilvl w:val="0"/>
          <w:numId w:val="1128"/>
        </w:numPr>
        <w:pStyle w:val="Compact"/>
      </w:pPr>
      <w:r>
        <w:t xml:space="preserve">6.14 and 6.33 dangling of data reference, if data is passed to the thread function as reference or pointer, instead of passing a copy.</w:t>
      </w:r>
    </w:p>
    <w:p>
      <w:pPr>
        <w:numPr>
          <w:ilvl w:val="0"/>
          <w:numId w:val="112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2021-02-15T18:25:09Z</dcterms:created>
  <dcterms:modified xsi:type="dcterms:W3CDTF">2021-02-15T18:25:09Z</dcterms:modified>
</cp:coreProperties>
</file>

<file path=docProps/custom.xml><?xml version="1.0" encoding="utf-8"?>
<Properties xmlns="http://schemas.openxmlformats.org/officeDocument/2006/custom-properties" xmlns:vt="http://schemas.openxmlformats.org/officeDocument/2006/docPropsVTypes"/>
</file>