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 If the C standard library mechanisms are used to create threads, then the vulnerabilities apply as described in ISO/IEC 24772-3 clause 6.59.</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 - see clause 6.60</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will be ignored since not provided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w:t>
      </w:r>
      <w:r>
        <w:br/>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if stop_token.stop_requested had not been checked, other_function would continue to run until the program itself is terminated.</w:t>
      </w:r>
      <w:r>
        <w:t xml:space="preserve"> </w:t>
      </w: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 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arises only as part of the termination of the complete program resulting from an explicit call to a program-terminating function in any thread in the program or an implicit call on std::terminate, for example, as a result of an unhandled exception in any thread.</w:t>
      </w:r>
    </w:p>
    <w:p>
      <w:pPr>
        <w:pStyle w:val="BodyText"/>
      </w:pPr>
      <w:r>
        <w:t xml:space="preserve">If non-standard C++ concurrency is used, the vulnerability and avoidance mechanisms are as specified in ISO/IEC 24772-1 and ISO/IEC 24772-3.</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2024-07-08T15:47:59Z</dcterms:created>
  <dcterms:modified xsi:type="dcterms:W3CDTF">2024-07-08T15:47:59Z</dcterms:modified>
</cp:coreProperties>
</file>

<file path=docProps/custom.xml><?xml version="1.0" encoding="utf-8"?>
<Properties xmlns="http://schemas.openxmlformats.org/officeDocument/2006/custom-properties" xmlns:vt="http://schemas.openxmlformats.org/officeDocument/2006/docPropsVTypes"/>
</file>