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w:t>
      </w:r>
      <w:r>
        <w:t xml:space="preserve"> </w:t>
      </w:r>
      <w:r>
        <w:t xml:space="preserve">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SIDE NOTE: The this pointer in the constructor does not yet point to a fully constructed object (until the constructor returns). An example, might be best.</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w:t>
      </w:r>
      <w:r>
        <w:br/>
      </w:r>
      <w:r>
        <w:rPr>
          <w:rStyle w:val="VerbatimChar"/>
        </w:rPr>
        <w:t xml:space="preserve">teup about incomplete objects before or after their lifetime and related to translation units.[]{custom-style="annotation reference"}*[]{custom-style="annotation reference"}</w:t>
      </w:r>
      <w:r>
        <w:br/>
      </w:r>
      <w:r>
        <w:br/>
      </w:r>
      <w:r>
        <w:rPr>
          <w:rStyle w:val="VerbatimChar"/>
        </w:rPr>
        <w:t xml:space="preserve">// translation unit one.cpp...</w:t>
      </w:r>
      <w:r>
        <w:br/>
      </w:r>
      <w:r>
        <w:rPr>
          <w:rStyle w:val="VerbatimChar"/>
        </w:rPr>
        <w:t xml:space="preserve">struct A; // A's definition is incomplete</w:t>
      </w:r>
      <w:r>
        <w:br/>
      </w:r>
      <w:r>
        <w:rPr>
          <w:rStyle w:val="VerbatimChar"/>
        </w:rPr>
        <w:t xml:space="preserve">struct B; // B's definition is incomplete</w:t>
      </w:r>
      <w:r>
        <w:br/>
      </w:r>
      <w:r>
        <w:rPr>
          <w:rStyle w:val="VerbatimChar"/>
        </w:rPr>
        <w:t xml:space="preserve">extern B* foo(); // defined elsewhere</w:t>
      </w:r>
      <w:r>
        <w:br/>
      </w:r>
      <w:r>
        <w:br/>
      </w:r>
      <w:r>
        <w:rPr>
          <w:rStyle w:val="VerbatimChar"/>
        </w:rPr>
        <w:t xml:space="preserve">B* p = foo(); // okay</w:t>
      </w:r>
      <w:r>
        <w:br/>
      </w:r>
      <w:r>
        <w:rPr>
          <w:rStyle w:val="VerbatimChar"/>
        </w:rPr>
        <w:t xml:space="preserve">A* p2 = dynamic_cast&lt;A*&gt;(p); // compile-time error: dynamic_cast requries a complete type</w:t>
      </w:r>
      <w:r>
        <w:br/>
      </w:r>
      <w:r>
        <w:rPr>
          <w:rStyle w:val="VerbatimChar"/>
        </w:rPr>
        <w:t xml:space="preserve">A* p3 = static_cast&lt;A*&gt;(p); // compile-time error: static_cast effectively requires a complete type</w:t>
      </w:r>
      <w:r>
        <w:br/>
      </w:r>
      <w:r>
        <w:rPr>
          <w:rStyle w:val="VerbatimChar"/>
        </w:rPr>
        <w:t xml:space="preserve">A* p4 = reinterpret_cast&lt;A*&gt;(p); // possibly vulnerable</w:t>
      </w:r>
      <w:r>
        <w:br/>
      </w:r>
      <w:r>
        <w:rPr>
          <w:rStyle w:val="VerbatimChar"/>
        </w:rPr>
        <w:t xml:space="preserve">A* p5 = (A*)p; // C-style case, vulnerable</w:t>
      </w:r>
      <w:r>
        <w:br/>
      </w:r>
      <w:r>
        <w:br/>
      </w:r>
      <w:r>
        <w:rPr>
          <w:rStyle w:val="VerbatimChar"/>
        </w:rPr>
        <w:t xml:space="preserve">Presumably p4 is the issue to discuss? </w:t>
      </w:r>
      <w:r>
        <w:br/>
      </w:r>
      <w:r>
        <w:br/>
      </w:r>
      <w:r>
        <w:rPr>
          <w:rStyle w:val="VerbatimChar"/>
        </w:rPr>
        <w:t xml:space="preserve">What was the incomplete object lifetime issue wrt translation units because the only thing one can do outside a translation unit (with the pimpl idiom) is refer to the object as a pointer + reinterpret_cast.</w:t>
      </w:r>
      <w:r>
        <w:br/>
      </w:r>
      <w:r>
        <w:br/>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 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r>
        <w:t xml:space="preserve"> </w:t>
      </w:r>
      <w:r>
        <w:t xml:space="preserve">- is_pointer_interconvertible_base_of C++20 20.15.7 [meta.rel]</w:t>
      </w:r>
      <w:r>
        <w:t xml:space="preserve"> </w:t>
      </w:r>
      <w:r>
        <w:t xml:space="preserve">- is_pointer_interconvertible_with_class C++20 20.15.10</w:t>
      </w:r>
      <w:r>
        <w:t xml:space="preserve"> </w:t>
      </w:r>
      <w:r>
        <w:t xml:space="preserve">- is_corresponding_member C++20 20.15.10</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0"/>
        </w:numPr>
      </w:pPr>
      <w:r>
        <w:t xml:space="preserve">a and b are the same object,</w:t>
      </w:r>
    </w:p>
    <w:p>
      <w:pPr>
        <w:numPr>
          <w:ilvl w:val="0"/>
          <w:numId w:val="1030"/>
        </w:numPr>
      </w:pPr>
      <w:r>
        <w:t xml:space="preserve">either a or b is a standard-layout union object and the other is a</w:t>
      </w:r>
      <w:r>
        <w:t xml:space="preserve"> </w:t>
      </w:r>
      <w:r>
        <w:t xml:space="preserve">non-static data member of that object,</w:t>
      </w:r>
    </w:p>
    <w:p>
      <w:pPr>
        <w:numPr>
          <w:ilvl w:val="1"/>
          <w:numId w:val="1031"/>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0"/>
        </w:numPr>
      </w:pPr>
      <w:r>
        <w:t xml:space="preserve">either a or b is a standard-layout class object and the other is the</w:t>
      </w:r>
      <w:r>
        <w:t xml:space="preserve"> </w:t>
      </w:r>
      <w:r>
        <w:t xml:space="preserve">first non-static data member of that object,</w:t>
      </w:r>
    </w:p>
    <w:p>
      <w:pPr>
        <w:numPr>
          <w:ilvl w:val="1"/>
          <w:numId w:val="1032"/>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0"/>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3"/>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0"/>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4"/>
    <w:bookmarkStart w:id="65" w:name="guidance-to-language-users"/>
    <w:p>
      <w:pPr>
        <w:pStyle w:val="Heading3"/>
      </w:pPr>
      <w:r>
        <w:t xml:space="preserve">6.11.2 Guidance to language users</w:t>
      </w:r>
    </w:p>
    <w:p>
      <w:pPr>
        <w:numPr>
          <w:ilvl w:val="0"/>
          <w:numId w:val="1034"/>
        </w:numPr>
      </w:pPr>
      <w:r>
        <w:t xml:space="preserve">Follow the advice provided in ISO/IEC TR 24772-1:2019 clause 6.11.5.</w:t>
      </w:r>
    </w:p>
    <w:p>
      <w:pPr>
        <w:numPr>
          <w:ilvl w:val="0"/>
          <w:numId w:val="1034"/>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4"/>
        </w:numPr>
      </w:pPr>
      <w:r>
        <w:t xml:space="preserve">When downcasting or crosscasting, prefer</w:t>
      </w:r>
      <w:r>
        <w:t xml:space="preserve"> </w:t>
      </w:r>
      <w:r>
        <w:rPr>
          <w:rStyle w:val="KeywordTok"/>
        </w:rPr>
        <w:t xml:space="preserve">dynamic_cast</w:t>
      </w:r>
      <w:r>
        <w:t xml:space="preserve"> </w:t>
      </w:r>
      <w:r>
        <w:t xml:space="preserve">and explicitly handle the</w:t>
      </w:r>
      <w:r>
        <w:t xml:space="preserve"> </w:t>
      </w:r>
      <w:r>
        <w:t xml:space="preserve">possible failure cases.</w:t>
      </w:r>
    </w:p>
    <w:p>
      <w:pPr>
        <w:numPr>
          <w:ilvl w:val="1"/>
          <w:numId w:val="1035"/>
        </w:numPr>
        <w:pStyle w:val="SourceCode"/>
      </w:pPr>
      <w:r>
        <w:rPr>
          <w:rStyle w:val="VerbatimChar"/>
        </w:rPr>
        <w:t xml:space="preserve">  *C++ Core guidelines C.146, 1.47 and 1.48*</w:t>
      </w:r>
    </w:p>
    <w:p>
      <w:pPr>
        <w:numPr>
          <w:ilvl w:val="0"/>
          <w:numId w:val="1034"/>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w:t>
      </w:r>
    </w:p>
    <w:p>
      <w:pPr>
        <w:pStyle w:val="SourceCode"/>
      </w:pPr>
      <w:r>
        <w:rPr>
          <w:rStyle w:val="VerbatimChar"/>
        </w:rPr>
        <w:t xml:space="preserve">&lt;!--</w:t>
      </w:r>
      <w:r>
        <w:br/>
      </w:r>
      <w:r>
        <w:rPr>
          <w:rStyle w:val="VerbatimChar"/>
        </w:rPr>
        <w:t xml:space="preserve">-   Use `new` and `delete` to allocate/deallocate memory, rather than</w:t>
      </w:r>
      <w:r>
        <w:br/>
      </w:r>
      <w:r>
        <w:rPr>
          <w:rStyle w:val="VerbatimChar"/>
        </w:rPr>
        <w:t xml:space="preserve">    `malloc()`/`free()`.</w:t>
      </w:r>
      <w:r>
        <w:br/>
      </w:r>
      <w:r>
        <w:br/>
      </w:r>
      <w:r>
        <w:rPr>
          <w:rStyle w:val="VerbatimChar"/>
        </w:rPr>
        <w:t xml:space="preserve">    -       EXP51-CPP. Do not delete an array through a pointer of the</w:t>
      </w:r>
      <w:r>
        <w:br/>
      </w:r>
      <w:r>
        <w:rPr>
          <w:rStyle w:val="VerbatimChar"/>
        </w:rPr>
        <w:t xml:space="preserve">        incorrect type (implied by 6.11)</w:t>
      </w:r>
      <w:r>
        <w:br/>
      </w:r>
      <w:r>
        <w:rPr>
          <w:rStyle w:val="VerbatimChar"/>
        </w:rPr>
        <w:t xml:space="preserve">    </w:t>
      </w:r>
      <w:r>
        <w:br/>
      </w:r>
      <w:r>
        <w:rPr>
          <w:rStyle w:val="VerbatimChar"/>
        </w:rPr>
        <w:t xml:space="preserve">    -       EXP57-CPP. Do not cast or delete pointers to incomplete classes</w:t>
      </w:r>
      <w:r>
        <w:br/>
      </w:r>
      <w:r>
        <w:rPr>
          <w:rStyle w:val="VerbatimChar"/>
        </w:rPr>
        <w:t xml:space="preserve">        (-\&gt; 6.11)</w:t>
      </w:r>
      <w:r>
        <w:br/>
      </w:r>
      <w:r>
        <w:rPr>
          <w:rStyle w:val="VerbatimChar"/>
        </w:rPr>
        <w:t xml:space="preserve">    </w:t>
      </w:r>
      <w:r>
        <w:br/>
      </w:r>
      <w:r>
        <w:rPr>
          <w:rStyle w:val="VerbatimChar"/>
        </w:rPr>
        <w:t xml:space="preserve">    -       EXP36-C. Do not cast pointers into more strictly aligned pointer</w:t>
      </w:r>
      <w:r>
        <w:br/>
      </w:r>
      <w:r>
        <w:rPr>
          <w:rStyle w:val="VerbatimChar"/>
        </w:rPr>
        <w:t xml:space="preserve">        types (-\&gt; 6.11)</w:t>
      </w:r>
      <w:r>
        <w:br/>
      </w:r>
      <w:r>
        <w:rPr>
          <w:rStyle w:val="VerbatimChar"/>
        </w:rPr>
        <w:t xml:space="preserve">    </w:t>
      </w:r>
      <w:r>
        <w:br/>
      </w:r>
      <w:r>
        <w:rPr>
          <w:rStyle w:val="VerbatimChar"/>
        </w:rPr>
        <w:t xml:space="preserve">    -   </w:t>
      </w:r>
      <w:r>
        <w:br/>
      </w:r>
      <w:r>
        <w:br/>
      </w:r>
      <w:r>
        <w:rPr>
          <w:rStyle w:val="VerbatimChar"/>
        </w:rPr>
        <w:t xml:space="preserve">    -       MISRA C++ 10-1-1 - Classes should not be derived from virtual</w:t>
      </w:r>
      <w:r>
        <w:br/>
      </w:r>
      <w:r>
        <w:rPr>
          <w:rStyle w:val="VerbatimChar"/>
        </w:rPr>
        <w:t xml:space="preserve">        bases.</w:t>
      </w:r>
      <w:r>
        <w:br/>
      </w:r>
      <w:r>
        <w:rPr>
          <w:rStyle w:val="VerbatimChar"/>
        </w:rPr>
        <w:t xml:space="preserve">    </w:t>
      </w:r>
      <w:r>
        <w:br/>
      </w:r>
      <w:r>
        <w:rPr>
          <w:rStyle w:val="VerbatimChar"/>
        </w:rPr>
        <w:t xml:space="preserve">--&gt;</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6"/>
        </w:numPr>
      </w:pPr>
      <w:r>
        <w:t xml:space="preserve">Follow the guidance of clause 6.8.2. with respect to ordinary pointer arithmetic of a pointer to object.</w:t>
      </w:r>
    </w:p>
    <w:p>
      <w:pPr>
        <w:numPr>
          <w:ilvl w:val="0"/>
          <w:numId w:val="1036"/>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6"/>
        </w:numPr>
      </w:pPr>
      <w:r>
        <w:t xml:space="preserve">Compare pointers of unknown realm with the standard library comparison function objects instead of relational operators.</w:t>
      </w:r>
    </w:p>
    <w:p>
      <w:pPr>
        <w:numPr>
          <w:ilvl w:val="0"/>
          <w:numId w:val="1036"/>
        </w:numPr>
      </w:pPr>
      <w:r>
        <w:t xml:space="preserve">Consider an outright ban on pointer arithmetic due to the</w:t>
      </w:r>
      <w:r>
        <w:t xml:space="preserve"> </w:t>
      </w:r>
      <w:r>
        <w:t xml:space="preserve">error-prone nature of pointer arithmetic.</w:t>
      </w:r>
    </w:p>
    <w:p>
      <w:pPr>
        <w:numPr>
          <w:ilvl w:val="0"/>
          <w:numId w:val="1036"/>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3"/>
        </w:numPr>
      </w:pPr>
      <w:r>
        <w:t xml:space="preserve">Write accesses to objects in that expression,</w:t>
      </w:r>
    </w:p>
    <w:p>
      <w:pPr>
        <w:numPr>
          <w:ilvl w:val="0"/>
          <w:numId w:val="1053"/>
        </w:numPr>
      </w:pPr>
      <w:r>
        <w:t xml:space="preserve">Reading a volatile object,</w:t>
      </w:r>
    </w:p>
    <w:p>
      <w:pPr>
        <w:numPr>
          <w:ilvl w:val="0"/>
          <w:numId w:val="1053"/>
        </w:numPr>
      </w:pPr>
      <w:r>
        <w:t xml:space="preserve">Calling a library I/O function, and</w:t>
      </w:r>
    </w:p>
    <w:p>
      <w:pPr>
        <w:numPr>
          <w:ilvl w:val="0"/>
          <w:numId w:val="1053"/>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4"/>
        </w:numPr>
      </w:pPr>
      <w:r>
        <w:t xml:space="preserve">Follow the guidance provided in ISO/IEC TR 24772-1:2019 Clause</w:t>
      </w:r>
      <w:r>
        <w:t xml:space="preserve"> </w:t>
      </w:r>
      <w:r>
        <w:t xml:space="preserve">6.24.5.</w:t>
      </w:r>
    </w:p>
    <w:p>
      <w:pPr>
        <w:numPr>
          <w:ilvl w:val="0"/>
          <w:numId w:val="1054"/>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4"/>
        </w:numPr>
      </w:pPr>
      <w:r>
        <w:t xml:space="preserve">Avoid overloading logical operators (&amp;&amp; and ||), as these</w:t>
      </w:r>
      <w:r>
        <w:t xml:space="preserve"> </w:t>
      </w:r>
      <w:r>
        <w:t xml:space="preserve">overloaded versions will not short-circuit.</w:t>
      </w:r>
    </w:p>
    <w:p>
      <w:pPr>
        <w:numPr>
          <w:ilvl w:val="0"/>
          <w:numId w:val="1054"/>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4"/>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4"/>
        </w:numPr>
      </w:pPr>
      <w:r>
        <w:t xml:space="preserve">Avoid placing multiple operations with side effects in a single</w:t>
      </w:r>
      <w:r>
        <w:t xml:space="preserve"> </w:t>
      </w:r>
      <w:r>
        <w:t xml:space="preserve">expression.</w:t>
      </w:r>
    </w:p>
    <w:p>
      <w:pPr>
        <w:numPr>
          <w:ilvl w:val="0"/>
          <w:numId w:val="1054"/>
        </w:numPr>
      </w:pPr>
      <w:r>
        <w:t xml:space="preserve">Write simple code expressions and statements so that within any</w:t>
      </w:r>
      <w:r>
        <w:t xml:space="preserve"> </w:t>
      </w:r>
      <w:r>
        <w:t xml:space="preserve">expression or statement an object is one of:</w:t>
      </w:r>
    </w:p>
    <w:p>
      <w:pPr>
        <w:numPr>
          <w:ilvl w:val="1"/>
          <w:numId w:val="1055"/>
        </w:numPr>
        <w:pStyle w:val="SourceCode"/>
      </w:pPr>
      <w:r>
        <w:rPr>
          <w:rStyle w:val="VerbatimChar"/>
        </w:rPr>
        <w:t xml:space="preserve">  Read from;</w:t>
      </w:r>
    </w:p>
    <w:p>
      <w:pPr>
        <w:numPr>
          <w:ilvl w:val="1"/>
          <w:numId w:val="1055"/>
        </w:numPr>
        <w:pStyle w:val="SourceCode"/>
      </w:pPr>
      <w:r>
        <w:rPr>
          <w:rStyle w:val="VerbatimChar"/>
        </w:rPr>
        <w:t xml:space="preserve">  Only modified once; or</w:t>
      </w:r>
    </w:p>
    <w:p>
      <w:pPr>
        <w:numPr>
          <w:ilvl w:val="1"/>
          <w:numId w:val="1055"/>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4"/>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6"/>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6"/>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6"/>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6"/>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7"/>
        </w:numPr>
      </w:pPr>
      <w:r>
        <w:t xml:space="preserve">Simplify expressions to aid in code readability and help future maintainers</w:t>
      </w:r>
      <w:r>
        <w:t xml:space="preserve"> </w:t>
      </w:r>
      <w:r>
        <w:t xml:space="preserve">understand the intent and nuances of the code. For example,</w:t>
      </w:r>
    </w:p>
    <w:p>
      <w:pPr>
        <w:numPr>
          <w:ilvl w:val="1"/>
          <w:numId w:val="1058"/>
        </w:numPr>
        <w:pStyle w:val="Compact"/>
      </w:pPr>
      <w:r>
        <w:t xml:space="preserve">by extracting intermediate results into const variables with a meaningful name, or</w:t>
      </w:r>
    </w:p>
    <w:p>
      <w:pPr>
        <w:numPr>
          <w:ilvl w:val="1"/>
          <w:numId w:val="1058"/>
        </w:numPr>
        <w:pStyle w:val="Compact"/>
      </w:pPr>
      <w:r>
        <w:t xml:space="preserve">by extracting a subexpression into a function with a meaningful name.</w:t>
      </w:r>
    </w:p>
    <w:p>
      <w:pPr>
        <w:numPr>
          <w:ilvl w:val="0"/>
          <w:numId w:val="1057"/>
        </w:numPr>
      </w:pPr>
      <w:r>
        <w:t xml:space="preserve">Avoid assignments embedded within other statements and expressions, as these can</w:t>
      </w:r>
      <w:r>
        <w:t xml:space="preserve"> </w:t>
      </w:r>
      <w:r>
        <w:t xml:space="preserve">be problematic.</w:t>
      </w:r>
    </w:p>
    <w:p>
      <w:pPr>
        <w:numPr>
          <w:ilvl w:val="0"/>
          <w:numId w:val="1057"/>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7"/>
        </w:numPr>
      </w:pPr>
      <w:r>
        <w:t xml:space="preserve">Consider using alternative tokens for the logical operators.</w:t>
      </w:r>
    </w:p>
    <w:p>
      <w:pPr>
        <w:numPr>
          <w:ilvl w:val="0"/>
          <w:numId w:val="1057"/>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7"/>
        </w:numPr>
      </w:pPr>
      <w:r>
        <w:t xml:space="preserve">Do not have conflicting side-effects in sub-expressions.</w:t>
      </w:r>
    </w:p>
    <w:p>
      <w:pPr>
        <w:numPr>
          <w:ilvl w:val="0"/>
          <w:numId w:val="1057"/>
        </w:numPr>
      </w:pPr>
      <w:r>
        <w:t xml:space="preserve">Follow the following C++ Core guidelines:</w:t>
      </w:r>
    </w:p>
    <w:p>
      <w:pPr>
        <w:numPr>
          <w:ilvl w:val="1"/>
          <w:numId w:val="1059"/>
        </w:numPr>
        <w:pStyle w:val="Compact"/>
      </w:pPr>
      <w:r>
        <w:t xml:space="preserve">ES 40 Avoid complicated expressions</w:t>
      </w:r>
    </w:p>
    <w:p>
      <w:pPr>
        <w:numPr>
          <w:ilvl w:val="1"/>
          <w:numId w:val="1059"/>
        </w:numPr>
        <w:pStyle w:val="Compact"/>
      </w:pPr>
      <w:r>
        <w:t xml:space="preserve">ES 41 If in doubt about operator precedence, parenthesize</w:t>
      </w:r>
    </w:p>
    <w:p>
      <w:pPr>
        <w:numPr>
          <w:ilvl w:val="1"/>
          <w:numId w:val="1059"/>
        </w:numPr>
        <w:pStyle w:val="Compact"/>
      </w:pPr>
      <w:r>
        <w:t xml:space="preserve">ES 44 Do not depend on order of evaluation</w:t>
      </w:r>
    </w:p>
    <w:p>
      <w:pPr>
        <w:numPr>
          <w:ilvl w:val="0"/>
          <w:numId w:val="1057"/>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60"/>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61"/>
        </w:numPr>
      </w:pPr>
      <w:r>
        <w:t xml:space="preserve">Apply the guidance provided in ISO/IEC TR 24772-1:2019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62"/>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3"/>
        </w:numPr>
      </w:pPr>
      <w:r>
        <w:t xml:space="preserve">Declare loop variables in the initializer of the loop statement</w:t>
      </w:r>
    </w:p>
    <w:p>
      <w:pPr>
        <w:numPr>
          <w:ilvl w:val="0"/>
          <w:numId w:val="1063"/>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4"/>
        </w:numPr>
      </w:pPr>
      <w:r>
        <w:t xml:space="preserve">Apply the guidance of ISO/IEC TR 24772-1:2019 clause 6.29.5.</w:t>
      </w:r>
    </w:p>
    <w:p>
      <w:pPr>
        <w:numPr>
          <w:ilvl w:val="0"/>
          <w:numId w:val="1064"/>
        </w:numPr>
      </w:pPr>
      <w:r>
        <w:t xml:space="preserve">Do not modify a loop control variable within a loop.</w:t>
      </w:r>
    </w:p>
    <w:p>
      <w:pPr>
        <w:numPr>
          <w:ilvl w:val="0"/>
          <w:numId w:val="1064"/>
        </w:numPr>
      </w:pPr>
      <w:r>
        <w:t xml:space="preserve">Use a range-for loop in preference to general loops.</w:t>
      </w:r>
    </w:p>
    <w:p>
      <w:pPr>
        <w:numPr>
          <w:ilvl w:val="0"/>
          <w:numId w:val="1064"/>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5"/>
        </w:numPr>
      </w:pPr>
      <w:r>
        <w:t xml:space="preserve">Range-based for loops</w:t>
      </w:r>
    </w:p>
    <w:p>
      <w:pPr>
        <w:numPr>
          <w:ilvl w:val="0"/>
          <w:numId w:val="1065"/>
        </w:numPr>
      </w:pPr>
      <w:r>
        <w:rPr>
          <w:rStyle w:val="NormalTok"/>
        </w:rPr>
        <w:t xml:space="preserve">std</w:t>
      </w:r>
      <w:r>
        <w:t xml:space="preserve"> </w:t>
      </w:r>
      <w:r>
        <w:t xml:space="preserve">algorithms</w:t>
      </w:r>
    </w:p>
    <w:p>
      <w:pPr>
        <w:numPr>
          <w:ilvl w:val="0"/>
          <w:numId w:val="1065"/>
        </w:numPr>
      </w:pPr>
      <w:r>
        <w:t xml:space="preserve">Iterator style loops terminated by</w:t>
      </w:r>
      <w:r>
        <w:t xml:space="preserve"> </w:t>
      </w:r>
      <w:r>
        <w:rPr>
          <w:rStyle w:val="NormalTok"/>
        </w:rPr>
        <w:t xml:space="preserve">!=</w:t>
      </w:r>
    </w:p>
    <w:p>
      <w:pPr>
        <w:numPr>
          <w:ilvl w:val="0"/>
          <w:numId w:val="1065"/>
        </w:numPr>
      </w:pPr>
      <w:r>
        <w:t xml:space="preserve">Container classes</w:t>
      </w:r>
    </w:p>
    <w:p>
      <w:pPr>
        <w:numPr>
          <w:ilvl w:val="0"/>
          <w:numId w:val="1065"/>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6"/>
        </w:numPr>
      </w:pPr>
      <w:r>
        <w:t xml:space="preserve">Follow the guidance of ISO/IEC TR 24772-1:2019 clause 6.30.5.</w:t>
      </w:r>
    </w:p>
    <w:p>
      <w:pPr>
        <w:numPr>
          <w:ilvl w:val="0"/>
          <w:numId w:val="1066"/>
        </w:numPr>
      </w:pPr>
      <w:r>
        <w:t xml:space="preserve">Use careful programming, testing of border conditions, and static</w:t>
      </w:r>
      <w:r>
        <w:t xml:space="preserve"> </w:t>
      </w:r>
      <w:r>
        <w:t xml:space="preserve">analysis tools to detect off-by-one errors in C++.</w:t>
      </w:r>
    </w:p>
    <w:p>
      <w:pPr>
        <w:numPr>
          <w:ilvl w:val="0"/>
          <w:numId w:val="1066"/>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7"/>
        </w:numPr>
      </w:pPr>
      <w:r>
        <w:t xml:space="preserve">Write clear and concise structured code to make code as</w:t>
      </w:r>
      <w:r>
        <w:t xml:space="preserve"> </w:t>
      </w:r>
      <w:r>
        <w:t xml:space="preserve">understandable as possible.</w:t>
      </w:r>
    </w:p>
    <w:p>
      <w:pPr>
        <w:numPr>
          <w:ilvl w:val="0"/>
          <w:numId w:val="1067"/>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8"/>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9"/>
        </w:numPr>
        <w:pStyle w:val="Compact"/>
      </w:pPr>
      <w:r>
        <w:t xml:space="preserve">without a qualification a member function can be called on rvalues and non-const lvalues, and</w:t>
      </w:r>
    </w:p>
    <w:p>
      <w:pPr>
        <w:numPr>
          <w:ilvl w:val="0"/>
          <w:numId w:val="1069"/>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70"/>
        </w:numPr>
      </w:pPr>
      <w:r>
        <w:t xml:space="preserve">Follow the advice of ISO/IEC TR 24772-1:2019 clause 6.32.5.</w:t>
      </w:r>
    </w:p>
    <w:p>
      <w:pPr>
        <w:numPr>
          <w:ilvl w:val="0"/>
          <w:numId w:val="1070"/>
        </w:numPr>
      </w:pPr>
      <w:r>
        <w:t xml:space="preserve">Prefer pass-by-value and pass-by-const-reference over other means of</w:t>
      </w:r>
      <w:r>
        <w:t xml:space="preserve"> </w:t>
      </w:r>
      <w:r>
        <w:t xml:space="preserve">parameter declaration.</w:t>
      </w:r>
    </w:p>
    <w:p>
      <w:pPr>
        <w:numPr>
          <w:ilvl w:val="0"/>
          <w:numId w:val="1070"/>
        </w:numPr>
      </w:pPr>
      <w:r>
        <w:t xml:space="preserve">Prefer reference parameters over corresponding pointer parameters.</w:t>
      </w:r>
    </w:p>
    <w:p>
      <w:pPr>
        <w:numPr>
          <w:ilvl w:val="0"/>
          <w:numId w:val="1070"/>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0"/>
        </w:numPr>
      </w:pPr>
      <w:r>
        <w:t xml:space="preserve">Always reassign a variable passed by rvalue-reference before subsequent use after the call.</w:t>
      </w:r>
    </w:p>
    <w:p>
      <w:pPr>
        <w:numPr>
          <w:ilvl w:val="0"/>
          <w:numId w:val="1070"/>
        </w:numPr>
      </w:pPr>
      <w:r>
        <w:t xml:space="preserve">Use forwarding reference parameters only,</w:t>
      </w:r>
      <w:r>
        <w:t xml:space="preserve"> </w:t>
      </w:r>
      <w:r>
        <w:t xml:space="preserve">if perfect forwarding is needed in the body of a function template or generic lambda.</w:t>
      </w:r>
    </w:p>
    <w:p>
      <w:pPr>
        <w:numPr>
          <w:ilvl w:val="0"/>
          <w:numId w:val="1070"/>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0"/>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0"/>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1"/>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1"/>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1"/>
        </w:numPr>
      </w:pPr>
      <w:r>
        <w:t xml:space="preserve">Shift operators used for input and output: the result always refers</w:t>
      </w:r>
      <w:r>
        <w:t xml:space="preserve"> </w:t>
      </w:r>
      <w:r>
        <w:t xml:space="preserve">to the left parameter.</w:t>
      </w:r>
    </w:p>
    <w:p>
      <w:pPr>
        <w:numPr>
          <w:ilvl w:val="1"/>
          <w:numId w:val="1071"/>
        </w:numPr>
      </w:pPr>
      <w:r>
        <w:t xml:space="preserve">Prefix increment and decrement operators: the result always refers</w:t>
      </w:r>
      <w:r>
        <w:t xml:space="preserve"> </w:t>
      </w:r>
      <w:r>
        <w:t xml:space="preserve">to the parameter.</w:t>
      </w:r>
    </w:p>
    <w:p>
      <w:pPr>
        <w:numPr>
          <w:ilvl w:val="0"/>
          <w:numId w:val="1070"/>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7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2"/>
        </w:numPr>
      </w:pPr>
      <w:r>
        <w:t xml:space="preserve">Do not returning the address or reference of a local variable as the result of a</w:t>
      </w:r>
      <w:r>
        <w:t xml:space="preserve"> </w:t>
      </w:r>
      <w:r>
        <w:t xml:space="preserve">function call.</w:t>
      </w:r>
    </w:p>
    <w:p>
      <w:pPr>
        <w:numPr>
          <w:ilvl w:val="0"/>
          <w:numId w:val="107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2"/>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3"/>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4"/>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5"/>
        </w:numPr>
      </w:pPr>
      <w:r>
        <w:t xml:space="preserve">Follow the guidelines of ISO/IEC TR 24772-1:2019 clause 6.34.5.</w:t>
      </w:r>
    </w:p>
    <w:p>
      <w:pPr>
        <w:numPr>
          <w:ilvl w:val="0"/>
          <w:numId w:val="1075"/>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5"/>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6"/>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7"/>
        </w:numPr>
      </w:pPr>
      <w:r>
        <w:t xml:space="preserve">Follow the mitigation mechanisms of subclause 6.36.5 of ISO/IEC TR</w:t>
      </w:r>
      <w:r>
        <w:t xml:space="preserve"> </w:t>
      </w:r>
      <w:r>
        <w:t xml:space="preserve">24772-1:2019.</w:t>
      </w:r>
    </w:p>
    <w:p>
      <w:pPr>
        <w:numPr>
          <w:ilvl w:val="0"/>
          <w:numId w:val="1077"/>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7"/>
        </w:numPr>
      </w:pPr>
      <w:r>
        <w:t xml:space="preserve">Avoid error handling based on global state.</w:t>
      </w:r>
    </w:p>
    <w:p>
      <w:pPr>
        <w:numPr>
          <w:ilvl w:val="0"/>
          <w:numId w:val="1077"/>
        </w:numPr>
      </w:pPr>
      <w:r>
        <w:t xml:space="preserve">Use static analysis tools to detect and report missing or</w:t>
      </w:r>
      <w:r>
        <w:t xml:space="preserve"> </w:t>
      </w:r>
      <w:r>
        <w:t xml:space="preserve">ineffective error detection or handling.</w:t>
      </w:r>
    </w:p>
    <w:p>
      <w:pPr>
        <w:numPr>
          <w:ilvl w:val="0"/>
          <w:numId w:val="107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7"/>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7"/>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7"/>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7"/>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7"/>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8"/>
        </w:numPr>
      </w:pPr>
      <w:r>
        <w:t xml:space="preserve">Follow the guidelines of ISO/IEC TR 24772-1:2019 clause 6.38.5.</w:t>
      </w:r>
    </w:p>
    <w:p>
      <w:pPr>
        <w:numPr>
          <w:ilvl w:val="0"/>
          <w:numId w:val="1078"/>
        </w:numPr>
      </w:pPr>
      <w:r>
        <w:t xml:space="preserve">When using unions, implement an explicit discriminant and check its</w:t>
      </w:r>
      <w:r>
        <w:t xml:space="preserve"> </w:t>
      </w:r>
      <w:r>
        <w:t xml:space="preserve">value before accessing the data in the union.</w:t>
      </w:r>
    </w:p>
    <w:p>
      <w:pPr>
        <w:numPr>
          <w:ilvl w:val="0"/>
          <w:numId w:val="107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9"/>
        </w:numPr>
      </w:pPr>
      <w:r>
        <w:t xml:space="preserve">Avoid the use of raw pointers with the copy operation and (finish or</w:t>
      </w:r>
      <w:r>
        <w:t xml:space="preserve"> </w:t>
      </w:r>
      <w:r>
        <w:t xml:space="preserve">delete)</w:t>
      </w:r>
    </w:p>
    <w:p>
      <w:pPr>
        <w:numPr>
          <w:ilvl w:val="0"/>
          <w:numId w:val="1079"/>
        </w:numPr>
      </w:pPr>
      <w:r>
        <w:t xml:space="preserve">Follow the guidance of C++ core guidelines C.20, C.22, C.32, C.67</w:t>
      </w:r>
    </w:p>
    <w:p>
      <w:pPr>
        <w:numPr>
          <w:ilvl w:val="0"/>
          <w:numId w:val="107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0"/>
        </w:numPr>
      </w:pPr>
      <w:r>
        <w:t xml:space="preserve">When an unhandled exception escapes its thread of execution</w:t>
      </w:r>
    </w:p>
    <w:p>
      <w:pPr>
        <w:numPr>
          <w:ilvl w:val="0"/>
          <w:numId w:val="108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1"/>
        </w:numPr>
      </w:pPr>
      <w:r>
        <w:t xml:space="preserve">Use containers and smart pointers in preference to direct (manual)</w:t>
      </w:r>
      <w:r>
        <w:t xml:space="preserve"> </w:t>
      </w:r>
      <w:r>
        <w:t xml:space="preserve">memory management.</w:t>
      </w:r>
    </w:p>
    <w:p>
      <w:pPr>
        <w:numPr>
          <w:ilvl w:val="0"/>
          <w:numId w:val="1081"/>
        </w:numPr>
      </w:pPr>
      <w:r>
        <w:t xml:space="preserve">Follow C++ Core guidelines section R and CERT MEM51.</w:t>
      </w:r>
    </w:p>
    <w:p>
      <w:pPr>
        <w:numPr>
          <w:ilvl w:val="0"/>
          <w:numId w:val="108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1"/>
        </w:numPr>
      </w:pPr>
      <w:r>
        <w:t xml:space="preserve">Use dynamic analysis tools to detect cycles.</w:t>
      </w:r>
    </w:p>
    <w:p>
      <w:pPr>
        <w:numPr>
          <w:ilvl w:val="0"/>
          <w:numId w:val="108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1"/>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2"/>
        </w:numPr>
      </w:pPr>
      <w:r>
        <w:t xml:space="preserve">They provide type safe generic in contrast to legacy void*-based or</w:t>
      </w:r>
      <w:r>
        <w:t xml:space="preserve"> </w:t>
      </w:r>
      <w:r>
        <w:t xml:space="preserve">macro-based genericity;</w:t>
      </w:r>
    </w:p>
    <w:p>
      <w:pPr>
        <w:numPr>
          <w:ilvl w:val="0"/>
          <w:numId w:val="1082"/>
        </w:numPr>
      </w:pPr>
      <w:r>
        <w:t xml:space="preserve">They have no runtime overhead for inline operations; and</w:t>
      </w:r>
    </w:p>
    <w:p>
      <w:pPr>
        <w:numPr>
          <w:ilvl w:val="0"/>
          <w:numId w:val="108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3"/>
        </w:numPr>
      </w:pPr>
      <w:r>
        <w:t xml:space="preserve">The program compiles and executes safely;</w:t>
      </w:r>
    </w:p>
    <w:p>
      <w:pPr>
        <w:numPr>
          <w:ilvl w:val="0"/>
          <w:numId w:val="1083"/>
        </w:numPr>
      </w:pPr>
      <w:r>
        <w:t xml:space="preserve">The program fails to compile; or</w:t>
      </w:r>
    </w:p>
    <w:p>
      <w:pPr>
        <w:numPr>
          <w:ilvl w:val="0"/>
          <w:numId w:val="108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4"/>
        </w:numPr>
      </w:pPr>
      <w:r>
        <w:t xml:space="preserve">the first template argument must be a forward iterator.</w:t>
      </w:r>
    </w:p>
    <w:p>
      <w:pPr>
        <w:numPr>
          <w:ilvl w:val="0"/>
          <w:numId w:val="108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5"/>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6"/>
        </w:numPr>
      </w:pPr>
      <w:r>
        <w:t xml:space="preserve">Consider using</w:t>
      </w:r>
      <w:r>
        <w:t xml:space="preserve"> </w:t>
      </w:r>
      <w:r>
        <w:rPr>
          <w:i/>
        </w:rPr>
        <w:t xml:space="preserve">concepts</w:t>
      </w:r>
      <w:r>
        <w:t xml:space="preserve"> </w:t>
      </w:r>
      <w:r>
        <w:t xml:space="preserve">for each template type parameter</w:t>
      </w:r>
    </w:p>
    <w:p>
      <w:pPr>
        <w:numPr>
          <w:ilvl w:val="0"/>
          <w:numId w:val="1086"/>
        </w:numPr>
        <w:pStyle w:val="SourceCode"/>
      </w:pPr>
      <w:r>
        <w:rPr>
          <w:rStyle w:val="VerbatimChar"/>
        </w:rPr>
        <w:t xml:space="preserve">  Create and use concepts that specify "meaningful" semantics</w:t>
      </w:r>
    </w:p>
    <w:p>
      <w:pPr>
        <w:numPr>
          <w:ilvl w:val="0"/>
          <w:numId w:val="108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8"/>
        </w:numPr>
      </w:pPr>
      <w:r>
        <w:t xml:space="preserve">For template specialization, declared the specialization:</w:t>
      </w:r>
    </w:p>
    <w:p>
      <w:pPr>
        <w:numPr>
          <w:ilvl w:val="1"/>
          <w:numId w:val="1089"/>
        </w:numPr>
      </w:pPr>
      <w:r>
        <w:t xml:space="preserve">In the same file as the primary template; or</w:t>
      </w:r>
    </w:p>
    <w:p>
      <w:pPr>
        <w:numPr>
          <w:ilvl w:val="1"/>
          <w:numId w:val="1089"/>
        </w:numPr>
      </w:pPr>
      <w:r>
        <w:t xml:space="preserve">In the same file as the user-defined type for which the</w:t>
      </w:r>
      <w:r>
        <w:t xml:space="preserve"> </w:t>
      </w:r>
      <w:r>
        <w:t xml:space="preserve">specialization is declared.</w:t>
      </w:r>
    </w:p>
    <w:p>
      <w:pPr>
        <w:numPr>
          <w:ilvl w:val="0"/>
          <w:numId w:val="1088"/>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1"/>
        </w:numPr>
        <w:pStyle w:val="SourceCode"/>
      </w:pPr>
      <w:r>
        <w:rPr>
          <w:rStyle w:val="VerbatimChar"/>
        </w:rPr>
        <w:t xml:space="preserve">  reduce the use of inheritance</w:t>
      </w:r>
    </w:p>
    <w:p>
      <w:pPr>
        <w:numPr>
          <w:ilvl w:val="0"/>
          <w:numId w:val="109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6"/>
        </w:numPr>
      </w:pPr>
      <w:r>
        <w:t xml:space="preserve">Guidance: Keep inheritance hierarchies short</w:t>
      </w:r>
    </w:p>
    <w:p>
      <w:pPr>
        <w:numPr>
          <w:ilvl w:val="0"/>
          <w:numId w:val="1096"/>
        </w:numPr>
      </w:pPr>
      <w:r>
        <w:t xml:space="preserve">Guidance: Qualify the program to invoke member functions in explicit</w:t>
      </w:r>
      <w:r>
        <w:t xml:space="preserve"> </w:t>
      </w:r>
      <w:r>
        <w:t xml:space="preserve">parent classes.</w:t>
      </w:r>
    </w:p>
    <w:p>
      <w:pPr>
        <w:numPr>
          <w:ilvl w:val="0"/>
          <w:numId w:val="109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7"/>
        </w:numPr>
      </w:pPr>
      <w:r>
        <w:t xml:space="preserve">Follow the guidance of ISO/IEC TR 24772-1:2019 clause 41.5.</w:t>
      </w:r>
    </w:p>
    <w:p>
      <w:pPr>
        <w:numPr>
          <w:ilvl w:val="0"/>
          <w:numId w:val="1097"/>
        </w:numPr>
      </w:pPr>
      <w:r>
        <w:t xml:space="preserve">Avoid the use of multiple inheritance whenever possible.</w:t>
      </w:r>
    </w:p>
    <w:p>
      <w:pPr>
        <w:numPr>
          <w:ilvl w:val="0"/>
          <w:numId w:val="1097"/>
        </w:numPr>
      </w:pPr>
      <w:r>
        <w:t xml:space="preserve">Avoid access to data components when getting and setting functions</w:t>
      </w:r>
      <w:r>
        <w:t xml:space="preserve"> </w:t>
      </w:r>
      <w:r>
        <w:t xml:space="preserve">are available for them.</w:t>
      </w:r>
    </w:p>
    <w:p>
      <w:pPr>
        <w:numPr>
          <w:ilvl w:val="0"/>
          <w:numId w:val="1097"/>
        </w:numPr>
      </w:pPr>
      <w:r>
        <w:t xml:space="preserve">Keep inheritance hierarchies short and narrow</w:t>
      </w:r>
    </w:p>
    <w:p>
      <w:pPr>
        <w:numPr>
          <w:ilvl w:val="0"/>
          <w:numId w:val="1097"/>
        </w:numPr>
      </w:pPr>
      <w:r>
        <w:t xml:space="preserve">Prefer non-virtual functions to virtual functions</w:t>
      </w:r>
    </w:p>
    <w:p>
      <w:pPr>
        <w:numPr>
          <w:ilvl w:val="0"/>
          <w:numId w:val="109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7"/>
        </w:numPr>
      </w:pPr>
      <w:r>
        <w:t xml:space="preserve">If any class invariant depends upon a value of a data member, then</w:t>
      </w:r>
      <w:r>
        <w:t xml:space="preserve"> </w:t>
      </w:r>
      <w:r>
        <w:t xml:space="preserve">make that member private</w:t>
      </w:r>
    </w:p>
    <w:p>
      <w:pPr>
        <w:numPr>
          <w:ilvl w:val="0"/>
          <w:numId w:val="1097"/>
        </w:numPr>
      </w:pPr>
      <w:r>
        <w:t xml:space="preserve">Make data members private and provide a public interface to access</w:t>
      </w:r>
      <w:r>
        <w:t xml:space="preserve"> </w:t>
      </w:r>
      <w:r>
        <w:t xml:space="preserve">them that preserves class invariants</w:t>
      </w:r>
    </w:p>
    <w:p>
      <w:pPr>
        <w:numPr>
          <w:ilvl w:val="0"/>
          <w:numId w:val="1097"/>
        </w:numPr>
      </w:pPr>
      <w:r>
        <w:t xml:space="preserve">Provide complete documentation of all encapsulated data, and how</w:t>
      </w:r>
      <w:r>
        <w:t xml:space="preserve"> </w:t>
      </w:r>
      <w:r>
        <w:t xml:space="preserve">each method affects that data for each object in the hierarchy.</w:t>
      </w:r>
    </w:p>
    <w:p>
      <w:pPr>
        <w:numPr>
          <w:ilvl w:val="0"/>
          <w:numId w:val="109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7"/>
        </w:numPr>
      </w:pPr>
      <w:r>
        <w:t xml:space="preserve">Provide a member function that provides versioning information for</w:t>
      </w:r>
      <w:r>
        <w:t xml:space="preserve"> </w:t>
      </w:r>
      <w:r>
        <w:t xml:space="preserve">each class.</w:t>
      </w:r>
    </w:p>
    <w:p>
      <w:pPr>
        <w:numPr>
          <w:ilvl w:val="0"/>
          <w:numId w:val="109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7"/>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8"/>
        </w:numPr>
      </w:pPr>
      <w:r>
        <w:t xml:space="preserve">Obey all preconditions and postconditions of each member function,</w:t>
      </w:r>
      <w:r>
        <w:t xml:space="preserve"> </w:t>
      </w:r>
      <w:r>
        <w:t xml:space="preserve">whether they are specified in the language or not.</w:t>
      </w:r>
    </w:p>
    <w:p>
      <w:pPr>
        <w:numPr>
          <w:ilvl w:val="0"/>
          <w:numId w:val="1098"/>
        </w:numPr>
      </w:pPr>
      <w:r>
        <w:t xml:space="preserve">Prohibit the strengthening of preconditions (specified or not) by</w:t>
      </w:r>
      <w:r>
        <w:t xml:space="preserve"> </w:t>
      </w:r>
      <w:r>
        <w:t xml:space="preserve">overriding member functions.</w:t>
      </w:r>
    </w:p>
    <w:p>
      <w:pPr>
        <w:numPr>
          <w:ilvl w:val="0"/>
          <w:numId w:val="1098"/>
        </w:numPr>
      </w:pPr>
      <w:r>
        <w:t xml:space="preserve">Prohibit the weakening of postconditions (specified or not) by</w:t>
      </w:r>
      <w:r>
        <w:t xml:space="preserve"> </w:t>
      </w:r>
      <w:r>
        <w:t xml:space="preserve">overriding member functions.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8"/>
        </w:numPr>
      </w:pPr>
      <w:r>
        <w:t xml:space="preserve">Use static analysis tools that identify misuse of inheritance in the</w:t>
      </w:r>
      <w:r>
        <w:t xml:space="preserve"> </w:t>
      </w:r>
      <w:r>
        <w:t xml:space="preserve">contract model.</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9"/>
        </w:numPr>
      </w:pPr>
      <w:r>
        <w:t xml:space="preserve">At a call site, consider whether virtual dispatch is desired. If</w:t>
      </w:r>
      <w:r>
        <w:t xml:space="preserve"> </w:t>
      </w:r>
      <w:r>
        <w:t xml:space="preserve">not, construct the call using the qualified name.</w:t>
      </w:r>
    </w:p>
    <w:p>
      <w:pPr>
        <w:numPr>
          <w:ilvl w:val="0"/>
          <w:numId w:val="109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1"/>
        </w:numPr>
      </w:pPr>
      <w:r>
        <w:t xml:space="preserve">are the only ones that can be performed implicitly</w:t>
      </w:r>
    </w:p>
    <w:p>
      <w:pPr>
        <w:numPr>
          <w:ilvl w:val="0"/>
          <w:numId w:val="1101"/>
        </w:numPr>
      </w:pPr>
      <w:r>
        <w:t xml:space="preserve">can cause object slicing</w:t>
      </w:r>
      <w:r>
        <w:t xml:space="preserve"> </w:t>
      </w:r>
      <w:r>
        <w:t xml:space="preserve">when a copy of a base class object is created from a derived class object.</w:t>
      </w:r>
    </w:p>
    <w:p>
      <w:pPr>
        <w:numPr>
          <w:ilvl w:val="0"/>
          <w:numId w:val="110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2"/>
        </w:numPr>
      </w:pPr>
      <w:r>
        <w:t xml:space="preserve">are explicit;</w:t>
      </w:r>
    </w:p>
    <w:p>
      <w:pPr>
        <w:numPr>
          <w:ilvl w:val="0"/>
          <w:numId w:val="1102"/>
        </w:numPr>
      </w:pPr>
      <w:r>
        <w:t xml:space="preserve">can be done safely with</w:t>
      </w:r>
      <w:r>
        <w:t xml:space="preserve"> </w:t>
      </w:r>
      <w:r>
        <w:rPr>
          <w:rStyle w:val="KeywordTok"/>
        </w:rPr>
        <w:t xml:space="preserve">dynamic_cast</w:t>
      </w:r>
    </w:p>
    <w:p>
      <w:pPr>
        <w:numPr>
          <w:ilvl w:val="0"/>
          <w:numId w:val="110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3"/>
        </w:numPr>
      </w:pPr>
      <w:r>
        <w:t xml:space="preserve">are explicit</w:t>
      </w:r>
    </w:p>
    <w:p>
      <w:pPr>
        <w:numPr>
          <w:ilvl w:val="0"/>
          <w:numId w:val="110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4"/>
        </w:numPr>
      </w:pPr>
      <w:r>
        <w:t xml:space="preserve">Follow the advice provided in ISO/IEC 24772-1 clause 6.44.5.</w:t>
      </w:r>
    </w:p>
    <w:p>
      <w:pPr>
        <w:numPr>
          <w:ilvl w:val="0"/>
          <w:numId w:val="110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4"/>
        </w:numPr>
      </w:pPr>
      <w:r>
        <w:t xml:space="preserve">Avoid designs relying on downcasts or crosscasts;</w:t>
      </w:r>
      <w:r>
        <w:t xml:space="preserve"> </w:t>
      </w:r>
      <w:r>
        <w:t xml:space="preserve">rely on proper virtual member functions in the base classes instead.</w:t>
      </w:r>
    </w:p>
    <w:p>
      <w:pPr>
        <w:numPr>
          <w:ilvl w:val="0"/>
          <w:numId w:val="1104"/>
        </w:numPr>
      </w:pPr>
      <w:r>
        <w:t xml:space="preserve">Avoid explicit upcast, rely on implicit conversion.</w:t>
      </w:r>
    </w:p>
    <w:p>
      <w:pPr>
        <w:numPr>
          <w:ilvl w:val="0"/>
          <w:numId w:val="110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6"/>
        </w:numPr>
      </w:pPr>
      <w:r>
        <w:t xml:space="preserve">Follow the guidelines of ISO/IEC TR 24772-1 clause 6.47.5.</w:t>
      </w:r>
    </w:p>
    <w:p>
      <w:pPr>
        <w:numPr>
          <w:ilvl w:val="0"/>
          <w:numId w:val="110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7"/>
        </w:numPr>
      </w:pPr>
      <w:r>
        <w:t xml:space="preserve">Follow the guidance contained in ISO/IEC TR 24772-1:2019 clause</w:t>
      </w:r>
      <w:r>
        <w:t xml:space="preserve"> </w:t>
      </w:r>
      <w:r>
        <w:t xml:space="preserve">6.47.5</w:t>
      </w:r>
    </w:p>
    <w:p>
      <w:pPr>
        <w:numPr>
          <w:ilvl w:val="0"/>
          <w:numId w:val="1107"/>
        </w:numPr>
      </w:pPr>
      <w:r>
        <w:t xml:space="preserve">Use standard layout types for the interoperable interfaces.</w:t>
      </w:r>
    </w:p>
    <w:p>
      <w:pPr>
        <w:numPr>
          <w:ilvl w:val="1"/>
          <w:numId w:val="110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7"/>
        </w:numPr>
      </w:pPr>
      <w:r>
        <w:t xml:space="preserve">Be aware that C++ exceptions are not usually compatible with</w:t>
      </w:r>
      <w:r>
        <w:t xml:space="preserve"> </w:t>
      </w:r>
      <w:r>
        <w:t xml:space="preserve">exceptions in other languages.</w:t>
      </w:r>
    </w:p>
    <w:p>
      <w:pPr>
        <w:numPr>
          <w:ilvl w:val="0"/>
          <w:numId w:val="110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9"/>
        </w:numPr>
      </w:pPr>
      <w:r>
        <w:t xml:space="preserve">Follow the guidance of ISO/IEC TR 24772-1:2019 clause 6.49.5.</w:t>
      </w:r>
    </w:p>
    <w:p>
      <w:pPr>
        <w:numPr>
          <w:ilvl w:val="0"/>
          <w:numId w:val="1109"/>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0"/>
        </w:numPr>
      </w:pPr>
      <w:r>
        <w:t xml:space="preserve">Follow the advice of clause 6.36.2 for catching and handling</w:t>
      </w:r>
      <w:r>
        <w:t xml:space="preserve"> </w:t>
      </w:r>
      <w:r>
        <w:t xml:space="preserve">exceptions.</w:t>
      </w:r>
    </w:p>
    <w:p>
      <w:pPr>
        <w:numPr>
          <w:ilvl w:val="0"/>
          <w:numId w:val="1110"/>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1"/>
        </w:numPr>
      </w:pPr>
      <w:r>
        <w:t xml:space="preserve">If a function-like macro must be used, ensure that its</w:t>
      </w:r>
      <w:r>
        <w:t xml:space="preserve"> </w:t>
      </w:r>
      <w:r>
        <w:t xml:space="preserve">parameters and body are parenthesized.</w:t>
      </w:r>
    </w:p>
    <w:p>
      <w:pPr>
        <w:numPr>
          <w:ilvl w:val="0"/>
          <w:numId w:val="1111"/>
        </w:numPr>
      </w:pPr>
      <w:r>
        <w:t xml:space="preserve">In a function-like macro, ensure that each argument is evaluated at</w:t>
      </w:r>
      <w:r>
        <w:t xml:space="preserve"> </w:t>
      </w:r>
      <w:r>
        <w:t xml:space="preserve">most once.</w:t>
      </w:r>
    </w:p>
    <w:p>
      <w:pPr>
        <w:numPr>
          <w:ilvl w:val="0"/>
          <w:numId w:val="111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2"/>
        </w:numPr>
      </w:pPr>
      <w:r>
        <w:t xml:space="preserve">Follow the guidelines of ISO/IEC TR 24772-1:2019 clause 6.53.5.</w:t>
      </w:r>
    </w:p>
    <w:p>
      <w:pPr>
        <w:numPr>
          <w:ilvl w:val="0"/>
          <w:numId w:val="1112"/>
        </w:numPr>
      </w:pPr>
      <w:r>
        <w:t xml:space="preserve">Enable checks that warn about unsafe operations.</w:t>
      </w:r>
    </w:p>
    <w:p>
      <w:pPr>
        <w:numPr>
          <w:ilvl w:val="0"/>
          <w:numId w:val="1112"/>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3"/>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4"/>
        </w:numPr>
      </w:pPr>
      <w:r>
        <w:t xml:space="preserve">Follow the guidelines of ISO/IEC TR 24772-1:2019 clause 6.56.5.</w:t>
      </w:r>
    </w:p>
    <w:p>
      <w:pPr>
        <w:numPr>
          <w:ilvl w:val="0"/>
          <w:numId w:val="1114"/>
        </w:numPr>
      </w:pPr>
      <w:r>
        <w:t xml:space="preserve">Augment static analysis tool usage with runtime tools such as ASAN</w:t>
      </w:r>
      <w:r>
        <w:t xml:space="preserve"> </w:t>
      </w:r>
      <w:r>
        <w:t xml:space="preserve">(address sanitizer) and related tools.</w:t>
      </w:r>
    </w:p>
    <w:p>
      <w:pPr>
        <w:numPr>
          <w:ilvl w:val="0"/>
          <w:numId w:val="1114"/>
        </w:numPr>
      </w:pPr>
      <w:r>
        <w:t xml:space="preserve">Use static analysis tools to help identify occurrences of undefined</w:t>
      </w:r>
      <w:r>
        <w:t xml:space="preserve"> </w:t>
      </w:r>
      <w:r>
        <w:t xml:space="preserve">behaviour.</w:t>
      </w:r>
    </w:p>
    <w:p>
      <w:pPr>
        <w:numPr>
          <w:ilvl w:val="0"/>
          <w:numId w:val="111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5"/>
        </w:numPr>
      </w:pPr>
      <w:r>
        <w:t xml:space="preserve">Follow the guidelines of ISO/IEC TR 24772-1:2019 clause 6.57.5.</w:t>
      </w:r>
    </w:p>
    <w:p>
      <w:pPr>
        <w:numPr>
          <w:ilvl w:val="0"/>
          <w:numId w:val="111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5"/>
        </w:numPr>
      </w:pPr>
      <w:r>
        <w:t xml:space="preserve">Use multiple compilers/tools to increase your chance of identifying</w:t>
      </w:r>
      <w:r>
        <w:t xml:space="preserve"> </w:t>
      </w:r>
      <w:r>
        <w:t xml:space="preserve">constructs that have implementation-defined behaviours.</w:t>
      </w:r>
    </w:p>
    <w:p>
      <w:pPr>
        <w:numPr>
          <w:ilvl w:val="0"/>
          <w:numId w:val="111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6"/>
        </w:numPr>
      </w:pPr>
      <w:r>
        <w:t xml:space="preserve">Follow the guidelines of ISO/IEC TR 24772-1 clause 6.58.5.</w:t>
      </w:r>
    </w:p>
    <w:p>
      <w:pPr>
        <w:numPr>
          <w:ilvl w:val="0"/>
          <w:numId w:val="1116"/>
        </w:numPr>
      </w:pPr>
      <w:r>
        <w:t xml:space="preserve">Enable compiler options or static analysis tools that identify the</w:t>
      </w:r>
      <w:r>
        <w:t xml:space="preserve"> </w:t>
      </w:r>
      <w:r>
        <w:t xml:space="preserve">use of deprecated features.</w:t>
      </w:r>
    </w:p>
    <w:p>
      <w:pPr>
        <w:numPr>
          <w:ilvl w:val="0"/>
          <w:numId w:val="111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7"/>
        </w:numPr>
        <w:pStyle w:val="Compact"/>
      </w:pPr>
      <w:r>
        <w:t xml:space="preserve">6.61 Concurrent Data Access,</w:t>
      </w:r>
    </w:p>
    <w:p>
      <w:pPr>
        <w:numPr>
          <w:ilvl w:val="0"/>
          <w:numId w:val="1117"/>
        </w:numPr>
        <w:pStyle w:val="Compact"/>
      </w:pPr>
      <w:r>
        <w:t xml:space="preserve">6.14 and 6.33 dangling of data reference, if data is passed to the thread function as reference or pointer, instead of passing a copy.</w:t>
      </w:r>
    </w:p>
    <w:p>
      <w:pPr>
        <w:numPr>
          <w:ilvl w:val="0"/>
          <w:numId w:val="111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8"/>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9"/>
        </w:numPr>
      </w:pPr>
      <w:r>
        <w:t xml:space="preserve">Follow the guidance of ISO/IEC TR 24772-1 clause 6.62.5.</w:t>
      </w:r>
    </w:p>
    <w:p>
      <w:pPr>
        <w:numPr>
          <w:ilvl w:val="0"/>
          <w:numId w:val="1119"/>
        </w:numPr>
      </w:pPr>
      <w:r>
        <w:t xml:space="preserve">Use mutexes, condition variables (convar) in preference to atomic</w:t>
      </w:r>
      <w:r>
        <w:t xml:space="preserve"> </w:t>
      </w:r>
      <w:r>
        <w:t xml:space="preserve">variables to protect data from simultaneous access.</w:t>
      </w:r>
    </w:p>
    <w:p>
      <w:pPr>
        <w:numPr>
          <w:ilvl w:val="0"/>
          <w:numId w:val="1119"/>
        </w:numPr>
      </w:pPr>
      <w:r>
        <w:t xml:space="preserve">Use volatile only for synchronizing abstract machine state from</w:t>
      </w:r>
      <w:r>
        <w:t xml:space="preserve"> </w:t>
      </w:r>
      <w:r>
        <w:t xml:space="preserve">memory.</w:t>
      </w:r>
    </w:p>
    <w:p>
      <w:pPr>
        <w:numPr>
          <w:ilvl w:val="0"/>
          <w:numId w:val="1119"/>
        </w:numPr>
      </w:pPr>
      <w:r>
        <w:t xml:space="preserve">Avoid the use of volatile for synchronizing access to shared memory</w:t>
      </w:r>
      <w:r>
        <w:t xml:space="preserve"> </w:t>
      </w:r>
      <w:r>
        <w:t xml:space="preserve">between threads (which needs mutex, condvar, or atomics)</w:t>
      </w:r>
    </w:p>
    <w:p>
      <w:pPr>
        <w:numPr>
          <w:ilvl w:val="1"/>
          <w:numId w:val="112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9"/>
        </w:numPr>
      </w:pPr>
      <w:r>
        <w:t xml:space="preserve">Avoid relaxed atomic operations whenever possible. Prefer the</w:t>
      </w:r>
      <w:r>
        <w:t xml:space="preserve"> </w:t>
      </w:r>
      <w:r>
        <w:t xml:space="preserve">sequentially consistent std::memory_order_seq_cst instead .</w:t>
      </w:r>
    </w:p>
    <w:p>
      <w:pPr>
        <w:numPr>
          <w:ilvl w:val="0"/>
          <w:numId w:val="1119"/>
        </w:numPr>
      </w:pPr>
      <w:r>
        <w:t xml:space="preserve">Use mutexes appropriately to protect accesses to non-atomic shared</w:t>
      </w:r>
      <w:r>
        <w:t xml:space="preserve"> </w:t>
      </w:r>
      <w:r>
        <w:t xml:space="preserve">objects.</w:t>
      </w:r>
    </w:p>
    <w:p>
      <w:pPr>
        <w:numPr>
          <w:ilvl w:val="0"/>
          <w:numId w:val="111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1"/>
        </w:numPr>
      </w:pPr>
      <w:r>
        <w:t xml:space="preserve">Follow the guidelines of TR 24772-1 clause 6.63.5.</w:t>
      </w:r>
    </w:p>
    <w:p>
      <w:pPr>
        <w:numPr>
          <w:ilvl w:val="0"/>
          <w:numId w:val="1121"/>
        </w:numPr>
      </w:pPr>
      <w:r>
        <w:t xml:space="preserve">Use low-level operating system primitives or other APIs where</w:t>
      </w:r>
      <w:r>
        <w:t xml:space="preserve"> </w:t>
      </w:r>
      <w:r>
        <w:t xml:space="preserve">available to check that a required thread is still active.</w:t>
      </w:r>
    </w:p>
    <w:p>
      <w:pPr>
        <w:numPr>
          <w:ilvl w:val="0"/>
          <w:numId w:val="1121"/>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2"/>
        </w:numPr>
      </w:pPr>
      <w:r>
        <w:t xml:space="preserve">Follow the guidelines of TR 24772-1 clause 6.63.5.</w:t>
      </w:r>
    </w:p>
    <w:p>
      <w:pPr>
        <w:numPr>
          <w:ilvl w:val="0"/>
          <w:numId w:val="112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2"/>
        </w:numPr>
      </w:pPr>
      <w:r>
        <w:t xml:space="preserve">Use higher level building blocks (such as TBB) in preference to …</w:t>
      </w:r>
    </w:p>
    <w:p>
      <w:pPr>
        <w:numPr>
          <w:ilvl w:val="0"/>
          <w:numId w:val="1122"/>
        </w:numPr>
      </w:pPr>
      <w:r>
        <w:t xml:space="preserve">Use the C++ Task mechanism in preference to threads …</w:t>
      </w:r>
    </w:p>
    <w:p>
      <w:pPr>
        <w:numPr>
          <w:ilvl w:val="0"/>
          <w:numId w:val="112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2"/>
        </w:numPr>
      </w:pPr>
      <w:r>
        <w:rPr>
          <w:i/>
          <w:b/>
        </w:rPr>
        <w:t xml:space="preserve">Do not use platform specific multi-threading facilities</w:t>
      </w:r>
    </w:p>
    <w:p>
      <w:pPr>
        <w:numPr>
          <w:ilvl w:val="0"/>
          <w:numId w:val="1122"/>
        </w:numPr>
      </w:pPr>
      <w:r>
        <w:rPr>
          <w:i/>
          <w:b/>
        </w:rPr>
        <w:t xml:space="preserve">A thread shall not access objects whose lifetime has expired</w:t>
      </w:r>
    </w:p>
    <w:p>
      <w:pPr>
        <w:numPr>
          <w:ilvl w:val="0"/>
          <w:numId w:val="1122"/>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2"/>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2"/>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2"/>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2"/>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2"/>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2"/>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2"/>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2"/>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2"/>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2"/>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2"/>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2"/>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2"/>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2"/>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2"/>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2"/>
        </w:numPr>
      </w:pPr>
      <w:r>
        <w:t xml:space="preserve">0.10.2 [36] Source CCG Rule CP.101: Distrust your</w:t>
      </w:r>
      <w:r>
        <w:t xml:space="preserve"> </w:t>
      </w:r>
      <w:r>
        <w:t xml:space="preserve">hardware/compiler combination</w:t>
      </w:r>
    </w:p>
    <w:p>
      <w:pPr>
        <w:numPr>
          <w:ilvl w:val="0"/>
          <w:numId w:val="1122"/>
        </w:numPr>
      </w:pPr>
      <w:r>
        <w:t xml:space="preserve">0.10.3 [37] Source CCG Rule CP.102: Carefully study the literature</w:t>
      </w:r>
    </w:p>
    <w:p>
      <w:pPr>
        <w:numPr>
          <w:ilvl w:val="0"/>
          <w:numId w:val="1122"/>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2"/>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2"/>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3"/>
        </w:numPr>
      </w:pPr>
      <w:r>
        <w:t xml:space="preserve">Do not cast-away</w:t>
      </w:r>
      <w:r>
        <w:t xml:space="preserve"> </w:t>
      </w:r>
      <w:r>
        <w:rPr>
          <w:rStyle w:val="AttributeTok"/>
        </w:rPr>
        <w:t xml:space="preserve">const</w:t>
      </w:r>
      <w:r>
        <w:t xml:space="preserve">.</w:t>
      </w:r>
    </w:p>
    <w:p>
      <w:pPr>
        <w:numPr>
          <w:ilvl w:val="0"/>
          <w:numId w:val="112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3"/>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4"/>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2022-05-30T16:34:06Z</dcterms:created>
  <dcterms:modified xsi:type="dcterms:W3CDTF">2022-05-30T16:34:06Z</dcterms:modified>
</cp:coreProperties>
</file>

<file path=docProps/custom.xml><?xml version="1.0" encoding="utf-8"?>
<Properties xmlns="http://schemas.openxmlformats.org/officeDocument/2006/custom-properties" xmlns:vt="http://schemas.openxmlformats.org/officeDocument/2006/docPropsVTypes"/>
</file>