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VerbatimChar"/>
        </w:rPr>
        <w:t xml:space="preserve">std::string</w:t>
      </w:r>
      <w:r>
        <w:t xml:space="preserve">.</w:t>
      </w:r>
    </w:p>
    <w:p>
      <w:pPr>
        <w:numPr>
          <w:ilvl w:val="0"/>
          <w:numId w:val="1029"/>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SourceCode"/>
      </w:pPr>
      <w:r>
        <w:rPr>
          <w:rStyle w:val="VerbatimChar"/>
        </w:rPr>
        <w:t xml:space="preserve">  See Core Guideline.ES.1 (TBD)</w:t>
      </w:r>
    </w:p>
    <w:p>
      <w:pPr>
        <w:numPr>
          <w:ilvl w:val="0"/>
          <w:numId w:val="1041"/>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2"/>
        </w:numPr>
      </w:pPr>
      <w:r>
        <w:t xml:space="preserve">Follow the advice of ISO/IEC TR 24772-1:2019 clause 6.32.5.</w:t>
      </w:r>
    </w:p>
    <w:p>
      <w:pPr>
        <w:numPr>
          <w:ilvl w:val="0"/>
          <w:numId w:val="1082"/>
        </w:numPr>
      </w:pPr>
      <w:r>
        <w:t xml:space="preserve">Use caution for reevaluation of function calls in parameters with</w:t>
      </w:r>
      <w:r>
        <w:t xml:space="preserve"> </w:t>
      </w:r>
      <w:r>
        <w:t xml:space="preserve">macros.</w:t>
      </w:r>
    </w:p>
    <w:p>
      <w:pPr>
        <w:numPr>
          <w:ilvl w:val="0"/>
          <w:numId w:val="1082"/>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3"/>
        </w:numPr>
      </w:pPr>
      <w:r>
        <w:t xml:space="preserve">Do not return the address of a local variable as the result of a</w:t>
      </w:r>
      <w:r>
        <w:t xml:space="preserve"> </w:t>
      </w:r>
      <w:r>
        <w:t xml:space="preserve">function call.</w:t>
      </w:r>
    </w:p>
    <w:p>
      <w:pPr>
        <w:numPr>
          <w:ilvl w:val="0"/>
          <w:numId w:val="1083"/>
        </w:numPr>
      </w:pPr>
      <w:r>
        <w:t xml:space="preserve">Do not return a local variable as the result of a function returning</w:t>
      </w:r>
      <w:r>
        <w:t xml:space="preserve"> </w:t>
      </w:r>
      <w:r>
        <w:t xml:space="preserve">a reference type</w:t>
      </w:r>
    </w:p>
    <w:p>
      <w:pPr>
        <w:numPr>
          <w:ilvl w:val="0"/>
          <w:numId w:val="108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4"/>
        </w:numPr>
      </w:pPr>
      <w:r>
        <w:t xml:space="preserve">Follow the guidelines of ISO/IEC TR 24772-1:2019 clause 6.34.5.</w:t>
      </w:r>
    </w:p>
    <w:p>
      <w:pPr>
        <w:numPr>
          <w:ilvl w:val="0"/>
          <w:numId w:val="1084"/>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5"/>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6"/>
        </w:numPr>
      </w:pPr>
      <w:r>
        <w:t xml:space="preserve">Follow the mitigation mechanisms of subclause 6.36.5 of ISO/IEC TR</w:t>
      </w:r>
      <w:r>
        <w:t xml:space="preserve"> </w:t>
      </w:r>
      <w:r>
        <w:t xml:space="preserve">24772-1:2019.</w:t>
      </w:r>
    </w:p>
    <w:p>
      <w:pPr>
        <w:numPr>
          <w:ilvl w:val="0"/>
          <w:numId w:val="1086"/>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6"/>
        </w:numPr>
      </w:pPr>
      <w:r>
        <w:t xml:space="preserve">Use static analysis tools to detect and report missing or</w:t>
      </w:r>
      <w:r>
        <w:t xml:space="preserve"> </w:t>
      </w:r>
      <w:r>
        <w:t xml:space="preserve">ineffective error detection or handling.</w:t>
      </w:r>
    </w:p>
    <w:p>
      <w:pPr>
        <w:numPr>
          <w:ilvl w:val="0"/>
          <w:numId w:val="1086"/>
        </w:numPr>
      </w:pPr>
      <w:r>
        <w:t xml:space="preserve">Avoid error handling based on global state.</w:t>
      </w:r>
    </w:p>
    <w:p>
      <w:pPr>
        <w:numPr>
          <w:ilvl w:val="0"/>
          <w:numId w:val="1086"/>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6"/>
        </w:numPr>
      </w:pPr>
      <w:r>
        <w:t xml:space="preserve">Prefer throwing exceptions to returning error values.</w:t>
      </w:r>
    </w:p>
    <w:p>
      <w:pPr>
        <w:numPr>
          <w:ilvl w:val="0"/>
          <w:numId w:val="1086"/>
        </w:numPr>
      </w:pPr>
      <w:r>
        <w:t xml:space="preserve">Use destructors to manage the finalization of the current context</w:t>
      </w:r>
      <w:r>
        <w:t xml:space="preserve"> </w:t>
      </w:r>
      <w:r>
        <w:t xml:space="preserve">upon exit, whether erroneous or not.</w:t>
      </w:r>
    </w:p>
    <w:p>
      <w:pPr>
        <w:numPr>
          <w:ilvl w:val="0"/>
          <w:numId w:val="1086"/>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6"/>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6"/>
        </w:numPr>
      </w:pPr>
      <w:r>
        <w:t xml:space="preserve">Consider termination as a last resort strategy for main or for</w:t>
      </w:r>
      <w:r>
        <w:t xml:space="preserve"> </w:t>
      </w:r>
      <w:r>
        <w:t xml:space="preserve">noexcept functions.</w:t>
      </w:r>
    </w:p>
    <w:p>
      <w:pPr>
        <w:numPr>
          <w:ilvl w:val="0"/>
          <w:numId w:val="1086"/>
        </w:numPr>
      </w:pPr>
      <w:r>
        <w:t xml:space="preserve">Notify higher level constructs before a thread is allowed to</w:t>
      </w:r>
      <w:r>
        <w:t xml:space="preserve"> </w:t>
      </w:r>
      <w:r>
        <w:t xml:space="preserve">terminate.</w:t>
      </w:r>
    </w:p>
    <w:p>
      <w:pPr>
        <w:numPr>
          <w:ilvl w:val="0"/>
          <w:numId w:val="1086"/>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7"/>
        </w:numPr>
      </w:pPr>
      <w:r>
        <w:t xml:space="preserve">Follow the guidelines of ISO/IEC TR 24772-1:2019 clause 6.38.5.</w:t>
      </w:r>
    </w:p>
    <w:p>
      <w:pPr>
        <w:numPr>
          <w:ilvl w:val="0"/>
          <w:numId w:val="1087"/>
        </w:numPr>
      </w:pPr>
      <w:r>
        <w:t xml:space="preserve">When using unions, implement an explicit discriminant and check its</w:t>
      </w:r>
      <w:r>
        <w:t xml:space="preserve"> </w:t>
      </w:r>
      <w:r>
        <w:t xml:space="preserve">value before accessing the data in the union.</w:t>
      </w:r>
    </w:p>
    <w:p>
      <w:pPr>
        <w:numPr>
          <w:ilvl w:val="0"/>
          <w:numId w:val="1087"/>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7"/>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8"/>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8"/>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8"/>
        </w:numPr>
      </w:pPr>
      <w:r>
        <w:t xml:space="preserve">Avoid the use of raw pointers with the copy operation and (finish or</w:t>
      </w:r>
      <w:r>
        <w:t xml:space="preserve"> </w:t>
      </w:r>
      <w:r>
        <w:t xml:space="preserve">delete)</w:t>
      </w:r>
    </w:p>
    <w:p>
      <w:pPr>
        <w:numPr>
          <w:ilvl w:val="0"/>
          <w:numId w:val="1088"/>
        </w:numPr>
      </w:pPr>
      <w:r>
        <w:t xml:space="preserve">Follow the guidance of C++ core guidelines C.20, C.22, C.32, C.67</w:t>
      </w:r>
    </w:p>
    <w:p>
      <w:pPr>
        <w:numPr>
          <w:ilvl w:val="0"/>
          <w:numId w:val="1088"/>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9"/>
        </w:numPr>
      </w:pPr>
      <w:r>
        <w:t xml:space="preserve">When an unhandled exception escapes its thread of execution</w:t>
      </w:r>
    </w:p>
    <w:p>
      <w:pPr>
        <w:numPr>
          <w:ilvl w:val="0"/>
          <w:numId w:val="1089"/>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0"/>
        </w:numPr>
      </w:pPr>
      <w:r>
        <w:t xml:space="preserve">Use containers and smart pointers in preference to direct (manual)</w:t>
      </w:r>
      <w:r>
        <w:t xml:space="preserve"> </w:t>
      </w:r>
      <w:r>
        <w:t xml:space="preserve">memory management.</w:t>
      </w:r>
    </w:p>
    <w:p>
      <w:pPr>
        <w:numPr>
          <w:ilvl w:val="0"/>
          <w:numId w:val="1090"/>
        </w:numPr>
      </w:pPr>
      <w:r>
        <w:t xml:space="preserve">Follow C++ Core guidelines section R and CERT MEM51.</w:t>
      </w:r>
    </w:p>
    <w:p>
      <w:pPr>
        <w:numPr>
          <w:ilvl w:val="0"/>
          <w:numId w:val="1090"/>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0"/>
        </w:numPr>
      </w:pPr>
      <w:r>
        <w:t xml:space="preserve">Use dynamic analysis tools to detect cycles.</w:t>
      </w:r>
    </w:p>
    <w:p>
      <w:pPr>
        <w:numPr>
          <w:ilvl w:val="0"/>
          <w:numId w:val="1090"/>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0"/>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0"/>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1"/>
        </w:numPr>
      </w:pPr>
      <w:r>
        <w:t xml:space="preserve">They provide type safe generic in contrast to legacy void*-based or</w:t>
      </w:r>
      <w:r>
        <w:t xml:space="preserve"> </w:t>
      </w:r>
      <w:r>
        <w:t xml:space="preserve">macro-based genericity;</w:t>
      </w:r>
    </w:p>
    <w:p>
      <w:pPr>
        <w:numPr>
          <w:ilvl w:val="0"/>
          <w:numId w:val="1091"/>
        </w:numPr>
      </w:pPr>
      <w:r>
        <w:t xml:space="preserve">They have no runtime overhead for inline operations; and</w:t>
      </w:r>
    </w:p>
    <w:p>
      <w:pPr>
        <w:numPr>
          <w:ilvl w:val="0"/>
          <w:numId w:val="1091"/>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2"/>
        </w:numPr>
      </w:pPr>
      <w:r>
        <w:t xml:space="preserve">The program compiles and executes safely;</w:t>
      </w:r>
    </w:p>
    <w:p>
      <w:pPr>
        <w:numPr>
          <w:ilvl w:val="0"/>
          <w:numId w:val="1092"/>
        </w:numPr>
      </w:pPr>
      <w:r>
        <w:t xml:space="preserve">The program fails to compile; or</w:t>
      </w:r>
    </w:p>
    <w:p>
      <w:pPr>
        <w:numPr>
          <w:ilvl w:val="0"/>
          <w:numId w:val="1092"/>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3"/>
        </w:numPr>
      </w:pPr>
      <w:r>
        <w:t xml:space="preserve">the first template argument must be a forward iterator.</w:t>
      </w:r>
    </w:p>
    <w:p>
      <w:pPr>
        <w:numPr>
          <w:ilvl w:val="0"/>
          <w:numId w:val="1093"/>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4"/>
        </w:numPr>
      </w:pPr>
      <w:r>
        <w:t xml:space="preserve">Use static analysis tools to diagnose the use of inappropriate types</w:t>
      </w:r>
      <w:r>
        <w:t xml:space="preserve"> </w:t>
      </w:r>
      <w:r>
        <w:t xml:space="preserve">in a template interface</w:t>
      </w:r>
    </w:p>
    <w:p>
      <w:pPr>
        <w:numPr>
          <w:ilvl w:val="0"/>
          <w:numId w:val="1094"/>
        </w:numPr>
      </w:pPr>
      <w:r>
        <w:rPr>
          <w:i/>
        </w:rPr>
        <w:t xml:space="preserve">Cyclic dependencies and ODR (one definition rule) use …</w:t>
      </w:r>
    </w:p>
    <w:p>
      <w:pPr>
        <w:numPr>
          <w:ilvl w:val="0"/>
          <w:numId w:val="1094"/>
        </w:numPr>
      </w:pPr>
      <w:r>
        <w:t xml:space="preserve">Consider using</w:t>
      </w:r>
      <w:r>
        <w:t xml:space="preserve"> </w:t>
      </w:r>
      <w:r>
        <w:rPr>
          <w:i/>
        </w:rPr>
        <w:t xml:space="preserve">concepts</w:t>
      </w:r>
      <w:r>
        <w:t xml:space="preserve"> </w:t>
      </w:r>
      <w:r>
        <w:t xml:space="preserve">for each template type parameter</w:t>
      </w:r>
    </w:p>
    <w:p>
      <w:pPr>
        <w:numPr>
          <w:ilvl w:val="1"/>
          <w:numId w:val="1095"/>
        </w:numPr>
        <w:pStyle w:val="SourceCode"/>
      </w:pPr>
      <w:r>
        <w:rPr>
          <w:rStyle w:val="VerbatimChar"/>
        </w:rPr>
        <w:t xml:space="preserve">  Create and use concepts that specify "meaningful" semantics</w:t>
      </w:r>
    </w:p>
    <w:p>
      <w:pPr>
        <w:numPr>
          <w:ilvl w:val="0"/>
          <w:numId w:val="1094"/>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4"/>
        </w:numPr>
      </w:pPr>
      <w:r>
        <w:t xml:space="preserve">Be aware that a constructor template or assignment operator function</w:t>
      </w:r>
      <w:r>
        <w:t xml:space="preserve"> </w:t>
      </w:r>
      <w:r>
        <w:t xml:space="preserve">template will not replace compiler-provided special member functions</w:t>
      </w:r>
    </w:p>
    <w:p>
      <w:pPr>
        <w:numPr>
          <w:ilvl w:val="0"/>
          <w:numId w:val="1094"/>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6"/>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7"/>
        </w:numPr>
      </w:pPr>
      <w:r>
        <w:t xml:space="preserve">For template specialization, declared the specialization:</w:t>
      </w:r>
    </w:p>
    <w:p>
      <w:pPr>
        <w:numPr>
          <w:ilvl w:val="1"/>
          <w:numId w:val="1098"/>
        </w:numPr>
      </w:pPr>
      <w:r>
        <w:t xml:space="preserve">In the same file as the primary template; or</w:t>
      </w:r>
    </w:p>
    <w:p>
      <w:pPr>
        <w:numPr>
          <w:ilvl w:val="1"/>
          <w:numId w:val="1098"/>
        </w:numPr>
      </w:pPr>
      <w:r>
        <w:t xml:space="preserve">In the same file as the user-defined type for which the</w:t>
      </w:r>
      <w:r>
        <w:t xml:space="preserve"> </w:t>
      </w:r>
      <w:r>
        <w:t xml:space="preserve">specialization is declared.</w:t>
      </w:r>
    </w:p>
    <w:p>
      <w:pPr>
        <w:numPr>
          <w:ilvl w:val="0"/>
          <w:numId w:val="1097"/>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0"/>
        </w:numPr>
        <w:pStyle w:val="SourceCode"/>
      </w:pPr>
      <w:r>
        <w:rPr>
          <w:rStyle w:val="VerbatimChar"/>
        </w:rPr>
        <w:t xml:space="preserve">  reduce the use of inheritance</w:t>
      </w:r>
    </w:p>
    <w:p>
      <w:pPr>
        <w:numPr>
          <w:ilvl w:val="0"/>
          <w:numId w:val="109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5"/>
        </w:numPr>
      </w:pPr>
      <w:r>
        <w:t xml:space="preserve">Guidance: Keep inheritance hierarchies short</w:t>
      </w:r>
    </w:p>
    <w:p>
      <w:pPr>
        <w:numPr>
          <w:ilvl w:val="0"/>
          <w:numId w:val="1105"/>
        </w:numPr>
      </w:pPr>
      <w:r>
        <w:t xml:space="preserve">Guidance: Qualify the program to invoke member functions in explicit</w:t>
      </w:r>
      <w:r>
        <w:t xml:space="preserve"> </w:t>
      </w:r>
      <w:r>
        <w:t xml:space="preserve">parent classes.</w:t>
      </w:r>
    </w:p>
    <w:p>
      <w:pPr>
        <w:numPr>
          <w:ilvl w:val="0"/>
          <w:numId w:val="110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6"/>
        </w:numPr>
      </w:pPr>
      <w:r>
        <w:t xml:space="preserve">Follow the guidance of ISO/IEC TR 24772-1:2019 clause 41.5.</w:t>
      </w:r>
    </w:p>
    <w:p>
      <w:pPr>
        <w:numPr>
          <w:ilvl w:val="0"/>
          <w:numId w:val="1106"/>
        </w:numPr>
      </w:pPr>
      <w:r>
        <w:t xml:space="preserve">Avoid the use of multiple inheritance whenever possible.</w:t>
      </w:r>
    </w:p>
    <w:p>
      <w:pPr>
        <w:numPr>
          <w:ilvl w:val="0"/>
          <w:numId w:val="1106"/>
        </w:numPr>
      </w:pPr>
      <w:r>
        <w:t xml:space="preserve">Avoid access to data components when getting and setting functions</w:t>
      </w:r>
      <w:r>
        <w:t xml:space="preserve"> </w:t>
      </w:r>
      <w:r>
        <w:t xml:space="preserve">are available for them.</w:t>
      </w:r>
    </w:p>
    <w:p>
      <w:pPr>
        <w:numPr>
          <w:ilvl w:val="0"/>
          <w:numId w:val="1106"/>
        </w:numPr>
      </w:pPr>
      <w:r>
        <w:t xml:space="preserve">Keep inheritance hierarchies short and narrow</w:t>
      </w:r>
    </w:p>
    <w:p>
      <w:pPr>
        <w:numPr>
          <w:ilvl w:val="0"/>
          <w:numId w:val="1106"/>
        </w:numPr>
      </w:pPr>
      <w:r>
        <w:t xml:space="preserve">Prefer non-virtual functions to virtual functions</w:t>
      </w:r>
    </w:p>
    <w:p>
      <w:pPr>
        <w:numPr>
          <w:ilvl w:val="0"/>
          <w:numId w:val="110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6"/>
        </w:numPr>
      </w:pPr>
      <w:r>
        <w:t xml:space="preserve">If any class invariant depends upon a value of a data member, then</w:t>
      </w:r>
      <w:r>
        <w:t xml:space="preserve"> </w:t>
      </w:r>
      <w:r>
        <w:t xml:space="preserve">make that member private</w:t>
      </w:r>
    </w:p>
    <w:p>
      <w:pPr>
        <w:numPr>
          <w:ilvl w:val="0"/>
          <w:numId w:val="1106"/>
        </w:numPr>
      </w:pPr>
      <w:r>
        <w:t xml:space="preserve">Make data members private and provide a public interface to access</w:t>
      </w:r>
      <w:r>
        <w:t xml:space="preserve"> </w:t>
      </w:r>
      <w:r>
        <w:t xml:space="preserve">them that preserves class invariants</w:t>
      </w:r>
    </w:p>
    <w:p>
      <w:pPr>
        <w:numPr>
          <w:ilvl w:val="0"/>
          <w:numId w:val="1106"/>
        </w:numPr>
      </w:pPr>
      <w:r>
        <w:t xml:space="preserve">Provide complete documentation of all encapsulated data, and how</w:t>
      </w:r>
      <w:r>
        <w:t xml:space="preserve"> </w:t>
      </w:r>
      <w:r>
        <w:t xml:space="preserve">each method affects that data for each object in the hierarchy.</w:t>
      </w:r>
    </w:p>
    <w:p>
      <w:pPr>
        <w:numPr>
          <w:ilvl w:val="0"/>
          <w:numId w:val="110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6"/>
        </w:numPr>
      </w:pPr>
      <w:r>
        <w:t xml:space="preserve">Provide a member function that provides versioning information for</w:t>
      </w:r>
      <w:r>
        <w:t xml:space="preserve"> </w:t>
      </w:r>
      <w:r>
        <w:t xml:space="preserve">each class.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6"/>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7"/>
        </w:numPr>
      </w:pPr>
      <w:r>
        <w:t xml:space="preserve">Obey all preconditions and postconditions of each member function,</w:t>
      </w:r>
      <w:r>
        <w:t xml:space="preserve"> </w:t>
      </w:r>
      <w:r>
        <w:t xml:space="preserve">whether they are specified in the language or not.</w:t>
      </w:r>
    </w:p>
    <w:p>
      <w:pPr>
        <w:numPr>
          <w:ilvl w:val="0"/>
          <w:numId w:val="1107"/>
        </w:numPr>
      </w:pPr>
      <w:r>
        <w:t xml:space="preserve">Prohibit the strengthening of preconditions (specified or not) by</w:t>
      </w:r>
      <w:r>
        <w:t xml:space="preserve"> </w:t>
      </w:r>
      <w:r>
        <w:t xml:space="preserve">overriding member functions.</w:t>
      </w:r>
    </w:p>
    <w:p>
      <w:pPr>
        <w:numPr>
          <w:ilvl w:val="0"/>
          <w:numId w:val="1107"/>
        </w:numPr>
      </w:pPr>
      <w:r>
        <w:t xml:space="preserve">Prohibit the weakening of postconditions (specified or not) by</w:t>
      </w:r>
      <w:r>
        <w:t xml:space="preserve"> </w:t>
      </w:r>
      <w:r>
        <w:t xml:space="preserve">overriding member functions.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7"/>
        </w:numPr>
      </w:pPr>
      <w:r>
        <w:t xml:space="preserve">Use static analysis tools that identify misuse of inheritance in the</w:t>
      </w:r>
      <w:r>
        <w:t xml:space="preserve"> </w:t>
      </w:r>
      <w:r>
        <w:t xml:space="preserve">contract model.</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8"/>
        </w:numPr>
      </w:pPr>
      <w:r>
        <w:t xml:space="preserve">At a call site, consider whether virtual dispatch is desired. If</w:t>
      </w:r>
      <w:r>
        <w:t xml:space="preserve"> </w:t>
      </w:r>
      <w:r>
        <w:t xml:space="preserve">not, construct the call using the qualified name.</w:t>
      </w:r>
    </w:p>
    <w:p>
      <w:pPr>
        <w:numPr>
          <w:ilvl w:val="0"/>
          <w:numId w:val="110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9"/>
        </w:numPr>
      </w:pPr>
      <w:r>
        <w:t xml:space="preserve">up-casting is casting an object to an ancestor type in the object's</w:t>
      </w:r>
      <w:r>
        <w:t xml:space="preserve"> </w:t>
      </w:r>
      <w:r>
        <w:t xml:space="preserve">type inheritance hierarchy.</w:t>
      </w:r>
    </w:p>
    <w:p>
      <w:pPr>
        <w:numPr>
          <w:ilvl w:val="0"/>
          <w:numId w:val="1109"/>
        </w:numPr>
      </w:pPr>
      <w:r>
        <w:t xml:space="preserve">down-casting is casting an object to a descendent type in the</w:t>
      </w:r>
      <w:r>
        <w:t xml:space="preserve"> </w:t>
      </w:r>
      <w:r>
        <w:t xml:space="preserve">object's type inheritance hierarchy, and,</w:t>
      </w:r>
    </w:p>
    <w:p>
      <w:pPr>
        <w:numPr>
          <w:ilvl w:val="0"/>
          <w:numId w:val="1109"/>
        </w:numPr>
      </w:pPr>
      <w:r>
        <w:t xml:space="preserve">cross-casting is casting an object to a sibling/cousin (possibly</w:t>
      </w:r>
      <w:r>
        <w:t xml:space="preserve"> </w:t>
      </w:r>
      <w:r>
        <w:t xml:space="preserve">removed) type in the object's type inheritance hierarchy.</w:t>
      </w:r>
    </w:p>
    <w:p>
      <w:pPr>
        <w:numPr>
          <w:ilvl w:val="0"/>
          <w:numId w:val="110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0"/>
        </w:numPr>
      </w:pPr>
      <w:r>
        <w:t xml:space="preserve">are the only ones that can be performed implicitly</w:t>
      </w:r>
    </w:p>
    <w:p>
      <w:pPr>
        <w:numPr>
          <w:ilvl w:val="0"/>
          <w:numId w:val="111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1"/>
        </w:numPr>
      </w:pPr>
      <w:r>
        <w:t xml:space="preserve">are explicit;</w:t>
      </w:r>
    </w:p>
    <w:p>
      <w:pPr>
        <w:numPr>
          <w:ilvl w:val="0"/>
          <w:numId w:val="1111"/>
        </w:numPr>
      </w:pPr>
      <w:r>
        <w:t xml:space="preserve">can be done safely with</w:t>
      </w:r>
      <w:r>
        <w:t xml:space="preserve"> </w:t>
      </w:r>
      <w:r>
        <w:rPr>
          <w:rStyle w:val="KeywordTok"/>
        </w:rPr>
        <w:t xml:space="preserve">dynamic_cast</w:t>
      </w:r>
    </w:p>
    <w:p>
      <w:pPr>
        <w:numPr>
          <w:ilvl w:val="0"/>
          <w:numId w:val="111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2"/>
        </w:numPr>
      </w:pPr>
      <w:r>
        <w:t xml:space="preserve">are explicit</w:t>
      </w:r>
    </w:p>
    <w:p>
      <w:pPr>
        <w:numPr>
          <w:ilvl w:val="0"/>
          <w:numId w:val="111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3"/>
        </w:numPr>
      </w:pPr>
      <w:r>
        <w:t xml:space="preserve">Follow the advice provided in ISO/IEC TR 24772-1 :2019clause 6.44.5.</w:t>
      </w:r>
    </w:p>
    <w:p>
      <w:pPr>
        <w:numPr>
          <w:ilvl w:val="0"/>
          <w:numId w:val="1113"/>
        </w:numPr>
      </w:pPr>
      <w:r>
        <w:t xml:space="preserve">If an upcast is needed, prefer using implicit conversion, since an</w:t>
      </w:r>
      <w:r>
        <w:t xml:space="preserve"> </w:t>
      </w:r>
      <w:r>
        <w:t xml:space="preserve">explicit upcast adds unnecessary complexity for the reader.</w:t>
      </w:r>
    </w:p>
    <w:p>
      <w:pPr>
        <w:numPr>
          <w:ilvl w:val="0"/>
          <w:numId w:val="1113"/>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3"/>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4"/>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5"/>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7"/>
        </w:numPr>
      </w:pPr>
      <w:r>
        <w:t xml:space="preserve">Follow the guidelines of ISO/IEC TR 24772-1 clause 6.47.5.</w:t>
      </w:r>
    </w:p>
    <w:p>
      <w:pPr>
        <w:numPr>
          <w:ilvl w:val="0"/>
          <w:numId w:val="111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8"/>
        </w:numPr>
      </w:pPr>
      <w:r>
        <w:t xml:space="preserve">Follow the guidance contained in ISO/IEC TR 24772-1:2019 clause</w:t>
      </w:r>
      <w:r>
        <w:t xml:space="preserve"> </w:t>
      </w:r>
      <w:r>
        <w:t xml:space="preserve">6.47.5</w:t>
      </w:r>
    </w:p>
    <w:p>
      <w:pPr>
        <w:numPr>
          <w:ilvl w:val="0"/>
          <w:numId w:val="1118"/>
        </w:numPr>
      </w:pPr>
      <w:r>
        <w:t xml:space="preserve">Use standard layout types for the interoperable interfaces.</w:t>
      </w:r>
    </w:p>
    <w:p>
      <w:pPr>
        <w:numPr>
          <w:ilvl w:val="1"/>
          <w:numId w:val="111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8"/>
        </w:numPr>
      </w:pPr>
      <w:r>
        <w:t xml:space="preserve">Be aware that C++ exceptions are not usually compatible with</w:t>
      </w:r>
      <w:r>
        <w:t xml:space="preserve"> </w:t>
      </w:r>
      <w:r>
        <w:t xml:space="preserve">exceptions in other languages.</w:t>
      </w:r>
    </w:p>
    <w:p>
      <w:pPr>
        <w:numPr>
          <w:ilvl w:val="0"/>
          <w:numId w:val="111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0"/>
        </w:numPr>
      </w:pPr>
      <w:r>
        <w:t xml:space="preserve">Follow the guidance of ISO/IEC TR 24772-1:2019 clause 6.49.5.</w:t>
      </w:r>
    </w:p>
    <w:p>
      <w:pPr>
        <w:numPr>
          <w:ilvl w:val="0"/>
          <w:numId w:val="112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1"/>
        </w:numPr>
      </w:pPr>
      <w:r>
        <w:t xml:space="preserve">Follow the advice of clause 6.36.2 for catching and handling</w:t>
      </w:r>
      <w:r>
        <w:t xml:space="preserve"> </w:t>
      </w:r>
      <w:r>
        <w:t xml:space="preserve">exceptions.</w:t>
      </w:r>
    </w:p>
    <w:p>
      <w:pPr>
        <w:numPr>
          <w:ilvl w:val="0"/>
          <w:numId w:val="1121"/>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2"/>
        </w:numPr>
      </w:pPr>
      <w:r>
        <w:t xml:space="preserve">Ensure that if a function-like macro must be used, that its</w:t>
      </w:r>
      <w:r>
        <w:t xml:space="preserve"> </w:t>
      </w:r>
      <w:r>
        <w:t xml:space="preserve">arguments and body are parenthesized.</w:t>
      </w:r>
    </w:p>
    <w:p>
      <w:pPr>
        <w:numPr>
          <w:ilvl w:val="0"/>
          <w:numId w:val="1122"/>
        </w:numPr>
      </w:pPr>
      <w:r>
        <w:t xml:space="preserve">In a function-like macro, ensure that each argument is evaluated at</w:t>
      </w:r>
      <w:r>
        <w:t xml:space="preserve"> </w:t>
      </w:r>
      <w:r>
        <w:t xml:space="preserve">most once.</w:t>
      </w:r>
    </w:p>
    <w:p>
      <w:pPr>
        <w:numPr>
          <w:ilvl w:val="0"/>
          <w:numId w:val="112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2"/>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3"/>
        </w:numPr>
      </w:pPr>
      <w:r>
        <w:t xml:space="preserve">Follow the guidelines of ISO/IEC TR 24772-1:2019 clause 6.53.5.</w:t>
      </w:r>
    </w:p>
    <w:p>
      <w:pPr>
        <w:numPr>
          <w:ilvl w:val="0"/>
          <w:numId w:val="1123"/>
        </w:numPr>
      </w:pPr>
      <w:r>
        <w:t xml:space="preserve">Enable checks that warn about unsafe operations.</w:t>
      </w:r>
    </w:p>
    <w:p>
      <w:pPr>
        <w:numPr>
          <w:ilvl w:val="0"/>
          <w:numId w:val="112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5"/>
        </w:numPr>
      </w:pPr>
      <w:r>
        <w:t xml:space="preserve">Follow the guidelines of ISO/IEC TR 24772-1:2019 clause 6.56.5.</w:t>
      </w:r>
    </w:p>
    <w:p>
      <w:pPr>
        <w:numPr>
          <w:ilvl w:val="0"/>
          <w:numId w:val="1125"/>
        </w:numPr>
      </w:pPr>
      <w:r>
        <w:t xml:space="preserve">Augment static analysis tool usage with runtime tools such as ASAN</w:t>
      </w:r>
      <w:r>
        <w:t xml:space="preserve"> </w:t>
      </w:r>
      <w:r>
        <w:t xml:space="preserve">(address sanitizer) and related tools.</w:t>
      </w:r>
    </w:p>
    <w:p>
      <w:pPr>
        <w:numPr>
          <w:ilvl w:val="0"/>
          <w:numId w:val="1125"/>
        </w:numPr>
      </w:pPr>
      <w:r>
        <w:t xml:space="preserve">Use static analysis tools to help identify occurrences of undefined</w:t>
      </w:r>
      <w:r>
        <w:t xml:space="preserve"> </w:t>
      </w:r>
      <w:r>
        <w:t xml:space="preserve">behaviour.</w:t>
      </w:r>
    </w:p>
    <w:p>
      <w:pPr>
        <w:numPr>
          <w:ilvl w:val="0"/>
          <w:numId w:val="112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6"/>
        </w:numPr>
      </w:pPr>
      <w:r>
        <w:t xml:space="preserve">Follow the guidelines of ISO/IEC TR 24772-1:2019 clause 6.57.5.</w:t>
      </w:r>
    </w:p>
    <w:p>
      <w:pPr>
        <w:numPr>
          <w:ilvl w:val="0"/>
          <w:numId w:val="112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6"/>
        </w:numPr>
      </w:pPr>
      <w:r>
        <w:t xml:space="preserve">Use multiple compilers/tools to increase your chance of identifying</w:t>
      </w:r>
      <w:r>
        <w:t xml:space="preserve"> </w:t>
      </w:r>
      <w:r>
        <w:t xml:space="preserve">constructs that have implementation-defined behaviours.</w:t>
      </w:r>
    </w:p>
    <w:p>
      <w:pPr>
        <w:numPr>
          <w:ilvl w:val="0"/>
          <w:numId w:val="112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7"/>
        </w:numPr>
      </w:pPr>
      <w:r>
        <w:t xml:space="preserve">Follow the guidelines of ISO/IEC TR 24772-1 clause 6.58.5.</w:t>
      </w:r>
    </w:p>
    <w:p>
      <w:pPr>
        <w:numPr>
          <w:ilvl w:val="0"/>
          <w:numId w:val="1127"/>
        </w:numPr>
      </w:pPr>
      <w:r>
        <w:t xml:space="preserve">Enable compiler options or static analysis tools that identify the</w:t>
      </w:r>
      <w:r>
        <w:t xml:space="preserve"> </w:t>
      </w:r>
      <w:r>
        <w:t xml:space="preserve">use of deprecated features.</w:t>
      </w:r>
    </w:p>
    <w:p>
      <w:pPr>
        <w:numPr>
          <w:ilvl w:val="0"/>
          <w:numId w:val="112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8"/>
        </w:numPr>
      </w:pPr>
      <w:r>
        <w:t xml:space="preserve">Threads need to be explicitly joined and cleaned up.</w:t>
      </w:r>
    </w:p>
    <w:p>
      <w:pPr>
        <w:numPr>
          <w:ilvl w:val="0"/>
          <w:numId w:val="1128"/>
        </w:numPr>
      </w:pPr>
      <w:r>
        <w:t xml:space="preserve">Tasks are owned by a master.</w:t>
      </w:r>
    </w:p>
    <w:p>
      <w:pPr>
        <w:numPr>
          <w:ilvl w:val="0"/>
          <w:numId w:val="1128"/>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29"/>
        </w:numPr>
      </w:pPr>
      <w:r>
        <w:t xml:space="preserve">Follow the guidelines of TR 24772-1 clause 6.60.5.</w:t>
      </w:r>
    </w:p>
    <w:p>
      <w:pPr>
        <w:numPr>
          <w:ilvl w:val="0"/>
          <w:numId w:val="1129"/>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29"/>
        </w:numPr>
      </w:pPr>
      <w:r>
        <w:t xml:space="preserve">Use lambda and explicit copy</w:t>
      </w:r>
    </w:p>
    <w:p>
      <w:pPr>
        <w:numPr>
          <w:ilvl w:val="0"/>
          <w:numId w:val="1129"/>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29"/>
        </w:numPr>
      </w:pPr>
      <w:r>
        <w:t xml:space="preserve">Create and manage threads</w:t>
      </w:r>
    </w:p>
    <w:p>
      <w:pPr>
        <w:numPr>
          <w:ilvl w:val="0"/>
          <w:numId w:val="1129"/>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0"/>
        </w:numPr>
      </w:pPr>
      <w:r>
        <w:t xml:space="preserve">Follow the guidance of ISO/IEC TR 24772-1 clause 6.62.5.</w:t>
      </w:r>
    </w:p>
    <w:p>
      <w:pPr>
        <w:numPr>
          <w:ilvl w:val="0"/>
          <w:numId w:val="1130"/>
        </w:numPr>
      </w:pPr>
      <w:r>
        <w:t xml:space="preserve">Use mutexes, condition variables (convar) in preference to atomic</w:t>
      </w:r>
      <w:r>
        <w:t xml:space="preserve"> </w:t>
      </w:r>
      <w:r>
        <w:t xml:space="preserve">variables to protect data from simultaneous access.</w:t>
      </w:r>
    </w:p>
    <w:p>
      <w:pPr>
        <w:numPr>
          <w:ilvl w:val="0"/>
          <w:numId w:val="1130"/>
        </w:numPr>
      </w:pPr>
      <w:r>
        <w:t xml:space="preserve">Use volatile only for synchronizing abstract machine state from</w:t>
      </w:r>
      <w:r>
        <w:t xml:space="preserve"> </w:t>
      </w:r>
      <w:r>
        <w:t xml:space="preserve">memory.</w:t>
      </w:r>
    </w:p>
    <w:p>
      <w:pPr>
        <w:numPr>
          <w:ilvl w:val="0"/>
          <w:numId w:val="1130"/>
        </w:numPr>
      </w:pPr>
      <w:r>
        <w:t xml:space="preserve">Avoid the use of volatile for synchronizing access to shared memory</w:t>
      </w:r>
      <w:r>
        <w:t xml:space="preserve"> </w:t>
      </w:r>
      <w:r>
        <w:t xml:space="preserve">between threads (which needs mutex, condvar, or atomics)</w:t>
      </w:r>
    </w:p>
    <w:p>
      <w:pPr>
        <w:numPr>
          <w:ilvl w:val="1"/>
          <w:numId w:val="113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0"/>
        </w:numPr>
      </w:pPr>
      <w:r>
        <w:t xml:space="preserve">Avoid relaxed atomic operations whenever possible. Prefer the</w:t>
      </w:r>
      <w:r>
        <w:t xml:space="preserve"> </w:t>
      </w:r>
      <w:r>
        <w:t xml:space="preserve">sequentially consistent std::memory_order_seq_cst instead .</w:t>
      </w:r>
    </w:p>
    <w:p>
      <w:pPr>
        <w:numPr>
          <w:ilvl w:val="0"/>
          <w:numId w:val="1130"/>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2"/>
        </w:numPr>
      </w:pPr>
      <w:r>
        <w:t xml:space="preserve">Follow the guidelines of TR 24772-1 clause 6.63.5.</w:t>
      </w:r>
    </w:p>
    <w:p>
      <w:pPr>
        <w:numPr>
          <w:ilvl w:val="0"/>
          <w:numId w:val="1132"/>
        </w:numPr>
      </w:pPr>
      <w:r>
        <w:t xml:space="preserve">Use low-level operating system primitives or other APIs where</w:t>
      </w:r>
      <w:r>
        <w:t xml:space="preserve"> </w:t>
      </w:r>
      <w:r>
        <w:t xml:space="preserve">available to check that a required thread is still active.</w:t>
      </w:r>
    </w:p>
    <w:p>
      <w:pPr>
        <w:numPr>
          <w:ilvl w:val="0"/>
          <w:numId w:val="1132"/>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3"/>
        </w:numPr>
      </w:pPr>
      <w:r>
        <w:t xml:space="preserve">Follow the guidelines of TR 24772-1 clause 6.63.5.</w:t>
      </w:r>
    </w:p>
    <w:p>
      <w:pPr>
        <w:numPr>
          <w:ilvl w:val="0"/>
          <w:numId w:val="113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3"/>
        </w:numPr>
      </w:pPr>
      <w:r>
        <w:t xml:space="preserve">Use higher level building blocks (such as TBB) in preference to …</w:t>
      </w:r>
    </w:p>
    <w:p>
      <w:pPr>
        <w:numPr>
          <w:ilvl w:val="0"/>
          <w:numId w:val="1133"/>
        </w:numPr>
      </w:pPr>
      <w:r>
        <w:t xml:space="preserve">Use the C++ Task mechanism in preference to threads …</w:t>
      </w:r>
    </w:p>
    <w:p>
      <w:pPr>
        <w:numPr>
          <w:ilvl w:val="0"/>
          <w:numId w:val="113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3"/>
        </w:numPr>
      </w:pPr>
      <w:r>
        <w:rPr>
          <w:i/>
          <w:b/>
        </w:rPr>
        <w:t xml:space="preserve">Do not use platform specific multi-threading facilities</w:t>
      </w:r>
    </w:p>
    <w:p>
      <w:pPr>
        <w:numPr>
          <w:ilvl w:val="0"/>
          <w:numId w:val="1133"/>
        </w:numPr>
      </w:pPr>
      <w:r>
        <w:rPr>
          <w:i/>
          <w:b/>
        </w:rPr>
        <w:t xml:space="preserve">A thread shall not access objects whose lifetime has expired</w:t>
      </w:r>
    </w:p>
    <w:p>
      <w:pPr>
        <w:numPr>
          <w:ilvl w:val="0"/>
          <w:numId w:val="1133"/>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3"/>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3"/>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3"/>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3"/>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3"/>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3"/>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3"/>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3"/>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3"/>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3"/>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3"/>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3"/>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3"/>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3"/>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3"/>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3"/>
        </w:numPr>
      </w:pPr>
      <w:r>
        <w:t xml:space="preserve">0.10.2 [36] Source CCG Rule CP.101: Distrust your</w:t>
      </w:r>
      <w:r>
        <w:t xml:space="preserve"> </w:t>
      </w:r>
      <w:r>
        <w:t xml:space="preserve">hardware/compiler combination</w:t>
      </w:r>
    </w:p>
    <w:p>
      <w:pPr>
        <w:numPr>
          <w:ilvl w:val="0"/>
          <w:numId w:val="1133"/>
        </w:numPr>
      </w:pPr>
      <w:r>
        <w:t xml:space="preserve">0.10.3 [37] Source CCG Rule CP.102: Carefully study the literature</w:t>
      </w:r>
    </w:p>
    <w:p>
      <w:pPr>
        <w:numPr>
          <w:ilvl w:val="0"/>
          <w:numId w:val="1133"/>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3"/>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3"/>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4"/>
        </w:numPr>
      </w:pPr>
      <w:r>
        <w:t xml:space="preserve">Do not cast-away</w:t>
      </w:r>
      <w:r>
        <w:t xml:space="preserve"> </w:t>
      </w:r>
      <w:r>
        <w:rPr>
          <w:rStyle w:val="AttributeTok"/>
        </w:rPr>
        <w:t xml:space="preserve">const</w:t>
      </w:r>
      <w:r>
        <w:t xml:space="preserve">.</w:t>
      </w:r>
    </w:p>
    <w:p>
      <w:pPr>
        <w:numPr>
          <w:ilvl w:val="0"/>
          <w:numId w:val="113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4"/>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5"/>
        </w:numPr>
        <w:pStyle w:val="SourceCode"/>
      </w:pPr>
      <w:r>
        <w:rPr>
          <w:rStyle w:val="VerbatimChar"/>
        </w:rPr>
        <w:t xml:space="preserve">Defining an array type that does automatic bounds checking.</w:t>
      </w:r>
    </w:p>
    <w:p>
      <w:pPr>
        <w:numPr>
          <w:ilvl w:val="0"/>
          <w:numId w:val="113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2021-02-15T14:26:31Z</dcterms:created>
  <dcterms:modified xsi:type="dcterms:W3CDTF">2021-02-15T14:26:31Z</dcterms:modified>
</cp:coreProperties>
</file>

<file path=docProps/custom.xml><?xml version="1.0" encoding="utf-8"?>
<Properties xmlns="http://schemas.openxmlformats.org/officeDocument/2006/custom-properties" xmlns:vt="http://schemas.openxmlformats.org/officeDocument/2006/docPropsVTypes"/>
</file>