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3"/>
        </w:numPr>
      </w:pPr>
      <w:r>
        <w:t xml:space="preserve">A given implementation may change or remove an implementation-defined behaviour; and</w:t>
      </w:r>
    </w:p>
    <w:p>
      <w:pPr>
        <w:numPr>
          <w:ilvl w:val="0"/>
          <w:numId w:val="1103"/>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00"/>
    <w:bookmarkStart w:id="201" w:name="avoidance-mechanisms-for-language-users"/>
    <w:p>
      <w:pPr>
        <w:pStyle w:val="Heading3"/>
      </w:pPr>
      <w:r>
        <w:t xml:space="preserve">6.57.2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5"/>
        </w:numPr>
      </w:pPr>
      <w:r>
        <w:t xml:space="preserve">Use the avoidance mechanisms of ISO/IEC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6"/>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7"/>
        </w:numPr>
      </w:pPr>
      <w:r>
        <w:t xml:space="preserve">Use the avoidance mechanisms of ISO/IEC 24772-1 clause 6.60.5.</w:t>
      </w:r>
    </w:p>
    <w:p>
      <w:pPr>
        <w:numPr>
          <w:ilvl w:val="0"/>
          <w:numId w:val="1107"/>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8"/>
        </w:numPr>
      </w:pPr>
      <w:r>
        <w:t xml:space="preserve">Use the avoidance mechanisms of ISO/IEC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8"/>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10"/>
        </w:numPr>
      </w:pPr>
      <w:r>
        <w:t xml:space="preserve">Use the avoidance mechanisms of ISO/IEC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1"/>
        </w:numPr>
      </w:pPr>
      <w:r>
        <w:t xml:space="preserve">Use the avoidance mechanisms of ISO/IEC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2"/>
        </w:numPr>
      </w:pPr>
      <w:r>
        <w:t xml:space="preserve">Avoid the C library facilities provided by</w:t>
      </w:r>
      <w:r>
        <w:t xml:space="preserve"> </w:t>
      </w:r>
      <w:r>
        <w:rPr>
          <w:rStyle w:val="VerbatimChar"/>
          <w:b/>
        </w:rPr>
        <w:t xml:space="preserve">&lt;cstdio&gt;</w:t>
      </w:r>
      <w:r>
        <w:t xml:space="preserve">.</w:t>
      </w:r>
    </w:p>
    <w:p>
      <w:pPr>
        <w:numPr>
          <w:ilvl w:val="0"/>
          <w:numId w:val="1112"/>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2"/>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3"/>
        </w:numPr>
      </w:pPr>
      <w:r>
        <w:t xml:space="preserve">Use the avoidance mechanisms of ISO/IEC 24772-1 clause 6.65.5: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2023-09-12T12:31:43Z</dcterms:created>
  <dcterms:modified xsi:type="dcterms:W3CDTF">2023-09-12T12:31:43Z</dcterms:modified>
</cp:coreProperties>
</file>

<file path=docProps/custom.xml><?xml version="1.0" encoding="utf-8"?>
<Properties xmlns="http://schemas.openxmlformats.org/officeDocument/2006/custom-properties" xmlns:vt="http://schemas.openxmlformats.org/officeDocument/2006/docPropsVTypes"/>
</file>