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40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C++’s implicit conversions between types include C’s implicit</w:t>
      </w:r>
      <w:r>
        <w:t xml:space="preserve"> </w:t>
      </w:r>
      <w:r>
        <w:t xml:space="preserve">conversions, for example, fundamental types smaller than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can be promoted 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when participating in an expression.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applied to a constructor or a</w:t>
      </w:r>
      <w:r>
        <w:t xml:space="preserve"> </w:t>
      </w:r>
      <w:r>
        <w:t xml:space="preserve">cast operator prevents implicit conversions. Implicit conversions</w:t>
      </w:r>
      <w:r>
        <w:t xml:space="preserve"> </w:t>
      </w:r>
      <w:r>
        <w:t xml:space="preserve">involving user-defined types are enabled via constructors that can be</w:t>
      </w:r>
      <w:r>
        <w:t xml:space="preserve"> </w:t>
      </w:r>
      <w:r>
        <w:t xml:space="preserve">called with a single-argument and/or cast operators of those types.</w:t>
      </w:r>
    </w:p>
    <w:p>
      <w:pPr>
        <w:pStyle w:val="BodyText"/>
      </w:pPr>
      <w:r>
        <w:t xml:space="preserve">ADVICE: Prefer to define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constructors</w:t>
      </w:r>
      <w:r>
        <w:t xml:space="preserve"> </w:t>
      </w:r>
      <w:r>
        <w:t xml:space="preserve">and cast operators except in cases where it would be safe and meaningful</w:t>
      </w:r>
      <w:r>
        <w:t xml:space="preserve"> </w:t>
      </w:r>
      <w:r>
        <w:t xml:space="preserve">to permit implicit conversions.</w:t>
      </w:r>
    </w:p>
    <w:p>
      <w:pPr>
        <w:pStyle w:val="BodyText"/>
      </w:pPr>
      <w:r>
        <w:t xml:space="preserve">C++’s</w:t>
      </w:r>
      <w:r>
        <w:t xml:space="preserve">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&lt;T&gt;(expr)</w:t>
      </w:r>
      <w:r>
        <w:t xml:space="preserve"> </w:t>
      </w:r>
      <w:r>
        <w:t xml:space="preserve">operator attempts</w:t>
      </w:r>
      <w:r>
        <w:t xml:space="preserve"> </w:t>
      </w:r>
      <w:r>
        <w:t xml:space="preserve">to cast the expression,</w:t>
      </w:r>
      <w:r>
        <w:t xml:space="preserve"> </w:t>
      </w:r>
      <w:r>
        <w:rPr>
          <w:rStyle w:val="NormalTok"/>
        </w:rPr>
        <w:t xml:space="preserve">expr</w:t>
      </w:r>
      <w:r>
        <w:t xml:space="preserve">, to</w:t>
      </w:r>
      <w:r>
        <w:t xml:space="preserve"> </w:t>
      </w:r>
      <w:r>
        <w:rPr>
          <w:rStyle w:val="NormalTok"/>
        </w:rPr>
        <w:t xml:space="preserve">type T</w:t>
      </w:r>
      <w:r>
        <w:t xml:space="preserve"> </w:t>
      </w:r>
      <w:r>
        <w:t xml:space="preserve">at run-time using</w:t>
      </w:r>
      <w:r>
        <w:t xml:space="preserve"> </w:t>
      </w:r>
      <w:r>
        <w:t xml:space="preserve">internal type state information the compiler stored with expr’s type.</w:t>
      </w:r>
      <w:r>
        <w:t xml:space="preserve"> </w:t>
      </w:r>
      <w:r>
        <w:t xml:space="preserve">All other casts (implicit or explicit) are computed using only</w:t>
      </w:r>
      <w:r>
        <w:t xml:space="preserve"> </w:t>
      </w:r>
      <w:r>
        <w:t xml:space="preserve">compile-time –not run-time-- information.</w:t>
      </w:r>
    </w:p>
    <w:p>
      <w:pPr>
        <w:pStyle w:val="BodyText"/>
      </w:pPr>
      <w:r>
        <w:t xml:space="preserve">It is possible to use a single type to define two distinct sets of</w:t>
      </w:r>
      <w:r>
        <w:t xml:space="preserve"> </w:t>
      </w:r>
      <w:r>
        <w:t xml:space="preserve">values, e.g., a double could be used to store the distance in kilometers</w:t>
      </w:r>
      <w:r>
        <w:t xml:space="preserve"> </w:t>
      </w:r>
      <w:r>
        <w:t xml:space="preserve">or miles.: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miles = </w:t>
      </w:r>
      <w:r>
        <w:rPr>
          <w:rStyle w:val="FloatTok"/>
        </w:rPr>
        <w:t xml:space="preserve">5.67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    = </w:t>
      </w:r>
      <w:r>
        <w:rPr>
          <w:rStyle w:val="FloatTok"/>
        </w:rPr>
        <w:t xml:space="preserve">13.88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the same underlying type is used then one risks manipulating such</w:t>
      </w:r>
      <w:r>
        <w:t xml:space="preserve"> </w:t>
      </w:r>
      <w:r>
        <w:t xml:space="preserve">without properly converting the units first, e.g.,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distance_travelled = miles + km; </w:t>
      </w:r>
      <w:r>
        <w:rPr>
          <w:rStyle w:val="CommentTok"/>
        </w:rPr>
        <w:t xml:space="preserve">// =19.55 (what?)</w:t>
      </w:r>
    </w:p>
    <w:p>
      <w:pPr>
        <w:pStyle w:val="FirstParagraph"/>
      </w:pPr>
      <w:r>
        <w:t xml:space="preserve">which will produce an incorrect result. Instead one must define</w:t>
      </w:r>
      <w:r>
        <w:t xml:space="preserve"> </w:t>
      </w:r>
      <w:r>
        <w:t xml:space="preserve">user-defined types with constructors and/or cast operator definitions</w:t>
      </w:r>
      <w:r>
        <w:t xml:space="preserve"> </w:t>
      </w:r>
      <w:r>
        <w:t xml:space="preserve">that will use the type system to correctly convert units. For this</w:t>
      </w:r>
      <w:r>
        <w:t xml:space="preserve"> </w:t>
      </w:r>
      <w:r>
        <w:t xml:space="preserve">example we will use temperatures in Celsius and Fahrenheit.</w:t>
      </w:r>
    </w:p>
    <w:p>
      <w:pPr>
        <w:pStyle w:val="SourceCode"/>
      </w:pPr>
      <w:r>
        <w:rPr>
          <w:rStyle w:val="VerbatimChar"/>
        </w:rPr>
        <w:t xml:space="preserve">&lt;!-- the following code is not C++ (confused, Peter) --&gt;</w:t>
      </w:r>
    </w:p>
    <w:p>
      <w:pPr>
        <w:pStyle w:val="SourceCode"/>
      </w:pPr>
      <w:r>
        <w:rPr>
          <w:rStyle w:val="VerbatimChar"/>
        </w:rPr>
        <w:t xml:space="preserve">t1 : Celsius := -40.0;</w:t>
      </w:r>
      <w:r>
        <w:br/>
      </w:r>
      <w:r>
        <w:rPr>
          <w:rStyle w:val="VerbatimChar"/>
        </w:rPr>
        <w:t xml:space="preserve">t2 : Fahrenheit := 32.0;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ASIDE: This code works but needs discussion and brevity.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miles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kilometer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km; };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celsius() : val{} { }</w:t>
      </w:r>
      <w:r>
        <w:br/>
      </w:r>
      <w:r>
        <w:rPr>
          <w:rStyle w:val="NormalTok"/>
        </w:rPr>
        <w:t xml:space="preserve">  celsius(celsius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           </w:t>
      </w:r>
      <w:r>
        <w:br/>
      </w:r>
      <w:r>
        <w:rPr>
          <w:rStyle w:val="NormalTok"/>
        </w:rPr>
        <w:t xml:space="preserve">  celsius&amp;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celsius(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v) : val{v} {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value()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 }</w:t>
      </w:r>
      <w:r>
        <w:br/>
      </w:r>
      <w:r>
        <w:br/>
      </w:r>
      <w:r>
        <w:rPr>
          <w:rStyle w:val="NormalTok"/>
        </w:rPr>
        <w:t xml:space="preserve">  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f);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code for fahrenheit is repeated from celsius with “fahrenheit”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replacing “celsius”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and missing the last two declarations. 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celsius::celsius(fahrenheit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 :</w:t>
      </w:r>
      <w:r>
        <w:br/>
      </w:r>
      <w:r>
        <w:rPr>
          <w:rStyle w:val="NormalTok"/>
        </w:rPr>
        <w:t xml:space="preserve">  val{ (f.value() -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) *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/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 }         </w:t>
      </w:r>
      <w:r>
        <w:rPr>
          <w:rStyle w:val="CommentTok"/>
        </w:rPr>
        <w:t xml:space="preserve">// constructor to celsuis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celsius::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cast operator to Fahrenheit!!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fahrenheit{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-&gt;val *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) /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_C(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celsius(temp); }        </w:t>
      </w:r>
      <w:r>
        <w:rPr>
          <w:rStyle w:val="CommentTok"/>
        </w:rPr>
        <w:t xml:space="preserve">// explicit construction w/double</w:t>
      </w:r>
      <w:r>
        <w:br/>
      </w:r>
      <w:r>
        <w:rPr>
          <w:rStyle w:val="NormalTok"/>
        </w:rPr>
        <w:t xml:space="preserve">fahrenheit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_F(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fahrenheit(temp); }      </w:t>
      </w:r>
      <w:r>
        <w:rPr>
          <w:rStyle w:val="CommentTok"/>
        </w:rPr>
        <w:t xml:space="preserve">// explicit construction w/double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fp = </w:t>
      </w:r>
      <w:r>
        <w:rPr>
          <w:rStyle w:val="FloatTok"/>
        </w:rPr>
        <w:t xml:space="preserve">0.0</w:t>
      </w:r>
      <w:r>
        <w:rPr>
          <w:rStyle w:val="DecValTok"/>
        </w:rPr>
        <w:t xml:space="preserve">_C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Celsius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bp = </w:t>
      </w:r>
      <w:r>
        <w:rPr>
          <w:rStyle w:val="FloatTok"/>
        </w:rPr>
        <w:t xml:space="preserve">212.0</w:t>
      </w:r>
      <w:r>
        <w:rPr>
          <w:rStyle w:val="DecValTok"/>
        </w:rPr>
        <w:t xml:space="preserve">_F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Fahrenheit</w:t>
      </w:r>
      <w:r>
        <w:br/>
      </w:r>
      <w:r>
        <w:br/>
      </w:r>
      <w:r>
        <w:rPr>
          <w:rStyle w:val="NormalTok"/>
        </w:rPr>
        <w:t xml:space="preserve">  fahrenheit fp_F = fp; </w:t>
      </w:r>
      <w:r>
        <w:rPr>
          <w:rStyle w:val="CommentTok"/>
        </w:rPr>
        <w:t xml:space="preserve">// implicit conversion</w:t>
      </w:r>
      <w:r>
        <w:br/>
      </w:r>
      <w:r>
        <w:rPr>
          <w:rStyle w:val="NormalTok"/>
        </w:rPr>
        <w:t xml:space="preserve">  celsius bp_C = bp;    </w:t>
      </w:r>
      <w:r>
        <w:rPr>
          <w:rStyle w:val="CommentTok"/>
        </w:rPr>
        <w:t xml:space="preserve">// implicit conversion</w:t>
      </w:r>
      <w:r>
        <w:br/>
      </w:r>
      <w:r>
        <w:br/>
      </w:r>
      <w:r>
        <w:rPr>
          <w:rStyle w:val="NormalTok"/>
        </w:rPr>
        <w:t xml:space="preserve">  bp = fp;  </w:t>
      </w:r>
      <w:r>
        <w:rPr>
          <w:rStyle w:val="CommentTok"/>
        </w:rPr>
        <w:t xml:space="preserve">// prohibited  ??  See [over.match.best] in C++ standard</w:t>
      </w:r>
      <w:r>
        <w:br/>
      </w:r>
      <w:r>
        <w:rPr>
          <w:rStyle w:val="NormalTok"/>
        </w:rPr>
        <w:t xml:space="preserve">  fp = bp;  </w:t>
      </w:r>
      <w:r>
        <w:rPr>
          <w:rStyle w:val="CommentTok"/>
        </w:rPr>
        <w:t xml:space="preserve">// prohibited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(fp == bp)…  </w:t>
      </w:r>
      <w:r>
        <w:rPr>
          <w:rStyle w:val="CommentTok"/>
        </w:rPr>
        <w:t xml:space="preserve">// is this equality defined??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"Freezing pt: "</w:t>
      </w:r>
      <w:r>
        <w:rPr>
          <w:rStyle w:val="NormalTok"/>
        </w:rPr>
        <w:t xml:space="preserve"> &lt;&lt; fp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fahrenheit{fp}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fp_F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"Boiling pt: "</w:t>
      </w:r>
      <w:r>
        <w:rPr>
          <w:rStyle w:val="NormalTok"/>
        </w:rPr>
        <w:t xml:space="preserve"> &lt;&lt; celsius{bp}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bp_C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enumeration and class types distinguishes different types with</w:t>
      </w:r>
      <w:r>
        <w:t xml:space="preserve"> </w:t>
      </w:r>
      <w:r>
        <w:t xml:space="preserve">identical structure. In contrast to C, where structural equivalence</w:t>
      </w:r>
      <w:r>
        <w:t xml:space="preserve"> </w:t>
      </w:r>
      <w:r>
        <w:t xml:space="preserve">allows to cast a value from one type as another type with a compatible</w:t>
      </w:r>
      <w:r>
        <w:t xml:space="preserve"> </w:t>
      </w:r>
      <w:r>
        <w:t xml:space="preserve">structure, C++ does have a few cases, (union types, reinterpret_cast)</w:t>
      </w:r>
      <w:r>
        <w:t xml:space="preserve"> </w:t>
      </w:r>
      <w:r>
        <w:t xml:space="preserve">where structurally equivalent types play a role, but those situations</w:t>
      </w:r>
      <w:r>
        <w:t xml:space="preserve"> </w:t>
      </w:r>
      <w:r>
        <w:t xml:space="preserve">come with their own set of vulnerabilities (note: needs section) and</w:t>
      </w:r>
      <w:r>
        <w:t xml:space="preserve"> </w:t>
      </w:r>
      <w:r>
        <w:t xml:space="preserve">should be avoided. Other cases, where C-style casts can be used to</w:t>
      </w:r>
      <w:r>
        <w:t xml:space="preserve"> </w:t>
      </w:r>
      <w:r>
        <w:t xml:space="preserve">reinterpret values as another type, are managed by the use of</w:t>
      </w:r>
      <w:r>
        <w:t xml:space="preserve"> </w:t>
      </w:r>
      <w:r>
        <w:t xml:space="preserve">appropriate C++-style casts (static, const, dynamic, reinterpret), These</w:t>
      </w:r>
      <w:r>
        <w:t xml:space="preserve"> </w:t>
      </w:r>
      <w:r>
        <w:t xml:space="preserve">named casts eliminate many of the issues associated with C-style casts.</w:t>
      </w:r>
      <w:r>
        <w:t xml:space="preserve"> </w:t>
      </w:r>
      <w:r>
        <w:t xml:space="preserve">See clauses 6.6 and 6.37 for a discussion of C++ conversion capabilities</w:t>
      </w:r>
      <w:r>
        <w:t xml:space="preserve"> </w:t>
      </w:r>
      <w:r>
        <w:t xml:space="preserve">and errors.</w:t>
      </w:r>
    </w:p>
    <w:p>
      <w:pPr>
        <w:pStyle w:val="BodyText"/>
      </w:pPr>
      <w:r>
        <w:t xml:space="preserve">Note that C++ aliasing mechanisms for types and templates (using,</w:t>
      </w:r>
      <w:r>
        <w:t xml:space="preserve"> </w:t>
      </w:r>
      <w:r>
        <w:t xml:space="preserve">typedef) do not provide new types or templates and thus a type alias is</w:t>
      </w:r>
      <w:r>
        <w:t xml:space="preserve"> </w:t>
      </w:r>
      <w:r>
        <w:t xml:space="preserve">considered identical to its original type.</w:t>
      </w:r>
    </w:p>
    <w:p>
      <w:pPr>
        <w:pStyle w:val="BodyText"/>
      </w:pPr>
      <w:r>
        <w:t xml:space="preserve">In addition to user-defined class types (</w:t>
      </w:r>
      <w:r>
        <w:rPr>
          <w:rStyle w:val="KeywordTok"/>
        </w:rPr>
        <w:t xml:space="preserve">struct</w:t>
      </w:r>
      <w:r>
        <w:t xml:space="preserve">,</w:t>
      </w:r>
      <w:r>
        <w:t xml:space="preserve"> </w:t>
      </w:r>
      <w:r>
        <w:rPr>
          <w:rStyle w:val="KeywordTok"/>
        </w:rPr>
        <w:t xml:space="preserve">union</w:t>
      </w:r>
      <w:r>
        <w:t xml:space="preserve">,</w:t>
      </w:r>
      <w:r>
        <w:t xml:space="preserve"> </w:t>
      </w:r>
      <w:r>
        <w:rPr>
          <w:rStyle w:val="KeywordTok"/>
        </w:rPr>
        <w:t xml:space="preserve">class</w:t>
      </w:r>
      <w:r>
        <w:t xml:space="preserve">), C++</w:t>
      </w:r>
      <w:r>
        <w:t xml:space="preserve"> </w:t>
      </w:r>
      <w:r>
        <w:t xml:space="preserve">allows the definition of enumeration types and the construction of</w:t>
      </w:r>
      <w:r>
        <w:t xml:space="preserve"> </w:t>
      </w:r>
      <w:r>
        <w:t xml:space="preserve">reference types, pointer types, array types and function types from</w:t>
      </w:r>
      <w:r>
        <w:t xml:space="preserve"> </w:t>
      </w:r>
      <w:r>
        <w:t xml:space="preserve">other types.</w:t>
      </w:r>
    </w:p>
    <w:p>
      <w:pPr>
        <w:pStyle w:val="BodyText"/>
      </w:pPr>
      <w:r>
        <w:t xml:space="preserve">Templates and the use of the keyword</w:t>
      </w:r>
      <w:r>
        <w:t xml:space="preserve"> </w:t>
      </w:r>
      <w:r>
        <w:rPr>
          <w:rStyle w:val="KeywordTok"/>
        </w:rPr>
        <w:t xml:space="preserve">auto</w:t>
      </w:r>
      <w:r>
        <w:t xml:space="preserve"> </w:t>
      </w:r>
      <w:r>
        <w:t xml:space="preserve">permits type-agnostic code</w:t>
      </w:r>
      <w:r>
        <w:t xml:space="preserve"> </w:t>
      </w:r>
      <w:r>
        <w:t xml:space="preserve">that determines free type parameters to be deduced or, additionally in</w:t>
      </w:r>
      <w:r>
        <w:t xml:space="preserve"> </w:t>
      </w:r>
      <w:r>
        <w:t xml:space="preserve">the case of templates, to be specified. C++20 concepts further allow</w:t>
      </w:r>
      <w:r>
        <w:t xml:space="preserve"> </w:t>
      </w:r>
      <w:r>
        <w:t xml:space="preserve">easier formulation of syntactic restrictions on the parameters (see 6.39</w:t>
      </w:r>
      <w:r>
        <w:t xml:space="preserve"> </w:t>
      </w:r>
      <w:r>
        <w:t xml:space="preserve">Templates and generics).</w:t>
      </w:r>
    </w:p>
    <w:p>
      <w:pPr>
        <w:pStyle w:val="BodyText"/>
      </w:pPr>
      <w:r>
        <w:t xml:space="preserve">Forming class hierarchies with virtual member functions in the base</w:t>
      </w:r>
      <w:r>
        <w:t xml:space="preserve"> </w:t>
      </w:r>
      <w:r>
        <w:t xml:space="preserve">class and corresponding overrides in derived classes introduce dynamic</w:t>
      </w:r>
      <w:r>
        <w:t xml:space="preserve"> </w:t>
      </w:r>
      <w:r>
        <w:t xml:space="preserve">typing that can be employed and checked at run-time, when the</w:t>
      </w:r>
      <w:r>
        <w:t xml:space="preserve"> </w:t>
      </w:r>
      <w:r>
        <w:t xml:space="preserve">corresponding object is passed by reference or pointer to one of its</w:t>
      </w:r>
      <w:r>
        <w:t xml:space="preserve"> </w:t>
      </w:r>
      <w:r>
        <w:t xml:space="preserve">base classes (see section</w:t>
      </w:r>
      <w:r>
        <w:t xml:space="preserve"> </w:t>
      </w:r>
      <w:r>
        <w:rPr>
          <w:i/>
        </w:rPr>
        <w:t xml:space="preserve">(inheritance, polymorphism)</w:t>
      </w:r>
      <w:r>
        <w:t xml:space="preserve">). Note, that in</w:t>
      </w:r>
      <w:r>
        <w:t xml:space="preserve"> </w:t>
      </w:r>
      <w:r>
        <w:t xml:space="preserve">constructors and destructors the object pointed to</w:t>
      </w:r>
      <w:r>
        <w:t xml:space="preserve"> </w:t>
      </w:r>
      <w:r>
        <w:rPr>
          <w:rStyle w:val="KeywordTok"/>
        </w:rPr>
        <w:t xml:space="preserve">this</w:t>
      </w:r>
      <w:r>
        <w:t xml:space="preserve"> </w:t>
      </w:r>
      <w:r>
        <w:t xml:space="preserve">is always</w:t>
      </w:r>
      <w:r>
        <w:t xml:space="preserve"> </w:t>
      </w:r>
      <w:r>
        <w:t xml:space="preserve">statically typed.</w:t>
      </w:r>
    </w:p>
    <w:p>
      <w:pPr>
        <w:pStyle w:val="BodyText"/>
      </w:pPr>
      <w:r>
        <w:t xml:space="preserve">Since C++ inherits some of the type system of C (arithmetic types and</w:t>
      </w:r>
      <w:r>
        <w:t xml:space="preserve"> </w:t>
      </w:r>
      <w:r>
        <w:t xml:space="preserve">pointers), it suffers similar vulnerabilities, such as those caused by</w:t>
      </w:r>
      <w:r>
        <w:t xml:space="preserve"> </w:t>
      </w:r>
      <w:r>
        <w:t xml:space="preserve">integral promotion, implicit numeric conversion, pointer arithmetic and</w:t>
      </w:r>
      <w:r>
        <w:t xml:space="preserve"> </w:t>
      </w:r>
      <w:r>
        <w:t xml:space="preserve">pointer casts. User-defined class types are vulnerable to unexpected</w:t>
      </w:r>
      <w:r>
        <w:t xml:space="preserve"> </w:t>
      </w:r>
      <w:r>
        <w:t xml:space="preserve">conversions due to implicitly applied converting constructors and</w:t>
      </w:r>
      <w:r>
        <w:t xml:space="preserve"> </w:t>
      </w:r>
      <w:r>
        <w:t xml:space="preserve">conversion operators (see</w:t>
      </w:r>
      <w:r>
        <w:t xml:space="preserve"> </w:t>
      </w:r>
      <w:r>
        <w:t xml:space="preserve">“</w:t>
      </w:r>
      <w:r>
        <w:t xml:space="preserve">type conversions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On the other hand, C++ provides mechanisms to define strong domain types</w:t>
      </w:r>
      <w:r>
        <w:t xml:space="preserve"> </w:t>
      </w:r>
      <w:r>
        <w:t xml:space="preserve">(without runtime overhead) that allow appropriate operators through</w:t>
      </w:r>
      <w:r>
        <w:t xml:space="preserve"> </w:t>
      </w:r>
      <w:r>
        <w:t xml:space="preserve">overloading, value range control through constructors and encapsulation</w:t>
      </w:r>
      <w:r>
        <w:t xml:space="preserve"> </w:t>
      </w:r>
      <w:r>
        <w:t xml:space="preserve">of data, without implicit or surprising conversions.</w:t>
      </w:r>
    </w:p>
    <w:p>
      <w:pPr>
        <w:pStyle w:val="BodyText"/>
      </w:pPr>
      <w:r>
        <w:t xml:space="preserve">There exist a few holes in the type system, often for backward</w:t>
      </w:r>
      <w:r>
        <w:t xml:space="preserve"> </w:t>
      </w:r>
      <w:r>
        <w:t xml:space="preserve">compatibility. See clause …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AI -- Peter, help by Paul -- Write up the introduction to this clause</w:t>
      </w:r>
      <w:r>
        <w:br/>
      </w:r>
      <w:r>
        <w:rPr>
          <w:rStyle w:val="VerbatimChar"/>
        </w:rPr>
        <w:t xml:space="preserve">following Erhard's outline.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C++-style casts eliminate many of the issues associated with C-style</w:t>
      </w:r>
      <w:r>
        <w:t xml:space="preserve"> </w:t>
      </w:r>
      <w:r>
        <w:t xml:space="preserve">casts. See clauses 6.6 and 6.37 for a discussion of C++ conversion</w:t>
      </w:r>
      <w:r>
        <w:t xml:space="preserve"> </w:t>
      </w:r>
      <w:r>
        <w:t xml:space="preserve">capabilities and errors.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Material from Richard)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Holes in the type system</w:t>
      </w:r>
    </w:p>
    <w:p>
      <w:pPr>
        <w:pStyle w:val="BodyText"/>
      </w:pPr>
      <w:r>
        <w:t xml:space="preserve">Shadow type system (explain) – Thoughts. – exception specification</w:t>
      </w:r>
      <w:r>
        <w:t xml:space="preserve"> </w:t>
      </w:r>
      <w:r>
        <w:t xml:space="preserve">don’t participate in a functions types, until they are invoked. (Michael</w:t>
      </w:r>
      <w:r>
        <w:t xml:space="preserve"> </w:t>
      </w:r>
      <w:r>
        <w:t xml:space="preserve">to provide some text in an email). This is only an issue before C++ 17.</w:t>
      </w:r>
      <w:r>
        <w:t xml:space="preserve"> </w:t>
      </w:r>
      <w:r>
        <w:t xml:space="preserve">Fixed by using noexecpt and avoiding throw.</w:t>
      </w:r>
    </w:p>
    <w:p>
      <w:pPr>
        <w:pStyle w:val="BodyText"/>
      </w:pPr>
      <w:r>
        <w:t xml:space="preserve">Don't write exception specifications on your functions unless you're</w:t>
      </w:r>
      <w:r>
        <w:t xml:space="preserve"> </w:t>
      </w:r>
      <w:r>
        <w:t xml:space="preserve">forced to (because other code you can't change has already introduced</w:t>
      </w:r>
      <w:r>
        <w:t xml:space="preserve"> </w:t>
      </w:r>
      <w:r>
        <w:t xml:space="preserve">them and/or you are in pre C++17 when dynamic exception was banned or</w:t>
      </w:r>
      <w:r>
        <w:t xml:space="preserve"> </w:t>
      </w:r>
      <w:r>
        <w:t xml:space="preserve">C++20 when empty throw specification was banned to be replaced by</w:t>
      </w:r>
      <w:r>
        <w:t xml:space="preserve"> </w:t>
      </w:r>
      <w:r>
        <w:t xml:space="preserve">noexcept)</w:t>
      </w:r>
    </w:p>
    <w:p>
      <w:pPr>
        <w:pStyle w:val="BodyText"/>
      </w:pPr>
      <w:r>
        <w:t xml:space="preserve">A specific issue exists with exceptions in that exception specifications</w:t>
      </w:r>
      <w:r>
        <w:t xml:space="preserve"> </w:t>
      </w:r>
      <w:r>
        <w:t xml:space="preserve">aren't part of a function's type, except when they are. They form a</w:t>
      </w:r>
      <w:r>
        <w:t xml:space="preserve"> </w:t>
      </w:r>
      <w:r>
        <w:t xml:space="preserve">shadow type system whereby writing an exception specification can be:</w:t>
      </w:r>
    </w:p>
    <w:p>
      <w:pPr>
        <w:numPr>
          <w:ilvl w:val="0"/>
          <w:numId w:val="1007"/>
        </w:numPr>
      </w:pPr>
      <w:r>
        <w:t xml:space="preserve">Illegal: In a typedef for a pointer to function.</w:t>
      </w:r>
    </w:p>
    <w:p>
      <w:pPr>
        <w:numPr>
          <w:ilvl w:val="0"/>
          <w:numId w:val="1007"/>
        </w:numPr>
      </w:pPr>
      <w:r>
        <w:t xml:space="preserve">Allowed: In the identical code without the typedef.</w:t>
      </w:r>
    </w:p>
    <w:p>
      <w:pPr>
        <w:numPr>
          <w:ilvl w:val="0"/>
          <w:numId w:val="1007"/>
        </w:numPr>
      </w:pPr>
      <w:r>
        <w:t xml:space="preserve">Required: In the declaration of a virtual function that overrides a</w:t>
      </w:r>
      <w:r>
        <w:t xml:space="preserve"> </w:t>
      </w:r>
      <w:r>
        <w:t xml:space="preserve">base class virtual function that has an exception specification.</w:t>
      </w:r>
    </w:p>
    <w:p>
      <w:pPr>
        <w:numPr>
          <w:ilvl w:val="0"/>
          <w:numId w:val="1007"/>
        </w:numPr>
      </w:pPr>
      <w:r>
        <w:t xml:space="preserve">Implicit and automatic: In the declaration of the constructors,</w:t>
      </w:r>
      <w:r>
        <w:t xml:space="preserve"> </w:t>
      </w:r>
      <w:r>
        <w:t xml:space="preserve">assignment operators, and destructors when they are implicitly</w:t>
      </w:r>
      <w:r>
        <w:t xml:space="preserve"> </w:t>
      </w:r>
      <w:r>
        <w:t xml:space="preserve">generated by the compiler.</w:t>
      </w:r>
    </w:p>
    <w:p>
      <w:pPr>
        <w:pStyle w:val="FirstParagraph"/>
      </w:pPr>
      <w:r>
        <w:t xml:space="preserve">A common but incorrect belief is that exception specifications</w:t>
      </w:r>
      <w:r>
        <w:t xml:space="preserve"> </w:t>
      </w:r>
      <w:r>
        <w:t xml:space="preserve">statically guarantee that functions will throw only listed exceptions</w:t>
      </w:r>
      <w:r>
        <w:t xml:space="preserve"> </w:t>
      </w:r>
      <w:r>
        <w:t xml:space="preserve">(possibly none), and will enable compiler optimizations based on that</w:t>
      </w:r>
      <w:r>
        <w:t xml:space="preserve"> </w:t>
      </w:r>
      <w:r>
        <w:t xml:space="preserve">knowledge. Instead, exceptions cause the compiler to inject additional</w:t>
      </w:r>
      <w:r>
        <w:t xml:space="preserve"> </w:t>
      </w:r>
      <w:r>
        <w:t xml:space="preserve">run-time overhead in the form of implicit try/catch blocks around the</w:t>
      </w:r>
      <w:r>
        <w:t xml:space="preserve"> </w:t>
      </w:r>
      <w:r>
        <w:t xml:space="preserve">function body to enforce via run-time checking that the function does in</w:t>
      </w:r>
      <w:r>
        <w:t xml:space="preserve"> </w:t>
      </w:r>
      <w:r>
        <w:t xml:space="preserve">fact emit only listed exceptions (possibly none), unless the compiler</w:t>
      </w:r>
      <w:r>
        <w:t xml:space="preserve"> </w:t>
      </w:r>
      <w:r>
        <w:t xml:space="preserve">can statically prove that the exception specification can never be</w:t>
      </w:r>
      <w:r>
        <w:t xml:space="preserve"> </w:t>
      </w:r>
      <w:r>
        <w:t xml:space="preserve">violated in which case it is free to optimize the checking away. In</w:t>
      </w:r>
      <w:r>
        <w:t xml:space="preserve"> </w:t>
      </w:r>
      <w:r>
        <w:t xml:space="preserve">addition, exception specifications can both enable and prevent further</w:t>
      </w:r>
      <w:r>
        <w:t xml:space="preserve"> </w:t>
      </w:r>
      <w:r>
        <w:t xml:space="preserve">compiler optimizations (besides the inherent overhead already</w:t>
      </w:r>
      <w:r>
        <w:t xml:space="preserve"> </w:t>
      </w:r>
      <w:r>
        <w:t xml:space="preserve">described); for example, some compilers refuse to inline functions that</w:t>
      </w:r>
      <w:r>
        <w:t xml:space="preserve"> </w:t>
      </w:r>
      <w:r>
        <w:t xml:space="preserve">have exception specifications.</w:t>
      </w:r>
    </w:p>
    <w:p>
      <w:pPr>
        <w:pStyle w:val="BodyText"/>
      </w:pPr>
      <w:r>
        <w:t xml:space="preserve">When these rules are violated, by default they immediately terminate</w:t>
      </w:r>
      <w:r>
        <w:t xml:space="preserve"> </w:t>
      </w:r>
      <w:r>
        <w:t xml:space="preserve">your program.</w:t>
      </w:r>
    </w:p>
    <w:p>
      <w:pPr>
        <w:pStyle w:val="BodyText"/>
      </w:pPr>
      <w:r>
        <w:t xml:space="preserve">You generally can't write useful exception specifications for function</w:t>
      </w:r>
      <w:r>
        <w:t xml:space="preserve"> </w:t>
      </w:r>
      <w:r>
        <w:t xml:space="preserve">templates anyway, because you generally can't tell what exceptions the</w:t>
      </w:r>
      <w:r>
        <w:t xml:space="preserve"> </w:t>
      </w:r>
      <w:r>
        <w:t xml:space="preserve">types they operate on might throw.</w:t>
      </w:r>
    </w:p>
    <w:p>
      <w:pPr>
        <w:pStyle w:val="BodyText"/>
      </w:pPr>
      <w:r>
        <w:t xml:space="preserve">Exceptions : - see 6.36</w:t>
      </w:r>
    </w:p>
    <w:p>
      <w:pPr>
        <w:pStyle w:val="BodyText"/>
      </w:pPr>
      <w:r>
        <w:t xml:space="preserve">Incomplete types and operations on incomplete types – usually checked</w:t>
      </w:r>
      <w:r>
        <w:t xml:space="preserve"> </w:t>
      </w:r>
      <w:r>
        <w:t xml:space="preserve">by the compiler but some holes exist, for example when a virtual</w:t>
      </w:r>
      <w:r>
        <w:t xml:space="preserve"> </w:t>
      </w:r>
      <w:r>
        <w:t xml:space="preserve">function is invoked from within a class constructor or destructor.</w:t>
      </w:r>
    </w:p>
    <w:p>
      <w:pPr>
        <w:pStyle w:val="BodyText"/>
      </w:pPr>
      <w:r>
        <w:t xml:space="preserve">Mitigation, don’t overload unary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,</w:t>
      </w:r>
      <w:r>
        <w:t xml:space="preserve">, don’t delete an object of</w:t>
      </w:r>
      <w:r>
        <w:t xml:space="preserve"> </w:t>
      </w:r>
      <w:r>
        <w:t xml:space="preserve">an incomplete class type,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&gt; AI -- Paul -- explain.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don’t invoke virtual functions in</w:t>
      </w:r>
      <w:r>
        <w:t xml:space="preserve"> </w:t>
      </w:r>
      <w:r>
        <w:t xml:space="preserve">constructors and destructors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High level issues</w:t>
      </w:r>
      <w:r>
        <w:br/>
      </w:r>
      <w:r>
        <w:br/>
      </w:r>
      <w:r>
        <w:rPr>
          <w:rStyle w:val="VerbatimChar"/>
        </w:rPr>
        <w:t xml:space="preserve">Note: discuss the problems with unions.</w:t>
      </w:r>
      <w:r>
        <w:br/>
      </w:r>
      <w:r>
        <w:br/>
      </w:r>
      <w:r>
        <w:rPr>
          <w:rStyle w:val="VerbatimChar"/>
        </w:rPr>
        <w:t xml:space="preserve">*NOTE: Ensure that the above explicit text is put into the relevant</w:t>
      </w:r>
      <w:r>
        <w:br/>
      </w:r>
      <w:r>
        <w:rPr>
          <w:rStyle w:val="VerbatimChar"/>
        </w:rPr>
        <w:t xml:space="preserve">sections and generalize or forward reference in this section.*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overloading of operators can cause significant issues. See clause</w:t>
      </w:r>
      <w:r>
        <w:t xml:space="preserve"> </w:t>
      </w:r>
      <w:r>
        <w:t xml:space="preserve">6.23.</w:t>
      </w:r>
    </w:p>
    <w:p>
      <w:pPr>
        <w:pStyle w:val="BodyText"/>
      </w:pPr>
      <w:r>
        <w:t xml:space="preserve">C++ does not enforce consistent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along all</w:t>
      </w:r>
      <w:r>
        <w:t xml:space="preserve"> </w:t>
      </w:r>
      <w:r>
        <w:t xml:space="preserve">access paths to an object. See clause 6.65.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 Issue moved here*</w:t>
      </w:r>
      <w:r>
        <w:br/>
      </w:r>
      <w:r>
        <w:rPr>
          <w:rStyle w:val="VerbatimChar"/>
        </w:rPr>
        <w:t xml:space="preserve">from 6.41(?)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Templates and</w:t>
      </w:r>
      <w:r>
        <w:t xml:space="preserve"> </w:t>
      </w:r>
      <w:r>
        <w:t xml:space="preserve">Generics- Templates take a hit because it is possible to invoke a</w:t>
      </w:r>
      <w:r>
        <w:t xml:space="preserve"> </w:t>
      </w:r>
      <w:r>
        <w:t xml:space="preserve">template with a type that does not have all of the operations necessary</w:t>
      </w:r>
      <w:r>
        <w:t xml:space="preserve"> </w:t>
      </w:r>
      <w:r>
        <w:t xml:space="preserve">to correctly execute the operations. For example, if an instantiation of</w:t>
      </w:r>
      <w:r>
        <w:t xml:space="preserve"> </w:t>
      </w:r>
      <w:r>
        <w:t xml:space="preserve">a template type parameter does not implement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(or is it</w:t>
      </w:r>
      <w:r>
        <w:t xml:space="preserve"> </w:t>
      </w:r>
      <w:r>
        <w:t xml:space="preserve">“</w:t>
      </w:r>
      <w:r>
        <w:t xml:space="preserve">less</w:t>
      </w:r>
      <w:r>
        <w:t xml:space="preserve">”</w:t>
      </w:r>
      <w:r>
        <w:t xml:space="preserve">?) and</w:t>
      </w:r>
      <w:r>
        <w:t xml:space="preserve"> </w:t>
      </w:r>
      <w:r>
        <w:t xml:space="preserve">the underlying code executes a</w:t>
      </w:r>
      <w:r>
        <w:t xml:space="preserve"> </w:t>
      </w:r>
      <w:r>
        <w:t xml:space="preserve">“</w:t>
      </w:r>
      <w:r>
        <w:t xml:space="preserve">sort</w:t>
      </w:r>
      <w:r>
        <w:t xml:space="preserve">”</w:t>
      </w:r>
      <w:r>
        <w:t xml:space="preserve">, the sort will call whatever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it can use. If a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had been defined for a related type, then that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will be called. The experts at meeting 67 say that this is not</w:t>
      </w:r>
      <w:r>
        <w:t xml:space="preserve"> </w:t>
      </w:r>
      <w:r>
        <w:t xml:space="preserve">exclusive to templates, so the problem should be assigned here and</w:t>
      </w:r>
      <w:r>
        <w:t xml:space="preserve"> </w:t>
      </w:r>
      <w:r>
        <w:t xml:space="preserve">referenced from templates.*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2020 -- Another issue appears*</w:t>
      </w:r>
      <w:r>
        <w:br/>
      </w:r>
      <w:r>
        <w:rPr>
          <w:rStyle w:val="VerbatimChar"/>
        </w:rPr>
        <w:t xml:space="preserve">to be that some primitive types</w:t>
      </w:r>
      <w:r>
        <w:br/>
      </w:r>
      <w:r>
        <w:rPr>
          <w:rStyle w:val="VerbatimChar"/>
        </w:rPr>
        <w:t xml:space="preserve">have operations that are inappropriate for the type. For example, the</w:t>
      </w:r>
      <w:r>
        <w:br/>
      </w:r>
      <w:r>
        <w:rPr>
          <w:rStyle w:val="VerbatimChar"/>
        </w:rPr>
        <w:t xml:space="preserve">basic type for characters include operators "+", "-", "\&lt;", "\*" which</w:t>
      </w:r>
      <w:r>
        <w:br/>
      </w:r>
      <w:r>
        <w:rPr>
          <w:rStyle w:val="VerbatimChar"/>
        </w:rPr>
        <w:t xml:space="preserve">operate on the underlying integer representation. Passing such types</w:t>
      </w:r>
      <w:r>
        <w:br/>
      </w:r>
      <w:r>
        <w:rPr>
          <w:rStyle w:val="VerbatimChar"/>
        </w:rPr>
        <w:t xml:space="preserve">into templates or into a class can result in the fundamental integer</w:t>
      </w:r>
      <w:r>
        <w:br/>
      </w:r>
      <w:r>
        <w:rPr>
          <w:rStyle w:val="VerbatimChar"/>
        </w:rPr>
        <w:t xml:space="preserve">operation being called instead of a higher-level operation to perform,</w:t>
      </w:r>
      <w:r>
        <w:br/>
      </w:r>
      <w:r>
        <w:rPr>
          <w:rStyle w:val="VerbatimChar"/>
        </w:rPr>
        <w:t xml:space="preserve">for example, comparison on a ISO 8859 character set. The only</w:t>
      </w:r>
      <w:r>
        <w:br/>
      </w:r>
      <w:r>
        <w:rPr>
          <w:rStyle w:val="VerbatimChar"/>
        </w:rPr>
        <w:t xml:space="preserve">work-around appears to be to define classes with the fundamental type</w:t>
      </w:r>
      <w:r>
        <w:br/>
      </w:r>
      <w:r>
        <w:rPr>
          <w:rStyle w:val="VerbatimChar"/>
        </w:rPr>
        <w:t xml:space="preserve">and legal operations as the only operators.*</w:t>
      </w:r>
      <w:r>
        <w:br/>
      </w:r>
      <w:r>
        <w:rPr>
          <w:rStyle w:val="VerbatimChar"/>
        </w:rPr>
        <w:t xml:space="preserve">---&gt;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*Question -- how does the "." Operator interact with such types?(Maybe</w:t>
      </w:r>
      <w:r>
        <w:br/>
      </w:r>
      <w:r>
        <w:rPr>
          <w:rStyle w:val="VerbatimChar"/>
        </w:rPr>
        <w:t xml:space="preserve">this comma operator?)*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 recommendation for future revisions of the language could be to</w:t>
      </w:r>
      <w:r>
        <w:br/>
      </w:r>
      <w:r>
        <w:rPr>
          <w:rStyle w:val="VerbatimChar"/>
        </w:rPr>
        <w:t xml:space="preserve">provide a way to remove basic operations from types such as enumeration</w:t>
      </w:r>
      <w:r>
        <w:br/>
      </w:r>
      <w:r>
        <w:rPr>
          <w:rStyle w:val="VerbatimChar"/>
        </w:rPr>
        <w:t xml:space="preserve">types or characters.*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References</w:t>
      </w:r>
    </w:p>
    <w:p>
      <w:pPr>
        <w:numPr>
          <w:ilvl w:val="0"/>
          <w:numId w:val="1008"/>
        </w:numPr>
      </w:pPr>
      <w:r>
        <w:t xml:space="preserve">CERT section OOP (AI – Aaron to provide others), (note that some of</w:t>
      </w:r>
      <w:r>
        <w:t xml:space="preserve"> </w:t>
      </w:r>
      <w:r>
        <w:t xml:space="preserve">these will likely migrate to other vulnerabilities)x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DCL52-CPP. Never qualify a reference type with const or</w:t>
      </w:r>
    </w:p>
    <w:p>
      <w:pPr>
        <w:numPr>
          <w:ilvl w:val="1"/>
          <w:numId w:val="1000"/>
        </w:numPr>
      </w:pPr>
      <w:r>
        <w:t xml:space="preserve">volatile</w:t>
      </w:r>
      <w:r>
        <w:br/>
      </w:r>
      <w:r>
        <w:t xml:space="preserve">(this one is odd because the language makes this an error, but</w:t>
      </w:r>
      <w:r>
        <w:t xml:space="preserve"> </w:t>
      </w:r>
      <w:r>
        <w:t xml:space="preserve">some</w:t>
      </w:r>
      <w:r>
        <w:br/>
      </w:r>
      <w:r>
        <w:t xml:space="preserve">compilers like MSVC only warn on it, but will still translate</w:t>
      </w:r>
      <w:r>
        <w:t xml:space="preserve"> </w:t>
      </w:r>
      <w:r>
        <w:t xml:space="preserve">the</w:t>
      </w:r>
      <w:r>
        <w:br/>
      </w:r>
      <w:r>
        <w:t xml:space="preserve">source somehow)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EXP55-CPP. Do not access a cv-qualified object through a</w:t>
      </w:r>
    </w:p>
    <w:p>
      <w:pPr>
        <w:numPr>
          <w:ilvl w:val="1"/>
          <w:numId w:val="1000"/>
        </w:numPr>
      </w:pPr>
      <w:r>
        <w:t xml:space="preserve">cv-unqualified 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EXP47-C. Do not call va_arg with an argument of the incorrect</w:t>
      </w:r>
    </w:p>
    <w:p>
      <w:pPr>
        <w:numPr>
          <w:ilvl w:val="1"/>
          <w:numId w:val="1000"/>
        </w:numPr>
      </w:pPr>
      <w:r>
        <w:t xml:space="preserve">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OOP51-CPP. Do not slice derived objects</w:t>
      </w:r>
    </w:p>
    <w:p>
      <w:pPr>
        <w:numPr>
          <w:ilvl w:val="0"/>
          <w:numId w:val="1008"/>
        </w:numPr>
      </w:pPr>
      <w:r>
        <w:t xml:space="preserve">AI – Lisa – look at C++ Core Guidelines for</w:t>
      </w:r>
      <w:r>
        <w:t xml:space="preserve"> </w:t>
      </w:r>
      <w:r>
        <w:t xml:space="preserve">“</w:t>
      </w:r>
      <w:r>
        <w:t xml:space="preserve">casts</w:t>
      </w:r>
      <w:r>
        <w:t xml:space="preserve">”</w:t>
      </w:r>
      <w:r>
        <w:t xml:space="preserve"> </w:t>
      </w:r>
      <w:r>
        <w:t xml:space="preserve">(-&gt; 6.6)</w:t>
      </w:r>
    </w:p>
    <w:p>
      <w:pPr>
        <w:numPr>
          <w:ilvl w:val="0"/>
          <w:numId w:val="1008"/>
        </w:numPr>
      </w:pPr>
      <w:r>
        <w:t xml:space="preserve">AUTOSAR (AI Peter to work with AUTOSAR to provide references)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pStyle w:val="FirstParagraph"/>
      </w:pPr>
      <w:r>
        <w:t xml:space="preserve">For specific types discussed in this document, such as floating point</w:t>
      </w:r>
      <w:r>
        <w:t xml:space="preserve"> </w:t>
      </w:r>
      <w:r>
        <w:t xml:space="preserve">types, see the respective</w:t>
      </w:r>
      <w:r>
        <w:t xml:space="preserve"> </w:t>
      </w:r>
      <w:r>
        <w:t xml:space="preserve">clauses.</w:t>
      </w:r>
    </w:p>
    <w:p>
      <w:pPr>
        <w:numPr>
          <w:ilvl w:val="0"/>
          <w:numId w:val="1011"/>
        </w:numPr>
      </w:pPr>
      <w:r>
        <w:t xml:space="preserve">Be aware of the rules for typing and conversions with fundamental</w:t>
      </w:r>
      <w:r>
        <w:t xml:space="preserve"> </w:t>
      </w:r>
      <w:r>
        <w:t xml:space="preserve">types (i.e., built-in language types) and operators to avoid</w:t>
      </w:r>
      <w:r>
        <w:t xml:space="preserve"> </w:t>
      </w:r>
      <w:r>
        <w:t xml:space="preserve">vulnerabilities.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To help aid correctness of code, couple all scalar values (e.g.,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etc.) that have units (e.g., metres,</w:t>
      </w:r>
      <w:r>
        <w:t xml:space="preserve"> </w:t>
      </w:r>
      <w:r>
        <w:t xml:space="preserve">grams, litres, etc.) with suitable types representing those</w:t>
      </w:r>
      <w:r>
        <w:t xml:space="preserve"> </w:t>
      </w:r>
      <w:r>
        <w:t xml:space="preserve">units. This will allow the compiler to generate errors with</w:t>
      </w:r>
      <w:r>
        <w:t xml:space="preserve"> </w:t>
      </w:r>
      <w:r>
        <w:t xml:space="preserve">scalar-with-unit-type-values when they are used with operations</w:t>
      </w:r>
      <w:r>
        <w:t xml:space="preserve"> </w:t>
      </w:r>
      <w:r>
        <w:t xml:space="preserve">that are incompatible.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User-defined literals</w:t>
      </w:r>
    </w:p>
    <w:p>
      <w:pPr>
        <w:numPr>
          <w:ilvl w:val="1"/>
          <w:numId w:val="1000"/>
        </w:numPr>
      </w:pPr>
      <w:r>
        <w:t xml:space="preserve">(This lets you define 15_C and 15_F)</w:t>
      </w:r>
    </w:p>
    <w:p>
      <w:pPr>
        <w:numPr>
          <w:ilvl w:val="2"/>
          <w:numId w:val="1013"/>
        </w:numPr>
        <w:pStyle w:val="SourceCode"/>
      </w:pPr>
      <w:r>
        <w:rPr>
          <w:rStyle w:val="VerbatimChar"/>
        </w:rPr>
        <w:t xml:space="preserve">      *(AI -- Paul -- Write up)*</w:t>
      </w:r>
    </w:p>
    <w:p>
      <w:pPr>
        <w:numPr>
          <w:ilvl w:val="0"/>
          <w:numId w:val="1011"/>
        </w:numPr>
      </w:pPr>
      <w:r>
        <w:t xml:space="preserve">Make converting constructors and conversion functions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to</w:t>
      </w:r>
      <w:r>
        <w:t xml:space="preserve"> </w:t>
      </w:r>
      <w:r>
        <w:t xml:space="preserve">avoid them being used implicitly or in unexpected</w:t>
      </w:r>
      <w:r>
        <w:t xml:space="preserve"> </w:t>
      </w:r>
      <w:r>
        <w:t xml:space="preserve">ways. (</w:t>
      </w:r>
      <w:r>
        <w:rPr>
          <w:i/>
        </w:rPr>
        <w:t xml:space="preserve">Move to 6.6)</w:t>
      </w:r>
    </w:p>
    <w:p>
      <w:pPr>
        <w:numPr>
          <w:ilvl w:val="0"/>
          <w:numId w:val="1011"/>
        </w:numPr>
      </w:pPr>
      <w:r>
        <w:t xml:space="preserve">Do not use union without an associated indicator as to which member</w:t>
      </w:r>
      <w:r>
        <w:t xml:space="preserve"> </w:t>
      </w:r>
      <w:r>
        <w:t xml:space="preserve">it holds, alternatively wrap a union in a class with a type field or</w:t>
      </w:r>
      <w:r>
        <w:t xml:space="preserve"> </w:t>
      </w:r>
      <w:r>
        <w:t xml:space="preserve">use C++:17 std::variant (see clause 23.7 of ISO/IEC 14882:2017)</w:t>
      </w:r>
    </w:p>
    <w:p>
      <w:pPr>
        <w:numPr>
          <w:ilvl w:val="0"/>
          <w:numId w:val="1011"/>
        </w:numPr>
      </w:pPr>
      <w:r>
        <w:t xml:space="preserve">Use unsigned integer types when manipulating integral values' bits.</w:t>
      </w:r>
    </w:p>
    <w:p>
      <w:pPr>
        <w:numPr>
          <w:ilvl w:val="0"/>
          <w:numId w:val="1011"/>
        </w:numPr>
      </w:pPr>
      <w:r>
        <w:t xml:space="preserve">Use one of (not both!) unsigned or signed integral types within</w:t>
      </w:r>
      <w:r>
        <w:t xml:space="preserve"> </w:t>
      </w:r>
      <w:r>
        <w:t xml:space="preserve">expressions to help avoid programming mistakes, consistently</w:t>
      </w:r>
    </w:p>
    <w:p>
      <w:pPr>
        <w:numPr>
          <w:ilvl w:val="0"/>
          <w:numId w:val="1011"/>
        </w:numPr>
      </w:pPr>
      <w:r>
        <w:t xml:space="preserve">Treat explicit casts as candidates for code refactoring, i.e.,</w:t>
      </w:r>
      <w:r>
        <w:t xml:space="preserve"> </w:t>
      </w:r>
      <w:r>
        <w:t xml:space="preserve">ideally explicit casts should not be required in the</w:t>
      </w:r>
      <w:r>
        <w:t xml:space="preserve"> </w:t>
      </w:r>
      <w:r>
        <w:t xml:space="preserve">code.</w:t>
      </w:r>
    </w:p>
    <w:p>
      <w:pPr>
        <w:numPr>
          <w:ilvl w:val="0"/>
          <w:numId w:val="1011"/>
        </w:numPr>
      </w:pPr>
      <w:r>
        <w:t xml:space="preserve">Avoid casting 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:. Doing so can result in undefined</w:t>
      </w:r>
      <w:r>
        <w:t xml:space="preserve"> </w:t>
      </w:r>
      <w:r>
        <w:t xml:space="preserve">behaviour that may not be detectable by the compiler or other tools.</w:t>
      </w:r>
      <w:r>
        <w:t xml:space="preserve"> </w:t>
      </w:r>
      <w:r>
        <w:t xml:space="preserve">Refactor code so that it handles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and non-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types</w:t>
      </w:r>
      <w:r>
        <w:t xml:space="preserve"> </w:t>
      </w:r>
      <w:r>
        <w:t xml:space="preserve">properly. See clause 6.65.</w:t>
      </w:r>
    </w:p>
    <w:p>
      <w:pPr>
        <w:numPr>
          <w:ilvl w:val="0"/>
          <w:numId w:val="1011"/>
        </w:numPr>
      </w:pPr>
      <w:r>
        <w:t xml:space="preserve">don’t overload 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&amp;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,</w:t>
      </w:r>
      <w:r>
        <w:t xml:space="preserve">”</w:t>
      </w:r>
      <w:r>
        <w:t xml:space="preserve">,</w:t>
      </w:r>
    </w:p>
    <w:p>
      <w:pPr>
        <w:numPr>
          <w:ilvl w:val="0"/>
          <w:numId w:val="1011"/>
        </w:numPr>
      </w:pPr>
      <w:r>
        <w:t xml:space="preserve">don’t delete an incomplete class type,</w:t>
      </w:r>
    </w:p>
    <w:p>
      <w:pPr>
        <w:numPr>
          <w:ilvl w:val="0"/>
          <w:numId w:val="1011"/>
        </w:numPr>
      </w:pPr>
      <w:r>
        <w:t xml:space="preserve">don’t invoke virtual functions in constructors and destructors. See</w:t>
      </w:r>
      <w:r>
        <w:t xml:space="preserve"> </w:t>
      </w:r>
      <w:r>
        <w:t xml:space="preserve">clause 6.43.</w:t>
      </w:r>
    </w:p>
    <w:p>
      <w:pPr>
        <w:pStyle w:val="BlockText"/>
      </w:pPr>
      <w:r>
        <w:t xml:space="preserve">[+ the guidance already in the document as WG23 decides (or moves to</w:t>
      </w:r>
      <w:r>
        <w:t xml:space="preserve"> </w:t>
      </w:r>
      <w:r>
        <w:t xml:space="preserve">another section or otherwise edits) --there are a lot of items</w:t>
      </w:r>
      <w:r>
        <w:t xml:space="preserve"> </w:t>
      </w:r>
      <w:r>
        <w:t xml:space="preserve">listed]</w:t>
      </w:r>
    </w:p>
    <w:p>
      <w:pPr>
        <w:pStyle w:val="Normal(Web)"/>
      </w:pPr>
      <w:r>
        <w:t xml:space="preserve">From Part 1. The Part 1 guidelines were accepted but are left here for</w:t>
      </w:r>
      <w:r>
        <w:t xml:space="preserve"> </w:t>
      </w:r>
      <w:r>
        <w:t xml:space="preserve">review.</w:t>
      </w:r>
    </w:p>
    <w:p>
      <w:pPr>
        <w:numPr>
          <w:ilvl w:val="0"/>
          <w:numId w:val="1014"/>
        </w:numPr>
      </w:pPr>
      <w:r>
        <w:t xml:space="preserve">Take advantage of any facility offered by the programming language</w:t>
      </w:r>
      <w:r>
        <w:t xml:space="preserve"> </w:t>
      </w:r>
      <w:r>
        <w:t xml:space="preserve">to declare distinct types and use any mechanism provided by the</w:t>
      </w:r>
      <w:r>
        <w:t xml:space="preserve"> </w:t>
      </w:r>
      <w:r>
        <w:t xml:space="preserve">language processor and related tools to check for or enforce type</w:t>
      </w:r>
      <w:r>
        <w:t xml:space="preserve"> </w:t>
      </w:r>
      <w:r>
        <w:t xml:space="preserve">compatibility.</w:t>
      </w:r>
    </w:p>
    <w:p>
      <w:pPr>
        <w:numPr>
          <w:ilvl w:val="0"/>
          <w:numId w:val="1014"/>
        </w:numPr>
      </w:pPr>
      <w:r>
        <w:t xml:space="preserve">Use available language and tools facilities to preclude or detect</w:t>
      </w:r>
      <w:r>
        <w:t xml:space="preserve"> </w:t>
      </w:r>
      <w:r>
        <w:t xml:space="preserve">the occurrence of implicit type conversions, such as those in mixed</w:t>
      </w:r>
      <w:r>
        <w:t xml:space="preserve"> </w:t>
      </w:r>
      <w:r>
        <w:t xml:space="preserve">type arithmetic. If it is not possible, use human review to assist</w:t>
      </w:r>
      <w:r>
        <w:t xml:space="preserve"> </w:t>
      </w:r>
      <w:r>
        <w:t xml:space="preserve">in searching for implicit conversions.</w:t>
      </w:r>
    </w:p>
    <w:p>
      <w:pPr>
        <w:numPr>
          <w:ilvl w:val="0"/>
          <w:numId w:val="1014"/>
        </w:numPr>
      </w:pPr>
      <w:r>
        <w:t xml:space="preserve">Avoid explicit type conversion of data values except when there is</w:t>
      </w:r>
      <w:r>
        <w:t xml:space="preserve"> </w:t>
      </w:r>
      <w:r>
        <w:t xml:space="preserve">no alternative. Document such occurrences so that the justification</w:t>
      </w:r>
      <w:r>
        <w:t xml:space="preserve"> </w:t>
      </w:r>
      <w:r>
        <w:t xml:space="preserve">is made available to maintainers.</w:t>
      </w:r>
    </w:p>
    <w:p>
      <w:pPr>
        <w:numPr>
          <w:ilvl w:val="0"/>
          <w:numId w:val="1014"/>
        </w:numPr>
      </w:pPr>
      <w:r>
        <w:t xml:space="preserve">Use the most restricted data type that suffices to accomplish the</w:t>
      </w:r>
      <w:r>
        <w:t xml:space="preserve"> </w:t>
      </w:r>
      <w:r>
        <w:t xml:space="preserve">job. For example, use an enumeration type to select from a limited</w:t>
      </w:r>
      <w:r>
        <w:t xml:space="preserve"> </w:t>
      </w:r>
      <w:r>
        <w:t xml:space="preserve">set of choices (such as, a switch statement or the discriminant of a</w:t>
      </w:r>
      <w:r>
        <w:t xml:space="preserve"> </w:t>
      </w:r>
      <w:r>
        <w:t xml:space="preserve">union type) rather than a more general type, such as integer. This</w:t>
      </w:r>
      <w:r>
        <w:t xml:space="preserve"> </w:t>
      </w:r>
      <w:r>
        <w:t xml:space="preserve">will make it possible for tooling to check if all possible choices</w:t>
      </w:r>
      <w:r>
        <w:t xml:space="preserve"> </w:t>
      </w:r>
      <w:r>
        <w:t xml:space="preserve">have been covered.</w:t>
      </w:r>
    </w:p>
    <w:p>
      <w:pPr>
        <w:numPr>
          <w:ilvl w:val="0"/>
          <w:numId w:val="1014"/>
        </w:numPr>
      </w:pPr>
      <w:r>
        <w:t xml:space="preserve">Always respect the implied unit systems, when converting explicitly</w:t>
      </w:r>
      <w:r>
        <w:t xml:space="preserve"> </w:t>
      </w:r>
      <w:r>
        <w:t xml:space="preserve">from one numeric type to another.</w:t>
      </w:r>
    </w:p>
    <w:p>
      <w:pPr>
        <w:pStyle w:val="FirstParagraph"/>
      </w:pPr>
      <w:r>
        <w:t xml:space="preserve">(Explicit C++ guidance for unit-based types.</w:t>
      </w:r>
    </w:p>
    <w:p>
      <w:pPr>
        <w:numPr>
          <w:ilvl w:val="0"/>
          <w:numId w:val="1015"/>
        </w:numPr>
      </w:pPr>
      <w:r>
        <w:t xml:space="preserve">Follow the guidance of TR 24772-1 clause 6.2.5.</w:t>
      </w:r>
    </w:p>
    <w:p>
      <w:pPr>
        <w:numPr>
          <w:ilvl w:val="0"/>
          <w:numId w:val="1015"/>
        </w:numPr>
      </w:pPr>
      <w:r>
        <w:t xml:space="preserve">Use distinct C++ types for unit systems if available or define</w:t>
      </w:r>
      <w:r>
        <w:t xml:space="preserve"> </w:t>
      </w:r>
      <w:r>
        <w:t xml:space="preserve">explicit unit-based types.)</w:t>
      </w:r>
    </w:p>
    <w:p>
      <w:pPr>
        <w:numPr>
          <w:ilvl w:val="0"/>
          <w:numId w:val="1016"/>
        </w:numPr>
      </w:pPr>
      <w:r>
        <w:t xml:space="preserve">Treat every compiler, tool, or run-time diagnostic concerning type</w:t>
      </w:r>
      <w:r>
        <w:t xml:space="preserve"> </w:t>
      </w:r>
      <w:r>
        <w:t xml:space="preserve">compatibility as a serious issue. Do not resolve the problem by</w:t>
      </w:r>
      <w:r>
        <w:t xml:space="preserve"> </w:t>
      </w:r>
      <w:r>
        <w:t xml:space="preserve">modifying the code to include an explicit conversion, without</w:t>
      </w:r>
      <w:r>
        <w:t xml:space="preserve"> </w:t>
      </w:r>
      <w:r>
        <w:t xml:space="preserve">further analysis; instead examine the underlying design to determine</w:t>
      </w:r>
      <w:r>
        <w:t xml:space="preserve"> </w:t>
      </w:r>
      <w:r>
        <w:t xml:space="preserve">if the type error is a symptom of a deeper problem.</w:t>
      </w:r>
    </w:p>
    <w:p>
      <w:pPr>
        <w:numPr>
          <w:ilvl w:val="0"/>
          <w:numId w:val="1016"/>
        </w:numPr>
      </w:pPr>
      <w:r>
        <w:rPr>
          <w:i/>
        </w:rPr>
        <w:t xml:space="preserve">Never ignore instances of implicit type conversion; if the</w:t>
      </w:r>
      <w:r>
        <w:rPr>
          <w:i/>
        </w:rPr>
        <w:t xml:space="preserve"> </w:t>
      </w:r>
      <w:r>
        <w:rPr>
          <w:i/>
        </w:rPr>
        <w:t xml:space="preserve">conversion is necessary, change it to an explicit conversion and</w:t>
      </w:r>
      <w:r>
        <w:rPr>
          <w:i/>
        </w:rPr>
        <w:t xml:space="preserve"> </w:t>
      </w:r>
      <w:r>
        <w:rPr>
          <w:i/>
        </w:rPr>
        <w:t xml:space="preserve">document the rationale for use by maintainers.</w:t>
      </w:r>
      <w:r>
        <w:t xml:space="preserve"> </w:t>
      </w:r>
      <w:r>
        <w:rPr>
          <w:i/>
        </w:rPr>
        <w:t xml:space="preserve">– narrowing conversions and</w:t>
      </w:r>
      <w:r>
        <w:rPr>
          <w:i/>
        </w:rPr>
        <w:t xml:space="preserve"> </w:t>
      </w:r>
      <w:r>
        <w:rPr>
          <w:i/>
        </w:rPr>
        <w:t xml:space="preserve">loss of precision</w:t>
      </w:r>
    </w:p>
    <w:p>
      <w:pPr>
        <w:numPr>
          <w:ilvl w:val="0"/>
          <w:numId w:val="1016"/>
        </w:numPr>
      </w:pPr>
      <w:r>
        <w:t xml:space="preserve">Analyze the problem to be solved to learn the magnitudes and/or the</w:t>
      </w:r>
      <w:r>
        <w:t xml:space="preserve"> </w:t>
      </w:r>
      <w:r>
        <w:t xml:space="preserve">precisions of the quantities needed as auxiliary variables, partial</w:t>
      </w:r>
      <w:r>
        <w:t xml:space="preserve"> </w:t>
      </w:r>
      <w:r>
        <w:t xml:space="preserve">results and final results.</w:t>
      </w:r>
    </w:p>
    <w:p>
      <w:pPr>
        <w:numPr>
          <w:ilvl w:val="0"/>
          <w:numId w:val="1016"/>
        </w:numPr>
      </w:pPr>
      <w:r>
        <w:t xml:space="preserve">Create types that more accurately model the problem domain, with</w:t>
      </w:r>
      <w:r>
        <w:t xml:space="preserve"> </w:t>
      </w:r>
      <w:r>
        <w:t xml:space="preserve">corresponding safe operations and conversions in lieu of using</w:t>
      </w:r>
      <w:r>
        <w:t xml:space="preserve"> </w:t>
      </w:r>
      <w:r>
        <w:t xml:space="preserve">primitive types.</w:t>
      </w:r>
    </w:p>
    <w:p>
      <w:pPr>
        <w:numPr>
          <w:ilvl w:val="0"/>
          <w:numId w:val="1016"/>
        </w:numPr>
      </w:pPr>
      <w:r>
        <w:t xml:space="preserve">Minimize use of predefined numeric types whose ranges and precisions</w:t>
      </w:r>
      <w:r>
        <w:t xml:space="preserve"> </w:t>
      </w:r>
      <w:r>
        <w:t xml:space="preserve">are implementation defined. Instead, use types whose ranges and</w:t>
      </w:r>
      <w:r>
        <w:t xml:space="preserve"> </w:t>
      </w:r>
      <w:r>
        <w:t xml:space="preserve">precision are guaranteed.</w:t>
      </w:r>
    </w:p>
    <w:p>
      <w:pPr>
        <w:numPr>
          <w:ilvl w:val="0"/>
          <w:numId w:val="1016"/>
        </w:numPr>
      </w:pPr>
      <w:r>
        <w:rPr>
          <w:i/>
        </w:rPr>
        <w:t xml:space="preserve">C++ Issue – Use syntax that forces the compiler to Issue</w:t>
      </w:r>
      <w:r>
        <w:rPr>
          <w:i/>
        </w:rPr>
        <w:t xml:space="preserve"> </w:t>
      </w:r>
      <w:r>
        <w:rPr>
          <w:i/>
        </w:rPr>
        <w:t xml:space="preserve">diagnostics on narrowing – need example.</w:t>
      </w:r>
    </w:p>
    <w:p>
      <w:pPr>
        <w:numPr>
          <w:ilvl w:val="0"/>
          <w:numId w:val="1016"/>
        </w:numPr>
      </w:pPr>
      <w:r>
        <w:t xml:space="preserve">Treat every explicit cast as a candidate for refactoring.</w:t>
      </w:r>
    </w:p>
    <w:p>
      <w:pPr>
        <w:numPr>
          <w:ilvl w:val="0"/>
          <w:numId w:val="1016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</w:p>
    <w:p>
      <w:pPr>
        <w:numPr>
          <w:ilvl w:val="0"/>
          <w:numId w:val="1016"/>
        </w:numPr>
      </w:pPr>
      <w:r>
        <w:rPr>
          <w:i/>
        </w:rPr>
        <w:t xml:space="preserve">Make class member functions that can be static,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. Make</w:t>
      </w:r>
      <w:r>
        <w:rPr>
          <w:i/>
        </w:rPr>
        <w:t xml:space="preserve"> </w:t>
      </w:r>
      <w:r>
        <w:rPr>
          <w:i/>
        </w:rPr>
        <w:t xml:space="preserve">class member functions that cannot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, but can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</w:p>
    <w:p>
      <w:pPr>
        <w:numPr>
          <w:ilvl w:val="0"/>
          <w:numId w:val="1016"/>
        </w:numPr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mutable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keyword for class member variables should be used</w:t>
      </w:r>
      <w:r>
        <w:rPr>
          <w:i/>
        </w:rPr>
        <w:t xml:space="preserve"> </w:t>
      </w:r>
      <w:r>
        <w:rPr>
          <w:i/>
        </w:rPr>
        <w:t xml:space="preserve">sparingly</w:t>
      </w:r>
    </w:p>
    <w:p>
      <w:pPr>
        <w:numPr>
          <w:ilvl w:val="0"/>
          <w:numId w:val="1016"/>
        </w:numPr>
      </w:pPr>
      <w:r>
        <w:t xml:space="preserve">Don't mix signed and unsigned types in</w:t>
      </w:r>
      <w:r>
        <w:t xml:space="preserve"> </w:t>
      </w:r>
      <w:r>
        <w:t xml:space="preserve">arithmetic</w:t>
      </w:r>
    </w:p>
    <w:p>
      <w:pPr>
        <w:numPr>
          <w:ilvl w:val="0"/>
          <w:numId w:val="1016"/>
        </w:numPr>
      </w:pPr>
      <w:r>
        <w:t xml:space="preserve">Follow the advice provided in TR 24772-3 clause 6.2.2. when using</w:t>
      </w:r>
      <w:r>
        <w:t xml:space="preserve"> </w:t>
      </w:r>
      <w:r>
        <w:t xml:space="preserve">C-style numeric types, and implicit conversions. *</w:t>
      </w:r>
      <w:r>
        <w:br/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18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18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18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9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9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9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20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20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20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21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23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21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24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21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25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25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25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25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25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25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25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26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26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28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28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28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28"/>
        </w:numPr>
      </w:pPr>
      <w:r>
        <w:t xml:space="preserve">Avoid casts (see Core guidelines ES48)</w:t>
      </w:r>
    </w:p>
    <w:p>
      <w:pPr>
        <w:numPr>
          <w:ilvl w:val="0"/>
          <w:numId w:val="1028"/>
        </w:numPr>
      </w:pPr>
      <w:r>
        <w:t xml:space="preserve">If using a cast, use a named cast (see C++ Core Guidelines ES49)</w:t>
      </w:r>
    </w:p>
    <w:p>
      <w:pPr>
        <w:numPr>
          <w:ilvl w:val="0"/>
          <w:numId w:val="1028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28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28"/>
        </w:numPr>
      </w:pPr>
      <w:r>
        <w:t xml:space="preserve">Avoid narrowing conversions. (See C++ Core Guidelines ES46)</w:t>
      </w:r>
    </w:p>
    <w:p>
      <w:pPr>
        <w:numPr>
          <w:ilvl w:val="0"/>
          <w:numId w:val="1028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9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9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9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9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9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BodyText"/>
      </w:pPr>
      <w:r>
        <w:t xml:space="preserve">Note: Consider C++ Core guidelines if completed.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30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30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30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30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30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30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30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30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30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30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31"/>
        </w:numPr>
      </w:pPr>
      <w:r>
        <w:t xml:space="preserve">Follow the guidance from clause 6.8.2.</w:t>
      </w:r>
    </w:p>
    <w:p>
      <w:pPr>
        <w:numPr>
          <w:ilvl w:val="0"/>
          <w:numId w:val="1031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32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32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numPr>
          <w:ilvl w:val="0"/>
          <w:numId w:val="1032"/>
        </w:numPr>
      </w:pPr>
      <w:r>
        <w:rPr>
          <w:strike/>
        </w:rPr>
        <w:t xml:space="preserve">For copies of fixed-sized arrays, perform range checking to</w:t>
      </w:r>
      <w:r>
        <w:rPr>
          <w:strike/>
        </w:rPr>
        <w:t xml:space="preserve"> </w:t>
      </w:r>
      <w:r>
        <w:rPr>
          <w:strike/>
        </w:rPr>
        <w:t xml:space="preserve">prevent out-of-bounds access on the target and the source arrays. In</w:t>
      </w:r>
      <w:r>
        <w:rPr>
          <w:strike/>
        </w:rPr>
        <w:t xml:space="preserve"> </w:t>
      </w:r>
      <w:r>
        <w:rPr>
          <w:strike/>
        </w:rPr>
        <w:t xml:space="preserve">the interest of speed and efficiency, range checking only needs to</w:t>
      </w:r>
      <w:r>
        <w:rPr>
          <w:strike/>
        </w:rPr>
        <w:t xml:space="preserve"> </w:t>
      </w:r>
      <w:r>
        <w:rPr>
          <w:strike/>
        </w:rPr>
        <w:t xml:space="preserve">be done when it cannot be statically shown that an access outside of</w:t>
      </w:r>
      <w:r>
        <w:rPr>
          <w:strike/>
        </w:rPr>
        <w:t xml:space="preserve"> </w:t>
      </w:r>
      <w:r>
        <w:rPr>
          <w:strike/>
        </w:rPr>
        <w:t xml:space="preserve">the arrays cannot occur.</w:t>
      </w:r>
    </w:p>
    <w:p>
      <w:pPr>
        <w:numPr>
          <w:ilvl w:val="0"/>
          <w:numId w:val="1032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FirstParagraph"/>
      </w:pPr>
      <w:r>
        <w:rPr>
          <w:i/>
        </w:rPr>
        <w:t xml:space="preserve">In this clause, all C++ references, in addition to pointers. The</w:t>
      </w:r>
      <w:r>
        <w:rPr>
          <w:i/>
        </w:rPr>
        <w:t xml:space="preserve"> </w:t>
      </w:r>
      <w:r>
        <w:rPr>
          <w:rStyle w:val="NormalTok"/>
        </w:rPr>
        <w:t xml:space="preserve">shared_ptr</w:t>
      </w:r>
      <w:r>
        <w:rPr>
          <w:i/>
        </w:rPr>
        <w:t xml:space="preserve"> </w:t>
      </w:r>
      <w:r>
        <w:rPr>
          <w:i/>
        </w:rPr>
        <w:t xml:space="preserve">casts</w:t>
      </w:r>
    </w:p>
    <w:p>
      <w:pPr>
        <w:pStyle w:val="BodyText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BodyText"/>
      </w:pPr>
      <w:r>
        <w:rPr>
          <w:i/>
        </w:rPr>
        <w:t xml:space="preserve">C++ Dynamic cast and the use of it during construction and destruction needs further exposition. The this pointer type can have surprising effects.</w:t>
      </w:r>
    </w:p>
    <w:p>
      <w:pPr>
        <w:pStyle w:val="BodyText"/>
      </w:pPr>
      <w:r>
        <w:rPr>
          <w:i/>
        </w:rPr>
        <w:t xml:space="preserve">AI</w:t>
      </w:r>
      <w:r>
        <w:t xml:space="preserve"> </w:t>
      </w:r>
      <w:r>
        <w:rPr>
          <w:i/>
        </w:rPr>
        <w:t xml:space="preserve">–</w:t>
      </w:r>
      <w:r>
        <w:t xml:space="preserve"> </w:t>
      </w:r>
      <w:r>
        <w:rPr>
          <w:i/>
        </w:rPr>
        <w:t xml:space="preserve">Paul, Richard to review</w:t>
      </w:r>
      <w:r>
        <w:t xml:space="preserve"> </w:t>
      </w:r>
      <w:r>
        <w:rPr>
          <w:i/>
        </w:rPr>
        <w:t xml:space="preserve">– Writeup about incomplete objects before or after their lifetime and related to translation units.</w:t>
      </w:r>
    </w:p>
    <w:p>
      <w:pPr>
        <w:pStyle w:val="BodyText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33"/>
        </w:numPr>
      </w:pPr>
      <w:r>
        <w:t xml:space="preserve">a and b are the same object,</w:t>
      </w:r>
    </w:p>
    <w:p>
      <w:pPr>
        <w:numPr>
          <w:ilvl w:val="0"/>
          <w:numId w:val="1033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34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33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35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33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3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33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37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37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37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37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37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8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37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39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37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37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41"/>
        </w:numPr>
      </w:pPr>
      <w:r>
        <w:t xml:space="preserve">Follow the guidance of clause 6.8.2.</w:t>
      </w:r>
    </w:p>
    <w:p>
      <w:pPr>
        <w:numPr>
          <w:ilvl w:val="0"/>
          <w:numId w:val="1041"/>
        </w:numPr>
      </w:pPr>
      <w:r>
        <w:t xml:space="preserve">Prefer standard algorithms to hand-written loops</w:t>
      </w:r>
    </w:p>
    <w:p>
      <w:pPr>
        <w:numPr>
          <w:ilvl w:val="1"/>
          <w:numId w:val="1042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41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41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41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41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43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43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43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43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BodyText"/>
      </w:pPr>
      <w:r>
        <w:rPr>
          <w:i/>
        </w:rPr>
        <w:t xml:space="preserve">Capture notion that std::make_shared does not guarantee</w:t>
      </w:r>
      <w:r>
        <w:t xml:space="preserve"> </w:t>
      </w:r>
      <w:r>
        <w:rPr>
          <w:i/>
        </w:rPr>
        <w:t xml:space="preserve">atomaticity</w:t>
      </w:r>
      <w:r>
        <w:t xml:space="preserve"> </w:t>
      </w:r>
      <w:r>
        <w:rPr>
          <w:i/>
        </w:rPr>
        <w:t xml:space="preserve">of the referenced object.</w:t>
      </w:r>
    </w:p>
    <w:p>
      <w:pPr>
        <w:pStyle w:val="BodyText"/>
      </w:pPr>
      <w:r>
        <w:t xml:space="preserve">std::span, std.vector and std.array::provide …</w:t>
      </w:r>
    </w:p>
    <w:p>
      <w:pPr>
        <w:pStyle w:val="BodyText"/>
      </w:pPr>
      <w:r>
        <w:t xml:space="preserve">std::span is more lightweight and permit resizing .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pStyle w:val="FirstParagraph"/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44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44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44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44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45"/>
        </w:numPr>
      </w:pPr>
      <w:r>
        <w:t xml:space="preserve">References</w:t>
      </w:r>
    </w:p>
    <w:p>
      <w:pPr>
        <w:numPr>
          <w:ilvl w:val="0"/>
          <w:numId w:val="1045"/>
        </w:numPr>
      </w:pPr>
      <w:r>
        <w:t xml:space="preserve">Pointers</w:t>
      </w:r>
    </w:p>
    <w:p>
      <w:pPr>
        <w:numPr>
          <w:ilvl w:val="0"/>
          <w:numId w:val="1045"/>
        </w:numPr>
      </w:pPr>
      <w:r>
        <w:t xml:space="preserve">Iterators</w:t>
      </w:r>
    </w:p>
    <w:p>
      <w:pPr>
        <w:numPr>
          <w:ilvl w:val="0"/>
          <w:numId w:val="1045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45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45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46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46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46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46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46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46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FirstParagraph"/>
      </w:pPr>
      <w:r>
        <w:t xml:space="preserve">REWORD: The issues for C++ are well defined in TR 24772-1 clause 6.16</w:t>
      </w:r>
      <w:r>
        <w:t xml:space="preserve"> </w:t>
      </w:r>
      <w:r>
        <w:rPr>
          <w:i/>
        </w:rPr>
        <w:t xml:space="preserve">Using Shift Operations for Multiplication and Division [PIK].</w:t>
      </w:r>
      <w:r>
        <w:t xml:space="preserve"> </w:t>
      </w:r>
      <w:r>
        <w:t xml:space="preserve">Also</w:t>
      </w:r>
      <w:r>
        <w:t xml:space="preserve"> </w:t>
      </w:r>
      <w:r>
        <w:t xml:space="preserve">see clause</w:t>
      </w:r>
      <w:r>
        <w:t xml:space="preserve"> </w:t>
      </w:r>
      <w:r>
        <w:rPr>
          <w:i/>
        </w:rPr>
        <w:t xml:space="preserve">6.15 Arithmetic Wrap-around Error [FIF]</w:t>
      </w:r>
      <w:r>
        <w:t xml:space="preserve">.</w:t>
      </w:r>
    </w:p>
    <w:p>
      <w:pPr>
        <w:pStyle w:val="BodyText"/>
      </w:pPr>
      <w:r>
        <w:t xml:space="preserve">In C++, shifts with too large an argument is defined as Undefined</w:t>
      </w:r>
      <w:r>
        <w:t xml:space="preserve"> </w:t>
      </w:r>
      <w:r>
        <w:t xml:space="preserve">Behaviour. See 6.56 Undefined Behaviour and ISO/IEC 14882:2017 C++</w:t>
      </w:r>
      <w:r>
        <w:t xml:space="preserve"> </w:t>
      </w:r>
      <w:r>
        <w:t xml:space="preserve">reference manual</w:t>
      </w:r>
    </w:p>
    <w:p>
      <w:pPr>
        <w:pStyle w:val="BlockText"/>
      </w:pPr>
      <w:r>
        <w:t xml:space="preserve">From the C++ standard 14882:2017 clause 8.8 [expr.shift],</w:t>
      </w:r>
      <w:r>
        <w:br/>
      </w:r>
      <w:r>
        <w:t xml:space="preserve">The shift operators &lt;&lt; and</w:t>
      </w:r>
      <w:r>
        <w:t xml:space="preserve"> </w:t>
      </w:r>
      <w:r>
        <w:rPr>
          <w:rStyle w:val="NormalTok"/>
        </w:rPr>
        <w:t xml:space="preserve">\&gt;\&gt;</w:t>
      </w:r>
      <w:r>
        <w:t xml:space="preserve"> </w:t>
      </w:r>
      <w:r>
        <w:t xml:space="preserve">group</w:t>
      </w:r>
      <w:r>
        <w:t xml:space="preserve"> </w:t>
      </w:r>
      <w:r>
        <w:t xml:space="preserve">left-to-right.</w:t>
      </w:r>
      <w:r>
        <w:br/>
      </w:r>
      <w:r>
        <w:t xml:space="preserve">shift-expression:</w:t>
      </w:r>
      <w:r>
        <w:br/>
      </w:r>
      <w:r>
        <w:rPr>
          <w:rStyle w:val="NormalTok"/>
        </w:rPr>
        <w:t xml:space="preserve">additive-expression\ shift-expression \&lt;\&lt; additive-expression\ shift-expression \&gt;\&gt; additive-expression</w:t>
      </w:r>
      <w:r>
        <w:br/>
      </w:r>
      <w:r>
        <w:t xml:space="preserve">The operands shall be of integral or unscoped enumeration type and</w:t>
      </w:r>
      <w:r>
        <w:t xml:space="preserve"> </w:t>
      </w:r>
      <w:r>
        <w:t xml:space="preserve">integral promotions are performed. The type of the result is that of</w:t>
      </w:r>
      <w:r>
        <w:t xml:space="preserve"> </w:t>
      </w:r>
      <w:r>
        <w:t xml:space="preserve">the promoted left operand. The behavior is undefined if the right</w:t>
      </w:r>
      <w:r>
        <w:t xml:space="preserve"> </w:t>
      </w:r>
      <w:r>
        <w:t xml:space="preserve">operand is negative, or greater than or equal to the length in bits of</w:t>
      </w:r>
      <w:r>
        <w:t xml:space="preserve"> </w:t>
      </w:r>
      <w:r>
        <w:t xml:space="preserve">the promoted left operand.</w:t>
      </w:r>
      <w:r>
        <w:br/>
      </w:r>
      <w:r>
        <w:br/>
      </w:r>
      <w:r>
        <w:t xml:space="preserve">The value of</w:t>
      </w:r>
      <w:r>
        <w:t xml:space="preserve"> </w:t>
      </w:r>
      <w:r>
        <w:rPr>
          <w:rStyle w:val="NormalTok"/>
        </w:rPr>
        <w:t xml:space="preserve">E1 \&lt;\&lt; E2</w:t>
      </w:r>
      <w:r>
        <w:t xml:space="preserve"> </w:t>
      </w:r>
      <w:r>
        <w:t xml:space="preserve">is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left-shifted</w:t>
      </w:r>
      <w:r>
        <w:t xml:space="preserve"> </w:t>
      </w:r>
      <w:r>
        <w:rPr>
          <w:rStyle w:val="NormalTok"/>
        </w:rPr>
        <w:t xml:space="preserve">E2</w:t>
      </w:r>
      <w:r>
        <w:t xml:space="preserve"> </w:t>
      </w:r>
      <w:r>
        <w:t xml:space="preserve">bit</w:t>
      </w:r>
      <w:r>
        <w:t xml:space="preserve"> </w:t>
      </w:r>
      <w:r>
        <w:t xml:space="preserve">positions; vacated bits are zero-filled.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an unsigned type, the value of the result is</w:t>
      </w:r>
      <w:r>
        <w:t xml:space="preserve"> </w:t>
      </w:r>
      <w:r>
        <w:rPr>
          <w:rStyle w:val="NormalTok"/>
        </w:rPr>
        <w:t xml:space="preserve">E1 × </w:t>
      </w:r>
      <w:r>
        <w:rPr>
          <w:rStyle w:val="FloatTok"/>
        </w:rPr>
        <w:t xml:space="preserve">2E2</w:t>
      </w:r>
      <w:r>
        <w:t xml:space="preserve">, reduced modulo one more than the maximum</w:t>
      </w:r>
      <w:r>
        <w:t xml:space="preserve"> </w:t>
      </w:r>
      <w:r>
        <w:t xml:space="preserve">value representable in the result type. Otherwise,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 signed type and non-negative value,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E1 × </w:t>
      </w:r>
      <w:r>
        <w:rPr>
          <w:rStyle w:val="FloatTok"/>
        </w:rPr>
        <w:t xml:space="preserve">2E2</w:t>
      </w:r>
      <w:r>
        <w:t xml:space="preserve"> </w:t>
      </w:r>
      <w:r>
        <w:t xml:space="preserve">is representable in the</w:t>
      </w:r>
      <w:r>
        <w:t xml:space="preserve"> </w:t>
      </w:r>
      <w:r>
        <w:t xml:space="preserve">corresponding unsigned type of the result type, then that value,</w:t>
      </w:r>
      <w:r>
        <w:t xml:space="preserve"> </w:t>
      </w:r>
      <w:r>
        <w:t xml:space="preserve">converted to the result type, is the resulting value; otherwise, the</w:t>
      </w:r>
      <w:r>
        <w:t xml:space="preserve"> </w:t>
      </w:r>
      <w:r>
        <w:t xml:space="preserve">behavior is undefined.</w:t>
      </w:r>
      <w:r>
        <w:br/>
      </w:r>
      <w:r>
        <w:br/>
      </w:r>
      <w:r>
        <w:t xml:space="preserve">The value of</w:t>
      </w:r>
      <w:r>
        <w:t xml:space="preserve"> </w:t>
      </w:r>
      <w:r>
        <w:rPr>
          <w:rStyle w:val="NormalTok"/>
        </w:rPr>
        <w:t xml:space="preserve">E1 \&gt;\&gt; E2</w:t>
      </w:r>
      <w:r>
        <w:t xml:space="preserve"> </w:t>
      </w:r>
      <w:r>
        <w:t xml:space="preserve">is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right-shifted</w:t>
      </w:r>
      <w:r>
        <w:t xml:space="preserve"> </w:t>
      </w:r>
      <w:r>
        <w:rPr>
          <w:rStyle w:val="NormalTok"/>
        </w:rPr>
        <w:t xml:space="preserve">E2</w:t>
      </w:r>
      <w:r>
        <w:t xml:space="preserve"> </w:t>
      </w:r>
      <w:r>
        <w:t xml:space="preserve">bit</w:t>
      </w:r>
      <w:r>
        <w:t xml:space="preserve"> </w:t>
      </w:r>
      <w:r>
        <w:t xml:space="preserve">positions.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an unsigned type or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 signed type and a non-negative value,</w:t>
      </w:r>
      <w:r>
        <w:t xml:space="preserve"> </w:t>
      </w:r>
      <w:r>
        <w:t xml:space="preserve">the value of the result is the integral part of the quotient of</w:t>
      </w:r>
      <w:r>
        <w:t xml:space="preserve"> </w:t>
      </w:r>
      <w:r>
        <w:rPr>
          <w:rStyle w:val="NormalTok"/>
        </w:rPr>
        <w:t xml:space="preserve">E1/</w:t>
      </w:r>
      <w:r>
        <w:rPr>
          <w:rStyle w:val="FloatTok"/>
        </w:rPr>
        <w:t xml:space="preserve">2E2</w:t>
      </w:r>
      <w:r>
        <w:t xml:space="preserve">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</w:t>
      </w:r>
      <w:r>
        <w:t xml:space="preserve"> </w:t>
      </w:r>
      <w:r>
        <w:t xml:space="preserve">signed type and a negative value, the resulting value is</w:t>
      </w:r>
      <w:r>
        <w:t xml:space="preserve"> </w:t>
      </w:r>
      <w:r>
        <w:t xml:space="preserve">implementation-defined.</w:t>
      </w:r>
    </w:p>
    <w:p>
      <w:pPr>
        <w:pStyle w:val="BlockText"/>
      </w:pPr>
      <w:r>
        <w:t xml:space="preserve">The expression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is sequenced before the</w:t>
      </w:r>
      <w:r>
        <w:t xml:space="preserve"> </w:t>
      </w:r>
      <w:r>
        <w:t xml:space="preserve">expression</w:t>
      </w:r>
      <w:r>
        <w:t xml:space="preserve"> </w:t>
      </w:r>
      <w:r>
        <w:rPr>
          <w:rStyle w:val="NormalTok"/>
        </w:rPr>
        <w:t xml:space="preserve">E2</w:t>
      </w:r>
      <w:r>
        <w:t xml:space="preserve">.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8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issues.. TBD!!!</w:t>
      </w:r>
    </w:p>
    <w:p>
      <w:pPr>
        <w:pStyle w:val="BodyText"/>
      </w:pPr>
      <w:r>
        <w:t xml:space="preserve">Think about discussing reserved names. Maybe also in Part 1.</w:t>
      </w:r>
    </w:p>
    <w:p>
      <w:pPr>
        <w:pStyle w:val="BodyText"/>
      </w:pPr>
      <w:r>
        <w:t xml:space="preserve">C is somewhat susceptible to errors resulting from the use of similarly</w:t>
      </w:r>
      <w:r>
        <w:t xml:space="preserve"> </w:t>
      </w:r>
      <w:r>
        <w:t xml:space="preserve">appearing names. C does require the declaration of variables before they</w:t>
      </w:r>
      <w:r>
        <w:t xml:space="preserve"> </w:t>
      </w:r>
      <w:r>
        <w:t xml:space="preserve">are used. However, C allows scoping so that a variable that is not</w:t>
      </w:r>
      <w:r>
        <w:t xml:space="preserve"> </w:t>
      </w:r>
      <w:r>
        <w:t xml:space="preserve">declared locally may be resolved to some outer block and a human</w:t>
      </w:r>
      <w:r>
        <w:t xml:space="preserve"> </w:t>
      </w:r>
      <w:r>
        <w:t xml:space="preserve">reviewer may not notice that resolution. Variable name length is</w:t>
      </w:r>
      <w:r>
        <w:t xml:space="preserve"> </w:t>
      </w:r>
      <w:r>
        <w:t xml:space="preserve">implementation specific and so one implementation may resolve names to</w:t>
      </w:r>
      <w:r>
        <w:t xml:space="preserve"> </w:t>
      </w:r>
      <w:r>
        <w:t xml:space="preserve">one length whereas another implementation may resolve names to another</w:t>
      </w:r>
      <w:r>
        <w:t xml:space="preserve"> </w:t>
      </w:r>
      <w:r>
        <w:t xml:space="preserve">length resulting in unintended behaviour.</w:t>
      </w:r>
    </w:p>
    <w:p>
      <w:pPr>
        <w:pStyle w:val="BodyText"/>
      </w:pPr>
      <w:r>
        <w:t xml:space="preserve">As with the general case, calls to the wrong subprogram or references to</w:t>
      </w:r>
      <w:r>
        <w:t xml:space="preserve"> </w:t>
      </w:r>
      <w:r>
        <w:t xml:space="preserve">the wrong data element (when missed by human review) can result in</w:t>
      </w:r>
      <w:r>
        <w:t xml:space="preserve"> </w:t>
      </w:r>
      <w:r>
        <w:t xml:space="preserve">unintended behaviour.ISO/IEC 14882:2017 C++ clause 20.5.4</w:t>
      </w:r>
      <w:r>
        <w:t xml:space="preserve"> </w:t>
      </w:r>
      <w:r>
        <w:t xml:space="preserve">[constraints] – reserved names, from C++, also from C, deprecated</w:t>
      </w:r>
      <w:r>
        <w:t xml:space="preserve"> </w:t>
      </w:r>
      <w:r>
        <w:t xml:space="preserve">names</w:t>
      </w:r>
    </w:p>
    <w:p>
      <w:pPr>
        <w:pStyle w:val="BodyText"/>
      </w:pPr>
      <w:r>
        <w:rPr>
          <w:rStyle w:val="NormalTok"/>
        </w:rPr>
        <w:t xml:space="preserve">Numeric_limits</w:t>
      </w:r>
      <w:r>
        <w:t xml:space="preserve"> </w:t>
      </w:r>
      <w:r>
        <w:t xml:space="preserve">are in std namespace,</w:t>
      </w:r>
    </w:p>
    <w:p>
      <w:pPr>
        <w:pStyle w:val="BodyText"/>
      </w:pPr>
      <w:r>
        <w:t xml:space="preserve">To Do</w:t>
      </w:r>
      <w:r>
        <w:t xml:space="preserve"> </w:t>
      </w:r>
      <w:r>
        <w:rPr>
          <w:i/>
        </w:rPr>
        <w:t xml:space="preserve">(Paul)</w:t>
      </w:r>
    </w:p>
    <w:p>
      <w:pPr>
        <w:numPr>
          <w:ilvl w:val="0"/>
          <w:numId w:val="1047"/>
        </w:numPr>
      </w:pPr>
      <w:r>
        <w:t xml:space="preserve">One can add names to a templates as part of specialization.</w:t>
      </w:r>
    </w:p>
    <w:p>
      <w:pPr>
        <w:numPr>
          <w:ilvl w:val="0"/>
          <w:numId w:val="1047"/>
        </w:numPr>
      </w:pPr>
      <w:r>
        <w:t xml:space="preserve">Example extending a hash function from std::</w:t>
      </w:r>
    </w:p>
    <w:p>
      <w:pPr>
        <w:numPr>
          <w:ilvl w:val="0"/>
          <w:numId w:val="1047"/>
        </w:numPr>
      </w:pPr>
      <w:r>
        <w:t xml:space="preserve">Also inline namespaces.</w:t>
      </w:r>
    </w:p>
    <w:p>
      <w:pPr>
        <w:numPr>
          <w:ilvl w:val="0"/>
          <w:numId w:val="1047"/>
        </w:numPr>
      </w:pPr>
      <w:r>
        <w:t xml:space="preserve">Also the use of underscores in symbol names.</w:t>
      </w:r>
    </w:p>
    <w:p>
      <w:pPr>
        <w:numPr>
          <w:ilvl w:val="0"/>
          <w:numId w:val="1047"/>
        </w:numPr>
      </w:pPr>
      <w:r>
        <w:t xml:space="preserve">Also Unicode in identfiers.</w:t>
      </w:r>
    </w:p>
    <w:bookmarkEnd w:id="76"/>
    <w:bookmarkStart w:id="77" w:name="guidance-to-language-users"/>
    <w:p>
      <w:pPr>
        <w:pStyle w:val="Heading3"/>
      </w:pPr>
      <w:r>
        <w:t xml:space="preserve">6.17.2 Guidance to language users</w:t>
      </w:r>
    </w:p>
    <w:p>
      <w:pPr>
        <w:numPr>
          <w:ilvl w:val="0"/>
          <w:numId w:val="1048"/>
        </w:numPr>
      </w:pPr>
      <w:r>
        <w:t xml:space="preserve">Follow the guidance of ISO/IEC 148822017 clause 20.5.4 regarding</w:t>
      </w:r>
      <w:r>
        <w:t xml:space="preserve"> </w:t>
      </w:r>
      <w:r>
        <w:t xml:space="preserve">names to refrain from usage.</w:t>
      </w:r>
    </w:p>
    <w:p>
      <w:pPr>
        <w:numPr>
          <w:ilvl w:val="0"/>
          <w:numId w:val="1048"/>
        </w:numPr>
      </w:pPr>
      <w:r>
        <w:t xml:space="preserve">Use names that are clear and non-confusing.</w:t>
      </w:r>
    </w:p>
    <w:p>
      <w:pPr>
        <w:numPr>
          <w:ilvl w:val="0"/>
          <w:numId w:val="1048"/>
        </w:numPr>
      </w:pPr>
      <w:r>
        <w:t xml:space="preserve">Use consistency in choosing names.</w:t>
      </w:r>
    </w:p>
    <w:p>
      <w:pPr>
        <w:numPr>
          <w:ilvl w:val="0"/>
          <w:numId w:val="1048"/>
        </w:numPr>
      </w:pPr>
      <w:r>
        <w:t xml:space="preserve">Keep the scope of names as small as reasonable.</w:t>
      </w:r>
    </w:p>
    <w:p>
      <w:pPr>
        <w:numPr>
          <w:ilvl w:val="0"/>
          <w:numId w:val="1048"/>
        </w:numPr>
      </w:pPr>
      <w:r>
        <w:t xml:space="preserve">Keep names short and concise in order to make the code easier to</w:t>
      </w:r>
      <w:r>
        <w:t xml:space="preserve"> </w:t>
      </w:r>
      <w:r>
        <w:t xml:space="preserve">understand.</w:t>
      </w:r>
    </w:p>
    <w:p>
      <w:pPr>
        <w:numPr>
          <w:ilvl w:val="0"/>
          <w:numId w:val="1048"/>
        </w:numPr>
      </w:pPr>
      <w:r>
        <w:t xml:space="preserve">Use longer names for longer-lived objects.</w:t>
      </w:r>
    </w:p>
    <w:p>
      <w:pPr>
        <w:numPr>
          <w:ilvl w:val="0"/>
          <w:numId w:val="1048"/>
        </w:numPr>
      </w:pPr>
      <w:r>
        <w:t xml:space="preserve">Choose names that are appropriately rich in meaning for the context.</w:t>
      </w:r>
    </w:p>
    <w:p>
      <w:pPr>
        <w:numPr>
          <w:ilvl w:val="0"/>
          <w:numId w:val="1048"/>
        </w:numPr>
      </w:pPr>
      <w:r>
        <w:t xml:space="preserve">When choosing names, keep in mind that code will be reused and</w:t>
      </w:r>
      <w:r>
        <w:t xml:space="preserve"> </w:t>
      </w:r>
      <w:r>
        <w:t xml:space="preserve">combined in ways that the original developers never imagined.</w:t>
      </w:r>
    </w:p>
    <w:p>
      <w:pPr>
        <w:numPr>
          <w:ilvl w:val="0"/>
          <w:numId w:val="1048"/>
        </w:numPr>
      </w:pPr>
      <w:r>
        <w:t xml:space="preserve">Do not differentiate names through only a mixture of case or the</w:t>
      </w:r>
      <w:r>
        <w:t xml:space="preserve"> </w:t>
      </w:r>
      <w:r>
        <w:t xml:space="preserve">presence/absence of an underscore character. (this is in Part 1?)</w:t>
      </w:r>
    </w:p>
    <w:p>
      <w:pPr>
        <w:numPr>
          <w:ilvl w:val="0"/>
          <w:numId w:val="1048"/>
        </w:numPr>
      </w:pPr>
      <w:r>
        <w:t xml:space="preserve">Do not choose names that conflict with (unreserved) keywords or</w:t>
      </w:r>
      <w:r>
        <w:t xml:space="preserve"> </w:t>
      </w:r>
      <w:r>
        <w:t xml:space="preserve">language-defined library names for the language being used, as</w:t>
      </w:r>
      <w:r>
        <w:t xml:space="preserve"> </w:t>
      </w:r>
      <w:r>
        <w:t xml:space="preserve">follows:</w:t>
      </w:r>
    </w:p>
    <w:p>
      <w:pPr>
        <w:numPr>
          <w:ilvl w:val="1"/>
          <w:numId w:val="1049"/>
        </w:numPr>
        <w:pStyle w:val="SourceCode"/>
      </w:pPr>
      <w:r>
        <w:rPr>
          <w:rStyle w:val="VerbatimChar"/>
        </w:rPr>
        <w:t xml:space="preserve">  Names that begin with two or more underscore;</w:t>
      </w:r>
    </w:p>
    <w:p>
      <w:pPr>
        <w:numPr>
          <w:ilvl w:val="1"/>
          <w:numId w:val="1049"/>
        </w:numPr>
        <w:pStyle w:val="SourceCode"/>
      </w:pPr>
      <w:r>
        <w:rPr>
          <w:rStyle w:val="VerbatimChar"/>
        </w:rPr>
        <w:t xml:space="preserve">  Names that begin with a single underscore followed by an</w:t>
      </w:r>
    </w:p>
    <w:p>
      <w:pPr>
        <w:numPr>
          <w:ilvl w:val="1"/>
          <w:numId w:val="1000"/>
        </w:numPr>
      </w:pPr>
      <w:r>
        <w:t xml:space="preserve">uppercase letter;</w:t>
      </w:r>
    </w:p>
    <w:p>
      <w:pPr>
        <w:numPr>
          <w:ilvl w:val="1"/>
          <w:numId w:val="1049"/>
        </w:numPr>
      </w:pPr>
      <w:r>
        <w:t xml:space="preserve">Contextual keywords such as module, final and override;</w:t>
      </w:r>
    </w:p>
    <w:p>
      <w:pPr>
        <w:numPr>
          <w:ilvl w:val="1"/>
          <w:numId w:val="1049"/>
        </w:numPr>
      </w:pPr>
      <w:r>
        <w:t xml:space="preserve">In the global namespace, identifiers commencing with std</w:t>
      </w:r>
      <w:r>
        <w:t xml:space="preserve"> </w:t>
      </w:r>
      <w:r>
        <w:t xml:space="preserve">followed by any string of digits;</w:t>
      </w:r>
    </w:p>
    <w:p>
      <w:pPr>
        <w:pStyle w:val="BlockText"/>
      </w:pPr>
      <w:r>
        <w:t xml:space="preserve">Follow common conventions for naming macros:</w:t>
      </w:r>
    </w:p>
    <w:p>
      <w:pPr>
        <w:numPr>
          <w:ilvl w:val="0"/>
          <w:numId w:val="1050"/>
        </w:numPr>
      </w:pPr>
      <w:r>
        <w:t xml:space="preserve">Avoid names for macros that are not all uppercase;</w:t>
      </w:r>
    </w:p>
    <w:p>
      <w:pPr>
        <w:numPr>
          <w:ilvl w:val="0"/>
          <w:numId w:val="1050"/>
        </w:numPr>
      </w:pPr>
      <w:r>
        <w:t xml:space="preserve">Avoid names that are all uppercase not used for macros;</w:t>
      </w:r>
    </w:p>
    <w:p>
      <w:pPr>
        <w:numPr>
          <w:ilvl w:val="0"/>
          <w:numId w:val="1051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51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7"/>
    <w:bookmarkEnd w:id="78"/>
    <w:bookmarkStart w:id="81" w:name="dead-store-wxq"/>
    <w:p>
      <w:pPr>
        <w:pStyle w:val="Heading2"/>
      </w:pPr>
      <w:r>
        <w:t xml:space="preserve">6.18 Dead Store [WXQ]</w:t>
      </w:r>
    </w:p>
    <w:bookmarkStart w:id="79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For Volatile, what do you do to ensure that a write reaches memory?</w:t>
      </w:r>
    </w:p>
    <w:p>
      <w:pPr>
        <w:pStyle w:val="BodyText"/>
      </w:pPr>
      <w:r>
        <w:t xml:space="preserve">Initializing part of an array zeros the rest in C++</w:t>
      </w:r>
    </w:p>
    <w:p>
      <w:pPr>
        <w:pStyle w:val="BodyText"/>
      </w:pPr>
      <w:r>
        <w:t xml:space="preserve">For the definition of</w:t>
      </w:r>
      <w:r>
        <w:t xml:space="preserve"> </w:t>
      </w:r>
      <w:r>
        <w:t xml:space="preserve">“</w:t>
      </w:r>
      <w:r>
        <w:t xml:space="preserve">dead store</w:t>
      </w:r>
      <w:r>
        <w:t xml:space="preserve">”</w:t>
      </w:r>
      <w:r>
        <w:t xml:space="preserve"> </w:t>
      </w:r>
      <w:r>
        <w:t xml:space="preserve">in C++, non-trivial destructors</w:t>
      </w:r>
      <w:r>
        <w:t xml:space="preserve"> </w:t>
      </w:r>
      <w:r>
        <w:t xml:space="preserve">constitute</w:t>
      </w:r>
      <w:r>
        <w:t xml:space="preserve"> </w:t>
      </w:r>
      <w:r>
        <w:t xml:space="preserve">“</w:t>
      </w:r>
      <w:r>
        <w:t xml:space="preserve">use of an object</w:t>
      </w:r>
      <w:r>
        <w:t xml:space="preserve">”</w:t>
      </w:r>
      <w:r>
        <w:t xml:space="preserve"> </w:t>
      </w:r>
      <w:r>
        <w:t xml:space="preserve">.</w:t>
      </w:r>
    </w:p>
    <w:bookmarkEnd w:id="79"/>
    <w:bookmarkStart w:id="80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52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52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52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52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52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80"/>
    <w:bookmarkEnd w:id="81"/>
    <w:bookmarkStart w:id="84" w:name="unused-variable-yzs"/>
    <w:p>
      <w:pPr>
        <w:pStyle w:val="Heading2"/>
      </w:pPr>
      <w:r>
        <w:t xml:space="preserve">6.19 Unused Variable [YZS]</w:t>
      </w:r>
    </w:p>
    <w:bookmarkStart w:id="82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2"/>
    <w:bookmarkStart w:id="83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53"/>
        </w:numPr>
      </w:pPr>
      <w:r>
        <w:t xml:space="preserve">Follow the guidance of ISO/IEC TR 24772-1:2019 clause 6.19.5.</w:t>
      </w:r>
    </w:p>
    <w:p>
      <w:pPr>
        <w:numPr>
          <w:ilvl w:val="0"/>
          <w:numId w:val="1053"/>
        </w:numPr>
      </w:pPr>
      <w:r>
        <w:t xml:space="preserve">Resolve all compiler warnings for unused variables.</w:t>
      </w:r>
    </w:p>
    <w:bookmarkEnd w:id="83"/>
    <w:bookmarkEnd w:id="84"/>
    <w:bookmarkStart w:id="87" w:name="identifier-name-reuse-yow"/>
    <w:p>
      <w:pPr>
        <w:pStyle w:val="Heading2"/>
      </w:pPr>
      <w:r>
        <w:t xml:space="preserve">6.20 Identifier Name Reuse [YOW]</w:t>
      </w:r>
    </w:p>
    <w:bookmarkStart w:id="85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5"/>
    <w:bookmarkStart w:id="86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54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54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54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54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54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54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54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6"/>
    <w:bookmarkEnd w:id="87"/>
    <w:bookmarkStart w:id="90" w:name="namespace-issues-bjl"/>
    <w:p>
      <w:pPr>
        <w:pStyle w:val="Heading2"/>
      </w:pPr>
      <w:r>
        <w:t xml:space="preserve">6.21 Namespace Issues [BJL]</w:t>
      </w:r>
    </w:p>
    <w:bookmarkStart w:id="88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56"/>
        </w:numPr>
      </w:pPr>
      <w:r>
        <w:t xml:space="preserve">Overloading, where clause 6.20 applies;</w:t>
      </w:r>
    </w:p>
    <w:p>
      <w:pPr>
        <w:numPr>
          <w:ilvl w:val="0"/>
          <w:numId w:val="1056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BodyText"/>
      </w:pPr>
      <w:r>
        <w:rPr>
          <w:i/>
        </w:rPr>
        <w:t xml:space="preserve">Note: there might be corner cases with extern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C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functions declared in different namespaces (Peter)</w:t>
      </w:r>
    </w:p>
    <w:bookmarkEnd w:id="88"/>
    <w:bookmarkStart w:id="89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57"/>
        </w:numPr>
      </w:pPr>
      <w:r>
        <w:t xml:space="preserve">Follow the guidance of clauses 6.20.2 and 6.41.2 as applicable.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9"/>
    <w:bookmarkEnd w:id="90"/>
    <w:bookmarkStart w:id="93" w:name="initialization-of-variables-lav"/>
    <w:p>
      <w:pPr>
        <w:pStyle w:val="Heading2"/>
      </w:pPr>
      <w:r>
        <w:t xml:space="preserve">6.22 Initialization of Variables [LAV]</w:t>
      </w:r>
    </w:p>
    <w:bookmarkStart w:id="91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BodyText"/>
      </w:pPr>
      <w:r>
        <w:t xml:space="preserve">Need a list of references TBD – (AI – J. Daniel Garcia)</w:t>
      </w:r>
    </w:p>
    <w:p>
      <w:pPr>
        <w:pStyle w:val="BodyText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1"/>
    <w:bookmarkStart w:id="92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59"/>
        </w:numPr>
      </w:pPr>
      <w:r>
        <w:t xml:space="preserve">Follow the guidance provided in</w:t>
      </w:r>
    </w:p>
    <w:p>
      <w:pPr>
        <w:numPr>
          <w:ilvl w:val="1"/>
          <w:numId w:val="1060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60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2"/>
    <w:bookmarkEnd w:id="93"/>
    <w:bookmarkStart w:id="97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5" w:name="applicability-to-language"/>
    <w:p>
      <w:pPr>
        <w:pStyle w:val="Heading3"/>
      </w:pPr>
      <w:r>
        <w:t xml:space="preserve">Applicability to language</w:t>
      </w:r>
    </w:p>
    <w:p>
      <w:pPr>
        <w:pStyle w:val="Normal(Web)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61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61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61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61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4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62"/>
        </w:numPr>
      </w:pPr>
      <w:r>
        <w:t xml:space="preserve">etc.</w:t>
      </w:r>
    </w:p>
    <w:p>
      <w:pPr>
        <w:pStyle w:val="BlockText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FirstParagraph"/>
      </w:pPr>
      <w:r>
        <w:rPr>
          <w:i/>
        </w:rPr>
        <w:t xml:space="preserve">This needs to be adjusted to C++20 changes for comparison, should include combined assignment in examples instead. Peter</w:t>
      </w:r>
    </w:p>
    <w:bookmarkEnd w:id="95"/>
    <w:bookmarkStart w:id="96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63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63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63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63"/>
        </w:numPr>
      </w:pPr>
      <w:r>
        <w:t xml:space="preserve">Avoid overloading the following operators: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63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6"/>
    <w:bookmarkEnd w:id="97"/>
    <w:bookmarkStart w:id="100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8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65"/>
        </w:numPr>
      </w:pPr>
      <w:r>
        <w:t xml:space="preserve">Write accesses to objects in that expression,</w:t>
      </w:r>
    </w:p>
    <w:p>
      <w:pPr>
        <w:numPr>
          <w:ilvl w:val="0"/>
          <w:numId w:val="1065"/>
        </w:numPr>
      </w:pPr>
      <w:r>
        <w:t xml:space="preserve">Reading a volatile object,</w:t>
      </w:r>
    </w:p>
    <w:p>
      <w:pPr>
        <w:numPr>
          <w:ilvl w:val="0"/>
          <w:numId w:val="1065"/>
        </w:numPr>
      </w:pPr>
      <w:r>
        <w:t xml:space="preserve">Calling a library I/O function, and</w:t>
      </w:r>
    </w:p>
    <w:p>
      <w:pPr>
        <w:numPr>
          <w:ilvl w:val="0"/>
          <w:numId w:val="1065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BodyText"/>
      </w:pPr>
      <w:r>
        <w:rPr>
          <w:i/>
        </w:rPr>
        <w:t xml:space="preserve">conjunction and disjunction operate at compile time and the short-circuiting is about template instantiations that might lead to compile errors otherwiese. This is not a runtime safety issue. I suggest dropping that (Peter)</w:t>
      </w:r>
    </w:p>
    <w:p>
      <w:pPr>
        <w:pStyle w:val="BodyText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FirstParagraph"/>
      </w:pPr>
      <w:r>
        <w:t xml:space="preserve">[Stephen: My write-up here is lengthy but should help get more terse</w:t>
      </w:r>
      <w:r>
        <w:t xml:space="preserve"> </w:t>
      </w:r>
      <w:r>
        <w:t xml:space="preserve">wording... but I note this: C++ operator information is in C++17 Clause</w:t>
      </w:r>
      <w:r>
        <w:t xml:space="preserve"> </w:t>
      </w:r>
      <w:r>
        <w:t xml:space="preserve">8 and Clause 16.5, ... Also per 16.5.1 para 2. unary and binary forms</w:t>
      </w:r>
      <w:r>
        <w:t xml:space="preserve"> </w:t>
      </w:r>
      <w:r>
        <w:t xml:space="preserve">of the same operator are considered to have the same name so one can</w:t>
      </w:r>
      <w:r>
        <w:t xml:space="preserve"> </w:t>
      </w:r>
      <w:r>
        <w:t xml:space="preserve">hide another from an enclosing scope. Thus, this is also another</w:t>
      </w:r>
      <w:r>
        <w:t xml:space="preserve"> </w:t>
      </w:r>
      <w:r>
        <w:t xml:space="preserve">possible vulnerability.]</w:t>
      </w:r>
    </w:p>
    <w:bookmarkEnd w:id="98"/>
    <w:bookmarkStart w:id="99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66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66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66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66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66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66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66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66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9"/>
    <w:bookmarkEnd w:id="100"/>
    <w:bookmarkStart w:id="103" w:name="likely-incorrect-expression-koa"/>
    <w:p>
      <w:pPr>
        <w:pStyle w:val="Heading2"/>
      </w:pPr>
      <w:r>
        <w:t xml:space="preserve">6.25 Likely Incorrect Expression [KOA]</w:t>
      </w:r>
    </w:p>
    <w:bookmarkStart w:id="101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68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68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68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68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BodyText"/>
      </w:pPr>
      <w:r>
        <w:t xml:space="preserve">Document with comments any use of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 </w:t>
      </w:r>
      <w:r>
        <w:t xml:space="preserve">applied as a unary since (as opposed to the</w:t>
      </w:r>
      <w:r>
        <w:t xml:space="preserve"> </w:t>
      </w:r>
      <w:r>
        <w:t xml:space="preserve">binary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.</w:t>
      </w:r>
    </w:p>
    <w:p>
      <w:pPr>
        <w:numPr>
          <w:ilvl w:val="0"/>
          <w:numId w:val="1069"/>
        </w:numPr>
      </w:pPr>
      <w:r>
        <w:t xml:space="preserve">Unary minus on unsigned type (MISRA 5-3-2)</w:t>
      </w:r>
    </w:p>
    <w:p>
      <w:pPr>
        <w:numPr>
          <w:ilvl w:val="0"/>
          <w:numId w:val="1069"/>
        </w:numPr>
      </w:pPr>
      <w:r>
        <w:t xml:space="preserve">Size of a pointer</w:t>
      </w:r>
    </w:p>
    <w:bookmarkEnd w:id="101"/>
    <w:bookmarkStart w:id="102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70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70"/>
        </w:numPr>
        <w:pStyle w:val="BlockText"/>
      </w:pPr>
      <w:r>
        <w:t xml:space="preserve">From Core guidelines:</w:t>
      </w:r>
    </w:p>
    <w:p>
      <w:pPr>
        <w:numPr>
          <w:ilvl w:val="1"/>
          <w:numId w:val="1071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71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71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71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70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72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72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2"/>
    <w:bookmarkEnd w:id="103"/>
    <w:bookmarkStart w:id="106" w:name="dead-and-deactivated-code-xyq"/>
    <w:p>
      <w:pPr>
        <w:pStyle w:val="Heading2"/>
      </w:pPr>
      <w:r>
        <w:t xml:space="preserve">6.26 Dead and Deactivated Code [XYQ]</w:t>
      </w:r>
    </w:p>
    <w:bookmarkStart w:id="104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4"/>
    <w:bookmarkStart w:id="105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73"/>
        </w:numPr>
        <w:pStyle w:val="Compact"/>
      </w:pPr>
      <w:r>
        <w:t xml:space="preserve">Follow the guidance of ISO/IEC TR 24772-1:2019 clause 6.26.5.</w:t>
      </w:r>
    </w:p>
    <w:bookmarkEnd w:id="105"/>
    <w:bookmarkEnd w:id="106"/>
    <w:bookmarkStart w:id="109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7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7"/>
    <w:bookmarkStart w:id="108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74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7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74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74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8"/>
    <w:bookmarkEnd w:id="109"/>
    <w:bookmarkStart w:id="112" w:name="demarcation-of-control-flow-eoj"/>
    <w:p>
      <w:pPr>
        <w:pStyle w:val="Heading2"/>
      </w:pPr>
      <w:r>
        <w:t xml:space="preserve">6.28 Demarcation of Control Flow [EOJ]</w:t>
      </w:r>
    </w:p>
    <w:bookmarkStart w:id="110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10"/>
    <w:bookmarkStart w:id="111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75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76"/>
        </w:numPr>
      </w:pPr>
      <w:r>
        <w:t xml:space="preserve">Declare loop variables in the initializer of the loop statement</w:t>
      </w:r>
    </w:p>
    <w:p>
      <w:pPr>
        <w:numPr>
          <w:ilvl w:val="0"/>
          <w:numId w:val="1076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1"/>
    <w:bookmarkEnd w:id="112"/>
    <w:bookmarkStart w:id="115" w:name="loop-control-variables-tex"/>
    <w:p>
      <w:pPr>
        <w:pStyle w:val="Heading2"/>
      </w:pPr>
      <w:r>
        <w:t xml:space="preserve">6.29 Loop Control Variables [TEX]</w:t>
      </w:r>
    </w:p>
    <w:bookmarkStart w:id="113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BodyText"/>
      </w:pPr>
      <w:r>
        <w:t xml:space="preserve">Mitigation – range for statement – document with an example (see</w:t>
      </w:r>
      <w:r>
        <w:t xml:space="preserve"> </w:t>
      </w:r>
      <w:r>
        <w:t xml:space="preserve">ES.71) – Gabriel</w:t>
      </w:r>
    </w:p>
    <w:bookmarkEnd w:id="113"/>
    <w:bookmarkStart w:id="114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77"/>
        </w:numPr>
      </w:pPr>
      <w:r>
        <w:t xml:space="preserve">Apply the guidance of ISO/IEC TR 24772-1:2019 clause 6.29.5.</w:t>
      </w:r>
    </w:p>
    <w:p>
      <w:pPr>
        <w:numPr>
          <w:ilvl w:val="0"/>
          <w:numId w:val="1077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77"/>
        </w:numPr>
      </w:pPr>
      <w:r>
        <w:t xml:space="preserve">Use a range for loop in preference to general loops</w:t>
      </w:r>
    </w:p>
    <w:p>
      <w:pPr>
        <w:numPr>
          <w:ilvl w:val="0"/>
          <w:numId w:val="1077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77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4"/>
    <w:bookmarkEnd w:id="115"/>
    <w:bookmarkStart w:id="118" w:name="off-by-one-error-xzh"/>
    <w:p>
      <w:pPr>
        <w:pStyle w:val="Heading2"/>
      </w:pPr>
      <w:r>
        <w:t xml:space="preserve">6.30 Off-by-one Error [XZH]</w:t>
      </w:r>
    </w:p>
    <w:bookmarkStart w:id="116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78"/>
        </w:numPr>
      </w:pPr>
      <w:r>
        <w:t xml:space="preserve">Range-based for loops</w:t>
      </w:r>
    </w:p>
    <w:p>
      <w:pPr>
        <w:numPr>
          <w:ilvl w:val="0"/>
          <w:numId w:val="1078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78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78"/>
        </w:numPr>
      </w:pPr>
      <w:r>
        <w:t xml:space="preserve">Container classes</w:t>
      </w:r>
    </w:p>
    <w:p>
      <w:pPr>
        <w:numPr>
          <w:ilvl w:val="0"/>
          <w:numId w:val="1078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6"/>
    <w:bookmarkStart w:id="117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79"/>
        </w:numPr>
      </w:pPr>
      <w:r>
        <w:t xml:space="preserve">Follow the guidance of ISO/IEC TR 24772-1:2019 clause 6.30.5.</w:t>
      </w:r>
    </w:p>
    <w:p>
      <w:pPr>
        <w:numPr>
          <w:ilvl w:val="0"/>
          <w:numId w:val="1079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79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7"/>
    <w:bookmarkEnd w:id="118"/>
    <w:bookmarkStart w:id="121" w:name="structured-programming-ewd"/>
    <w:p>
      <w:pPr>
        <w:pStyle w:val="Heading2"/>
      </w:pPr>
      <w:r>
        <w:t xml:space="preserve">6.31 Structured Programming [EWD]</w:t>
      </w:r>
    </w:p>
    <w:bookmarkStart w:id="119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BodyText"/>
      </w:pPr>
      <w:r>
        <w:rPr>
          <w:i/>
        </w:rPr>
        <w:t xml:space="preserve">IMHO, a static analyzer worth its money would do any CFA DFA based on basic blocks and should not be bothered by gotos etc. Peter.</w:t>
      </w:r>
    </w:p>
    <w:bookmarkEnd w:id="119"/>
    <w:bookmarkStart w:id="120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80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80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numPr>
          <w:ilvl w:val="0"/>
          <w:numId w:val="1080"/>
        </w:numPr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20"/>
    <w:bookmarkEnd w:id="121"/>
    <w:bookmarkStart w:id="124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2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2"/>
    <w:bookmarkStart w:id="123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81"/>
        </w:numPr>
      </w:pPr>
      <w:r>
        <w:t xml:space="preserve">Follow the advice of ISO/IEC TR 24772-1:2019 clause 6.32.5.</w:t>
      </w:r>
    </w:p>
    <w:p>
      <w:pPr>
        <w:numPr>
          <w:ilvl w:val="0"/>
          <w:numId w:val="1081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81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3"/>
    <w:bookmarkEnd w:id="124"/>
    <w:bookmarkStart w:id="127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5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5"/>
    <w:bookmarkStart w:id="126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82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82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82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82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6"/>
    <w:bookmarkEnd w:id="127"/>
    <w:bookmarkStart w:id="130" w:name="subprogram-signature-mismatch-otr"/>
    <w:p>
      <w:pPr>
        <w:pStyle w:val="Heading2"/>
      </w:pPr>
      <w:r>
        <w:t xml:space="preserve">6.34 Subprogram Signature Mismatch [OTR]</w:t>
      </w:r>
    </w:p>
    <w:bookmarkStart w:id="128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83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84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8"/>
    <w:bookmarkStart w:id="129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85"/>
        </w:numPr>
      </w:pPr>
      <w:r>
        <w:t xml:space="preserve">Follow the guidelines of ISO/IEC TR 24772-1:2019 clause 6.34.5.</w:t>
      </w:r>
    </w:p>
    <w:p>
      <w:pPr>
        <w:numPr>
          <w:ilvl w:val="0"/>
          <w:numId w:val="1085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85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9"/>
    <w:bookmarkEnd w:id="130"/>
    <w:bookmarkStart w:id="133" w:name="recursion-gdl"/>
    <w:p>
      <w:pPr>
        <w:pStyle w:val="Heading2"/>
      </w:pPr>
      <w:r>
        <w:t xml:space="preserve">6.35 Recursion [GDL]</w:t>
      </w:r>
    </w:p>
    <w:bookmarkStart w:id="131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1"/>
    <w:bookmarkStart w:id="132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86"/>
        </w:numPr>
        <w:pStyle w:val="Compact"/>
      </w:pPr>
      <w:r>
        <w:t xml:space="preserve">Apply the guidance described in TR 24772-1 clause 6.35.5.</w:t>
      </w:r>
    </w:p>
    <w:bookmarkEnd w:id="132"/>
    <w:bookmarkEnd w:id="133"/>
    <w:bookmarkStart w:id="140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8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Should we include a discussion about C++ error_code??? AI – Michael</w:t>
      </w:r>
      <w:r>
        <w:rPr>
          <w:i/>
        </w:rPr>
        <w:t xml:space="preserve"> </w:t>
      </w:r>
      <w:r>
        <w:rPr>
          <w:i/>
        </w:rPr>
        <w:t xml:space="preserve">Wong</w:t>
      </w:r>
    </w:p>
    <w:p>
      <w:pPr>
        <w:pStyle w:val="BodyText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4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7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BodyText"/>
      </w:pPr>
      <w:r>
        <w:t xml:space="preserve">_Discuss global error states, such as errno (which is thread-local) but still static.__</w:t>
      </w:r>
    </w:p>
    <w:p>
      <w:pPr>
        <w:pStyle w:val="BodyText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8"/>
    <w:bookmarkStart w:id="139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87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87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87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87"/>
        </w:numPr>
      </w:pPr>
      <w:r>
        <w:t xml:space="preserve">Avoid error handling based on global state.</w:t>
      </w:r>
    </w:p>
    <w:p>
      <w:pPr>
        <w:numPr>
          <w:ilvl w:val="0"/>
          <w:numId w:val="1087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87"/>
        </w:numPr>
      </w:pPr>
      <w:r>
        <w:t xml:space="preserve">Prefer throwing exceptions to returning error values.</w:t>
      </w:r>
    </w:p>
    <w:p>
      <w:pPr>
        <w:numPr>
          <w:ilvl w:val="0"/>
          <w:numId w:val="1087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87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87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87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87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87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9"/>
    <w:bookmarkEnd w:id="140"/>
    <w:bookmarkStart w:id="143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1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1"/>
    <w:bookmarkStart w:id="142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88"/>
        </w:numPr>
      </w:pPr>
      <w:r>
        <w:t xml:space="preserve">Follow the guidelines of ISO/IEC TR 24772-1:2019 clause 6.38.5.</w:t>
      </w:r>
    </w:p>
    <w:p>
      <w:pPr>
        <w:numPr>
          <w:ilvl w:val="0"/>
          <w:numId w:val="1088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88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88"/>
        </w:numPr>
      </w:pPr>
      <w:r>
        <w:t xml:space="preserve">Avoid the use of C-style casts and reinterpret_cast</w:t>
      </w:r>
    </w:p>
    <w:bookmarkEnd w:id="142"/>
    <w:bookmarkEnd w:id="143"/>
    <w:bookmarkStart w:id="146" w:name="deep-vs.-shallow-copying-yan"/>
    <w:p>
      <w:pPr>
        <w:pStyle w:val="Heading2"/>
      </w:pPr>
      <w:r>
        <w:t xml:space="preserve">6.38 Deep vs. Shallow Copying [YAN]</w:t>
      </w:r>
    </w:p>
    <w:bookmarkStart w:id="144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BodyText"/>
      </w:pPr>
      <w:r>
        <w:t xml:space="preserve">&lt;This may belong elsewhere – TBD&gt; C++ provides the</w:t>
      </w:r>
      <w:r>
        <w:t xml:space="preserve"> </w:t>
      </w:r>
      <w:r>
        <w:t xml:space="preserve">“</w:t>
      </w:r>
      <w:r>
        <w:t xml:space="preserve">string view</w:t>
      </w:r>
      <w:r>
        <w:t xml:space="preserve">”</w:t>
      </w:r>
      <w:r>
        <w:t xml:space="preserve"> </w:t>
      </w:r>
      <w:r>
        <w:t xml:space="preserve">mechanism as safer pointers to strings. Updates through string view are</w:t>
      </w:r>
      <w:r>
        <w:t xml:space="preserve"> </w:t>
      </w:r>
      <w:r>
        <w:t xml:space="preserve">prohibited, but the initial non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 </w:t>
      </w:r>
      <w:r>
        <w:t xml:space="preserve">value can be updated and this</w:t>
      </w:r>
      <w:r>
        <w:t xml:space="preserve"> </w:t>
      </w:r>
      <w:r>
        <w:t xml:space="preserve">change will be seen by all viewers, even if they are dependent on fixed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BodyText"/>
      </w:pPr>
      <w:r>
        <w:t xml:space="preserve">Note: Why CERT does not address this issue – involves programmer intent</w:t>
      </w:r>
      <w:r>
        <w:t xml:space="preserve"> </w:t>
      </w:r>
      <w:r>
        <w:t xml:space="preserve">and not readily tool-checkable.</w:t>
      </w:r>
    </w:p>
    <w:bookmarkEnd w:id="144"/>
    <w:bookmarkStart w:id="145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89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89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89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89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89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5"/>
    <w:bookmarkEnd w:id="146"/>
    <w:bookmarkStart w:id="149" w:name="memory-leak-and-heap-fragmentation-xyl"/>
    <w:p>
      <w:pPr>
        <w:pStyle w:val="Heading2"/>
      </w:pPr>
      <w:r>
        <w:t xml:space="preserve">6.39 Memory Leak and Heap Fragmentation [XYL]</w:t>
      </w:r>
    </w:p>
    <w:bookmarkStart w:id="147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 Resource Acquisition Is</w:t>
      </w:r>
      <w:r>
        <w:t xml:space="preserve"> </w:t>
      </w:r>
      <w:r>
        <w:t xml:space="preserve">Initialization (RAII) 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90"/>
        </w:numPr>
      </w:pPr>
      <w:r>
        <w:t xml:space="preserve">When an unhandled exception escapes its thread of execution</w:t>
      </w:r>
    </w:p>
    <w:p>
      <w:pPr>
        <w:numPr>
          <w:ilvl w:val="0"/>
          <w:numId w:val="1090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BodyText"/>
      </w:pPr>
      <w:r>
        <w:rPr>
          <w:i/>
        </w:rPr>
        <w:t xml:space="preserve">need to clarify to rely on memory managing types, containers, and unique ptr, shared ptr is often bad , Peter</w:t>
      </w:r>
    </w:p>
    <w:bookmarkEnd w:id="147"/>
    <w:bookmarkStart w:id="148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91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91"/>
        </w:numPr>
      </w:pPr>
      <w:r>
        <w:t xml:space="preserve">Follow C++ Core guidelines section R and CERT MEM51.</w:t>
      </w:r>
    </w:p>
    <w:p>
      <w:pPr>
        <w:numPr>
          <w:ilvl w:val="0"/>
          <w:numId w:val="1091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91"/>
        </w:numPr>
      </w:pPr>
      <w:r>
        <w:t xml:space="preserve">Use dynamic analysis tools to detect cycles.</w:t>
      </w:r>
    </w:p>
    <w:p>
      <w:pPr>
        <w:numPr>
          <w:ilvl w:val="0"/>
          <w:numId w:val="1091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91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91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8"/>
    <w:bookmarkEnd w:id="149"/>
    <w:bookmarkStart w:id="152" w:name="templates-and-generics-sym"/>
    <w:p>
      <w:pPr>
        <w:pStyle w:val="Heading2"/>
      </w:pPr>
      <w:r>
        <w:t xml:space="preserve">6.40 Templates and Generics [SYM]</w:t>
      </w:r>
    </w:p>
    <w:bookmarkStart w:id="150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92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92"/>
        </w:numPr>
      </w:pPr>
      <w:r>
        <w:t xml:space="preserve">They have no runtime overhead for inline operations; and</w:t>
      </w:r>
    </w:p>
    <w:p>
      <w:pPr>
        <w:numPr>
          <w:ilvl w:val="0"/>
          <w:numId w:val="1092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93"/>
        </w:numPr>
      </w:pPr>
      <w:r>
        <w:t xml:space="preserve">The program compiles and executes safely;</w:t>
      </w:r>
    </w:p>
    <w:p>
      <w:pPr>
        <w:numPr>
          <w:ilvl w:val="0"/>
          <w:numId w:val="1093"/>
        </w:numPr>
      </w:pPr>
      <w:r>
        <w:t xml:space="preserve">The program fails to compile; or</w:t>
      </w:r>
    </w:p>
    <w:p>
      <w:pPr>
        <w:numPr>
          <w:ilvl w:val="0"/>
          <w:numId w:val="1093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BodyText"/>
      </w:pPr>
      <w:r>
        <w:rPr>
          <w:i/>
        </w:rPr>
        <w:t xml:space="preserve">Mitigation</w:t>
      </w:r>
      <w:r>
        <w:t xml:space="preserve"> </w:t>
      </w:r>
      <w:r>
        <w:rPr>
          <w:i/>
        </w:rPr>
        <w:t xml:space="preserve">– ensure complete coverage of Template code with unit</w:t>
      </w:r>
      <w:r>
        <w:rPr>
          <w:i/>
        </w:rPr>
        <w:t xml:space="preserve"> </w:t>
      </w:r>
      <w:r>
        <w:rPr>
          <w:i/>
        </w:rPr>
        <w:t xml:space="preserve">tests</w:t>
      </w:r>
    </w:p>
    <w:p>
      <w:pPr>
        <w:pStyle w:val="BodyText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94"/>
        </w:numPr>
      </w:pPr>
      <w:r>
        <w:t xml:space="preserve">the first template argument must be a forward iterator.</w:t>
      </w:r>
    </w:p>
    <w:p>
      <w:pPr>
        <w:numPr>
          <w:ilvl w:val="0"/>
          <w:numId w:val="1094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</w:t>
      </w:r>
    </w:p>
    <w:p>
      <w:pPr>
        <w:pStyle w:val="BodyText"/>
      </w:pPr>
      <w:r>
        <w:t xml:space="preserve">body. The result is great flexibility, splendid generated code for</w:t>
      </w:r>
      <w:r>
        <w:t xml:space="preserve"> </w:t>
      </w:r>
      <w:r>
        <w:t xml:space="preserve">correct calls, and spectacularly bad</w:t>
      </w:r>
    </w:p>
    <w:p>
      <w:pPr>
        <w:pStyle w:val="BodyText"/>
      </w:pPr>
      <w:r>
        <w:t xml:space="preserve">error messages for incorrect calls. The obvious solution is to specify</w:t>
      </w:r>
      <w:r>
        <w:t xml:space="preserve"> </w:t>
      </w:r>
      <w:r>
        <w:t xml:space="preserve">the first two requirements as</w:t>
      </w:r>
    </w:p>
    <w:p>
      <w:pPr>
        <w:pStyle w:val="BodyText"/>
      </w:pPr>
      <w:r>
        <w:t xml:space="preserve">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</w:t>
      </w:r>
    </w:p>
    <w:p>
      <w:pPr>
        <w:pStyle w:val="BodyText"/>
      </w:pPr>
      <w:r>
        <w:t xml:space="preserve">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BodyText"/>
      </w:pPr>
      <w:r>
        <w:t xml:space="preserve">Another issue – likely to be placed elsewhere and referenced here</w:t>
      </w:r>
    </w:p>
    <w:p>
      <w:pPr>
        <w:pStyle w:val="BodyText"/>
      </w:pPr>
      <w:r>
        <w:t xml:space="preserve">Standard vector construction issue where braces are replaced with curly</w:t>
      </w:r>
      <w:r>
        <w:t xml:space="preserve"> </w:t>
      </w:r>
      <w:r>
        <w:t xml:space="preserve">braces. (Paul)</w:t>
      </w:r>
    </w:p>
    <w:p>
      <w:pPr>
        <w:pStyle w:val="BodyText"/>
      </w:pPr>
      <w:r>
        <w:t xml:space="preserve">Guidance – use braces initially and only use other format if the</w:t>
      </w:r>
      <w:r>
        <w:t xml:space="preserve"> </w:t>
      </w:r>
      <w:r>
        <w:t xml:space="preserve">compiler fails ???</w:t>
      </w:r>
    </w:p>
    <w:p>
      <w:pPr>
        <w:pStyle w:val="BodyText"/>
      </w:pPr>
      <w:r>
        <w:rPr>
          <w:i/>
        </w:rPr>
        <w:t xml:space="preserve">(Examples needed</w:t>
      </w:r>
      <w:r>
        <w:t xml:space="preserve">)</w:t>
      </w:r>
    </w:p>
    <w:p>
      <w:pPr>
        <w:pStyle w:val="BodyText"/>
      </w:pPr>
      <w:r>
        <w:t xml:space="preserve">Core guidelines (fill in references)</w:t>
      </w:r>
    </w:p>
    <w:p>
      <w:pPr>
        <w:pStyle w:val="BodyText"/>
      </w:pPr>
      <w:r>
        <w:t xml:space="preserve">I.9 T.10, T.11, 12, 13, T.20, T.21, T.22, T.23, T.24, T.25, T.26, T.30,</w:t>
      </w:r>
      <w:r>
        <w:t xml:space="preserve"> </w:t>
      </w:r>
      <w:r>
        <w:t xml:space="preserve">T.31 – forward to Clive.</w:t>
      </w:r>
    </w:p>
    <w:p>
      <w:pPr>
        <w:pStyle w:val="BodyText"/>
      </w:pPr>
      <w:r>
        <w:t xml:space="preserve">(</w:t>
      </w:r>
      <w:r>
        <w:rPr>
          <w:i/>
        </w:rPr>
        <w:t xml:space="preserve">We may wish to summarize)</w:t>
      </w:r>
    </w:p>
    <w:bookmarkEnd w:id="150"/>
    <w:bookmarkStart w:id="151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95"/>
        </w:numPr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numPr>
          <w:ilvl w:val="0"/>
          <w:numId w:val="1095"/>
        </w:numPr>
      </w:pPr>
      <w:r>
        <w:rPr>
          <w:i/>
        </w:rPr>
        <w:t xml:space="preserve">Cyclic dependencies and ODR (one definition rule) use …</w:t>
      </w:r>
    </w:p>
    <w:p>
      <w:pPr>
        <w:numPr>
          <w:ilvl w:val="0"/>
          <w:numId w:val="1095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1"/>
          <w:numId w:val="1096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95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95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95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97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98"/>
        </w:numPr>
      </w:pPr>
      <w:r>
        <w:t xml:space="preserve">For template specialization, declared the specialization:</w:t>
      </w:r>
    </w:p>
    <w:p>
      <w:pPr>
        <w:numPr>
          <w:ilvl w:val="1"/>
          <w:numId w:val="1099"/>
        </w:numPr>
      </w:pPr>
      <w:r>
        <w:t xml:space="preserve">In the same file as the primary template; or</w:t>
      </w:r>
    </w:p>
    <w:p>
      <w:pPr>
        <w:numPr>
          <w:ilvl w:val="1"/>
          <w:numId w:val="1099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98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1"/>
    <w:bookmarkEnd w:id="152"/>
    <w:bookmarkStart w:id="153" w:name="inheritance-rip"/>
    <w:p>
      <w:pPr>
        <w:pStyle w:val="Heading2"/>
      </w:pPr>
      <w:r>
        <w:t xml:space="preserve">6.41 Inheritance [RIP]</w:t>
      </w:r>
    </w:p>
    <w:bookmarkEnd w:id="153"/>
    <w:bookmarkStart w:id="154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100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101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101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100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102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100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103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100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104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100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105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106"/>
        </w:numPr>
      </w:pPr>
      <w:r>
        <w:t xml:space="preserve">Guidance: Keep inheritance hierarchies short</w:t>
      </w:r>
    </w:p>
    <w:p>
      <w:pPr>
        <w:numPr>
          <w:ilvl w:val="0"/>
          <w:numId w:val="1106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106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4"/>
    <w:bookmarkStart w:id="155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107"/>
        </w:numPr>
      </w:pPr>
      <w:r>
        <w:t xml:space="preserve">Follow the guidance of ISO/IEC TR 24772-1:2019 clause 41.5.</w:t>
      </w:r>
    </w:p>
    <w:p>
      <w:pPr>
        <w:numPr>
          <w:ilvl w:val="0"/>
          <w:numId w:val="1107"/>
        </w:numPr>
      </w:pPr>
      <w:r>
        <w:t xml:space="preserve">Avoid the use of multiple inheritance whenever possible.</w:t>
      </w:r>
    </w:p>
    <w:p>
      <w:pPr>
        <w:numPr>
          <w:ilvl w:val="0"/>
          <w:numId w:val="1107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107"/>
        </w:numPr>
      </w:pPr>
      <w:r>
        <w:t xml:space="preserve">Keep inheritance hierarchies short and narrow</w:t>
      </w:r>
    </w:p>
    <w:p>
      <w:pPr>
        <w:numPr>
          <w:ilvl w:val="0"/>
          <w:numId w:val="1107"/>
        </w:numPr>
      </w:pPr>
      <w:r>
        <w:t xml:space="preserve">Prefer non-virtual functions to virtual functions</w:t>
      </w:r>
    </w:p>
    <w:p>
      <w:pPr>
        <w:numPr>
          <w:ilvl w:val="0"/>
          <w:numId w:val="1107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107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107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107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107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107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107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107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107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107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5"/>
    <w:bookmarkStart w:id="158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6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6"/>
    <w:bookmarkStart w:id="157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108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108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8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8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108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108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7"/>
    <w:bookmarkEnd w:id="158"/>
    <w:bookmarkStart w:id="161" w:name="redispatching-pph"/>
    <w:p>
      <w:pPr>
        <w:pStyle w:val="Heading2"/>
      </w:pPr>
      <w:r>
        <w:t xml:space="preserve">6.43 Redispatching [PPH]</w:t>
      </w:r>
    </w:p>
    <w:bookmarkStart w:id="159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Overriding -</w:t>
      </w:r>
      <w:r>
        <w:t xml:space="preserve"> </w:t>
      </w:r>
      <w:r>
        <w:rPr>
          <w:i/>
        </w:rPr>
        <w:t xml:space="preserve">Private virtual functions can be overridden - AI – Paul</w:t>
      </w:r>
      <w:r>
        <w:rPr>
          <w:i/>
        </w:rPr>
        <w:t xml:space="preserve"> </w:t>
      </w:r>
      <w:r>
        <w:rPr>
          <w:i/>
        </w:rPr>
        <w:t xml:space="preserve">– write up. May be a namespace issues or a Beaujolais issue.</w:t>
      </w:r>
    </w:p>
    <w:p>
      <w:pPr>
        <w:pStyle w:val="BodyText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9"/>
    <w:bookmarkStart w:id="160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109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109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60"/>
    <w:bookmarkEnd w:id="161"/>
    <w:bookmarkStart w:id="164" w:name="polymorphic-variables-bkk"/>
    <w:p>
      <w:pPr>
        <w:pStyle w:val="Heading2"/>
      </w:pPr>
      <w:r>
        <w:t xml:space="preserve">6.44 Polymorphic variables [BKK]</w:t>
      </w:r>
    </w:p>
    <w:bookmarkStart w:id="162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110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110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110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110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111"/>
        </w:numPr>
      </w:pPr>
      <w:r>
        <w:t xml:space="preserve">are the only ones that can be performed implicitly</w:t>
      </w:r>
    </w:p>
    <w:p>
      <w:pPr>
        <w:numPr>
          <w:ilvl w:val="0"/>
          <w:numId w:val="1111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12"/>
        </w:numPr>
      </w:pPr>
      <w:r>
        <w:t xml:space="preserve">are explicit;</w:t>
      </w:r>
    </w:p>
    <w:p>
      <w:pPr>
        <w:numPr>
          <w:ilvl w:val="0"/>
          <w:numId w:val="1112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12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12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13"/>
        </w:numPr>
      </w:pPr>
      <w:r>
        <w:t xml:space="preserve">are explicit</w:t>
      </w:r>
    </w:p>
    <w:p>
      <w:pPr>
        <w:numPr>
          <w:ilvl w:val="0"/>
          <w:numId w:val="1113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13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2"/>
    <w:bookmarkStart w:id="163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14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14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14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14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14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14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15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16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3"/>
    <w:bookmarkEnd w:id="164"/>
    <w:bookmarkStart w:id="165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17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5"/>
    <w:bookmarkStart w:id="168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6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6"/>
    <w:bookmarkStart w:id="167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18"/>
        </w:numPr>
      </w:pPr>
      <w:r>
        <w:t xml:space="preserve">Follow the guidelines of ISO/IEC TR 24772-1 clause 6.47.5.</w:t>
      </w:r>
    </w:p>
    <w:p>
      <w:pPr>
        <w:numPr>
          <w:ilvl w:val="0"/>
          <w:numId w:val="1118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18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7"/>
    <w:bookmarkEnd w:id="168"/>
    <w:bookmarkStart w:id="171" w:name="inter-language-calling-djs"/>
    <w:p>
      <w:pPr>
        <w:pStyle w:val="Heading2"/>
      </w:pPr>
      <w:r>
        <w:t xml:space="preserve">6.47 Inter-language Calling [DJS]</w:t>
      </w:r>
    </w:p>
    <w:bookmarkStart w:id="169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9"/>
    <w:bookmarkStart w:id="170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19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19"/>
        </w:numPr>
      </w:pPr>
      <w:r>
        <w:t xml:space="preserve">Use standard layout types for the interoperable interfaces.</w:t>
      </w:r>
    </w:p>
    <w:p>
      <w:pPr>
        <w:numPr>
          <w:ilvl w:val="1"/>
          <w:numId w:val="1120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20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20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19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19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19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19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70"/>
    <w:bookmarkEnd w:id="171"/>
    <w:bookmarkStart w:id="174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2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2"/>
    <w:bookmarkStart w:id="173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3"/>
    <w:bookmarkEnd w:id="174"/>
    <w:bookmarkStart w:id="177" w:name="library-signature-nsq"/>
    <w:p>
      <w:pPr>
        <w:pStyle w:val="Heading2"/>
      </w:pPr>
      <w:r>
        <w:t xml:space="preserve">6.49 Library Signature [NSQ]</w:t>
      </w:r>
    </w:p>
    <w:bookmarkStart w:id="175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5"/>
    <w:bookmarkStart w:id="176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21"/>
        </w:numPr>
      </w:pPr>
      <w:r>
        <w:t xml:space="preserve">Follow the guidance of ISO/IEC TR 24772-1:2019 clause 6.49.5.</w:t>
      </w:r>
    </w:p>
    <w:p>
      <w:pPr>
        <w:numPr>
          <w:ilvl w:val="0"/>
          <w:numId w:val="1121"/>
        </w:numPr>
      </w:pPr>
      <w:r>
        <w:t xml:space="preserve">Follow the advice of clause 6.47.2 as applicable.</w:t>
      </w:r>
    </w:p>
    <w:bookmarkEnd w:id="176"/>
    <w:bookmarkEnd w:id="177"/>
    <w:bookmarkStart w:id="180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8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8"/>
    <w:bookmarkStart w:id="179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22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22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22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9"/>
    <w:bookmarkEnd w:id="180"/>
    <w:bookmarkStart w:id="183" w:name="pre-processor-directives-nmp"/>
    <w:p>
      <w:pPr>
        <w:pStyle w:val="Heading2"/>
      </w:pPr>
      <w:r>
        <w:t xml:space="preserve">6.51 Pre-processor Directives [NMP]</w:t>
      </w:r>
    </w:p>
    <w:bookmarkStart w:id="181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1"/>
    <w:bookmarkStart w:id="182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23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23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23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23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23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23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23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23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23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23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2"/>
    <w:bookmarkEnd w:id="183"/>
    <w:bookmarkStart w:id="186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4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4"/>
    <w:bookmarkStart w:id="185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5"/>
    <w:bookmarkEnd w:id="186"/>
    <w:bookmarkStart w:id="189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7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7"/>
    <w:bookmarkStart w:id="188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24"/>
        </w:numPr>
      </w:pPr>
      <w:r>
        <w:t xml:space="preserve">Follow the guidelines of ISO/IEC TR 24772-1:2019 clause 6.53.5.</w:t>
      </w:r>
    </w:p>
    <w:p>
      <w:pPr>
        <w:numPr>
          <w:ilvl w:val="0"/>
          <w:numId w:val="1124"/>
        </w:numPr>
      </w:pPr>
      <w:r>
        <w:t xml:space="preserve">Enable checks that warn about unsafe operations.</w:t>
      </w:r>
    </w:p>
    <w:p>
      <w:pPr>
        <w:numPr>
          <w:ilvl w:val="0"/>
          <w:numId w:val="1124"/>
        </w:numPr>
      </w:pPr>
      <w:r>
        <w:t xml:space="preserve">Use static analysis tools to detect unsafe constructs.</w:t>
      </w:r>
    </w:p>
    <w:bookmarkEnd w:id="188"/>
    <w:bookmarkEnd w:id="189"/>
    <w:bookmarkStart w:id="192" w:name="obscure-language-features-brs"/>
    <w:p>
      <w:pPr>
        <w:pStyle w:val="Heading2"/>
      </w:pPr>
      <w:r>
        <w:t xml:space="preserve">6.54 Obscure Language Features [BRS]</w:t>
      </w:r>
    </w:p>
    <w:bookmarkStart w:id="190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90"/>
    <w:bookmarkStart w:id="191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25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1"/>
    <w:bookmarkEnd w:id="192"/>
    <w:bookmarkStart w:id="195" w:name="undefined-behaviour-ewf"/>
    <w:p>
      <w:pPr>
        <w:pStyle w:val="Heading2"/>
      </w:pPr>
      <w:r>
        <w:t xml:space="preserve">6.56 Undefined Behaviour [EWF]</w:t>
      </w:r>
    </w:p>
    <w:bookmarkStart w:id="193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3"/>
    <w:bookmarkStart w:id="194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26"/>
        </w:numPr>
      </w:pPr>
      <w:r>
        <w:t xml:space="preserve">Follow the guidelines of ISO/IEC TR 24772-1:2019 clause 6.56.5.</w:t>
      </w:r>
    </w:p>
    <w:p>
      <w:pPr>
        <w:numPr>
          <w:ilvl w:val="0"/>
          <w:numId w:val="1126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26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26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26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 Note: This document is dedicated to explaining these issues.</w:t>
      </w:r>
    </w:p>
    <w:bookmarkEnd w:id="194"/>
    <w:bookmarkEnd w:id="195"/>
    <w:bookmarkStart w:id="198" w:name="implementationdefined-behaviour-fab"/>
    <w:p>
      <w:pPr>
        <w:pStyle w:val="Heading2"/>
      </w:pPr>
      <w:r>
        <w:t xml:space="preserve">6.57 Implementation–defined Behaviour [FAB]</w:t>
      </w:r>
    </w:p>
    <w:bookmarkStart w:id="196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6"/>
    <w:bookmarkStart w:id="197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27"/>
        </w:numPr>
      </w:pPr>
      <w:r>
        <w:t xml:space="preserve">Follow the guidelines of ISO/IEC TR 24772-1:2019 clause 6.57.5.</w:t>
      </w:r>
    </w:p>
    <w:p>
      <w:pPr>
        <w:numPr>
          <w:ilvl w:val="0"/>
          <w:numId w:val="1127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27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27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7"/>
    <w:bookmarkEnd w:id="198"/>
    <w:bookmarkStart w:id="201" w:name="deprecated-language-features-mem"/>
    <w:p>
      <w:pPr>
        <w:pStyle w:val="Heading2"/>
      </w:pPr>
      <w:r>
        <w:t xml:space="preserve">6.58 Deprecated Language Features [MEM]</w:t>
      </w:r>
    </w:p>
    <w:bookmarkStart w:id="199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14882:2020(???)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9"/>
    <w:bookmarkStart w:id="200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28"/>
        </w:numPr>
      </w:pPr>
      <w:r>
        <w:t xml:space="preserve">Follow the guidelines of ISO/IEC TR 24772-1 clause 6.58.5.</w:t>
      </w:r>
    </w:p>
    <w:p>
      <w:pPr>
        <w:numPr>
          <w:ilvl w:val="0"/>
          <w:numId w:val="1128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28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200"/>
    <w:bookmarkEnd w:id="201"/>
    <w:bookmarkStart w:id="204" w:name="concurrency-activation-cga"/>
    <w:p>
      <w:pPr>
        <w:pStyle w:val="Heading2"/>
      </w:pPr>
      <w:r>
        <w:t xml:space="preserve">6.59 Concurrency – Activation [CGA]</w:t>
      </w:r>
    </w:p>
    <w:bookmarkStart w:id="202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29"/>
        </w:numPr>
        <w:pStyle w:val="Compact"/>
      </w:pPr>
      <w:r>
        <w:t xml:space="preserve">6.61 Concurrent Data Access,</w:t>
      </w:r>
    </w:p>
    <w:p>
      <w:pPr>
        <w:numPr>
          <w:ilvl w:val="0"/>
          <w:numId w:val="1129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29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2"/>
    <w:bookmarkStart w:id="203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30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30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30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3"/>
    <w:bookmarkEnd w:id="204"/>
    <w:bookmarkStart w:id="206" w:name="concurrency-directed-termination-cgt"/>
    <w:p>
      <w:pPr>
        <w:pStyle w:val="Heading2"/>
      </w:pPr>
      <w:r>
        <w:t xml:space="preserve">6.60 Concurrency – Directed termination [CGT]</w:t>
      </w:r>
    </w:p>
    <w:bookmarkStart w:id="205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5"/>
    <w:bookmarkEnd w:id="206"/>
    <w:bookmarkStart w:id="207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7"/>
    <w:bookmarkStart w:id="210" w:name="concurrent-data-access-cgx"/>
    <w:p>
      <w:pPr>
        <w:pStyle w:val="Heading2"/>
      </w:pPr>
      <w:r>
        <w:t xml:space="preserve">6.61 Concurrent Data Access [CGX]</w:t>
      </w:r>
    </w:p>
    <w:bookmarkStart w:id="208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8"/>
    <w:bookmarkStart w:id="209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31"/>
        </w:numPr>
      </w:pPr>
      <w:r>
        <w:t xml:space="preserve">Follow the guidance of ISO/IEC TR 24772-1 clause 6.62.5.</w:t>
      </w:r>
    </w:p>
    <w:p>
      <w:pPr>
        <w:numPr>
          <w:ilvl w:val="0"/>
          <w:numId w:val="1131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31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31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32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31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31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9"/>
    <w:bookmarkEnd w:id="210"/>
    <w:bookmarkStart w:id="214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1" w:name="applicability-to-language"/>
    <w:p>
      <w:pPr>
        <w:pStyle w:val="Heading3"/>
      </w:pPr>
      <w:r>
        <w:t xml:space="preserve">6.62.1 Applicability to language</w:t>
      </w:r>
    </w:p>
    <w:bookmarkEnd w:id="211"/>
    <w:bookmarkStart w:id="212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2"/>
    <w:bookmarkStart w:id="213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33"/>
        </w:numPr>
      </w:pPr>
      <w:r>
        <w:t xml:space="preserve">Follow the guidelines of TR 24772-1 clause 6.63.5.</w:t>
      </w:r>
    </w:p>
    <w:p>
      <w:pPr>
        <w:numPr>
          <w:ilvl w:val="0"/>
          <w:numId w:val="1133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33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3"/>
    <w:bookmarkEnd w:id="214"/>
    <w:bookmarkStart w:id="236" w:name="protocol-lock-errors-cgm"/>
    <w:p>
      <w:pPr>
        <w:pStyle w:val="Heading2"/>
      </w:pPr>
      <w:r>
        <w:t xml:space="preserve">6.63 Protocol Lock Errors [CGM]</w:t>
      </w:r>
    </w:p>
    <w:bookmarkStart w:id="215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5"/>
    <w:bookmarkStart w:id="235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34"/>
        </w:numPr>
      </w:pPr>
      <w:r>
        <w:t xml:space="preserve">Follow the guidelines of TR 24772-1 clause 6.63.5.</w:t>
      </w:r>
    </w:p>
    <w:p>
      <w:pPr>
        <w:numPr>
          <w:ilvl w:val="0"/>
          <w:numId w:val="1134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34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34"/>
        </w:numPr>
      </w:pPr>
      <w:r>
        <w:t xml:space="preserve">Use the C++ Task mechanism in preference to threads …</w:t>
      </w:r>
    </w:p>
    <w:p>
      <w:pPr>
        <w:numPr>
          <w:ilvl w:val="0"/>
          <w:numId w:val="1134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34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34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34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34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34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34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34"/>
        </w:numPr>
      </w:pPr>
      <w:hyperlink r:id="rId216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34"/>
        </w:numPr>
      </w:pPr>
      <w:hyperlink r:id="rId217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4"/>
        </w:numPr>
      </w:pPr>
      <w:hyperlink r:id="rId218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4"/>
        </w:numPr>
      </w:pPr>
      <w:hyperlink r:id="rId219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34"/>
        </w:numPr>
      </w:pPr>
      <w:hyperlink r:id="rId220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34"/>
        </w:numPr>
      </w:pPr>
      <w:hyperlink r:id="rId221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34"/>
        </w:numPr>
      </w:pPr>
      <w:hyperlink r:id="rId222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4"/>
        </w:numPr>
      </w:pPr>
      <w:hyperlink r:id="rId223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4"/>
        </w:numPr>
      </w:pPr>
      <w:hyperlink r:id="rId224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34"/>
        </w:numPr>
      </w:pPr>
      <w:hyperlink r:id="rId225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34"/>
        </w:numPr>
      </w:pPr>
      <w:hyperlink r:id="rId226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34"/>
        </w:numPr>
      </w:pPr>
      <w:hyperlink r:id="rId227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34"/>
        </w:numPr>
      </w:pPr>
      <w:hyperlink r:id="rId228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34"/>
        </w:numPr>
      </w:pPr>
      <w:hyperlink r:id="rId229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34"/>
        </w:numPr>
      </w:pPr>
      <w:hyperlink r:id="rId230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34"/>
        </w:numPr>
      </w:pPr>
      <w:hyperlink r:id="rId231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34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34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34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34"/>
        </w:numPr>
      </w:pPr>
      <w:hyperlink r:id="rId232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34"/>
        </w:numPr>
      </w:pPr>
      <w:hyperlink r:id="rId233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34"/>
        </w:numPr>
      </w:pPr>
      <w:hyperlink r:id="rId234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5"/>
    <w:bookmarkEnd w:id="236"/>
    <w:bookmarkStart w:id="239" w:name="uncontrolled-format-string-shl"/>
    <w:p>
      <w:pPr>
        <w:pStyle w:val="Heading2"/>
      </w:pPr>
      <w:r>
        <w:t xml:space="preserve">6.64 Uncontrolled Format String [SHL]</w:t>
      </w:r>
    </w:p>
    <w:bookmarkStart w:id="237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7"/>
    <w:bookmarkStart w:id="238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8"/>
    <w:bookmarkEnd w:id="239"/>
    <w:bookmarkEnd w:id="240"/>
    <w:bookmarkStart w:id="243" w:name="modifying-constants-ujo"/>
    <w:p>
      <w:pPr>
        <w:pStyle w:val="Heading1"/>
      </w:pPr>
      <w:r>
        <w:t xml:space="preserve">6.65 Modifying constants [UJO]</w:t>
      </w:r>
    </w:p>
    <w:bookmarkStart w:id="241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1"/>
    <w:bookmarkStart w:id="242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35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35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35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35"/>
        </w:numPr>
      </w:pPr>
      <w:r>
        <w:t xml:space="preserve">If a</w:t>
      </w:r>
    </w:p>
    <w:bookmarkEnd w:id="242"/>
    <w:bookmarkEnd w:id="243"/>
    <w:bookmarkStart w:id="244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4"/>
    <w:bookmarkStart w:id="246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5"/>
      </w:r>
      <w:r>
        <w:t xml:space="preserve">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6"/>
    <w:bookmarkStart w:id="260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7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8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9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50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1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2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3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4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5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6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7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8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9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60"/>
    <w:bookmarkStart w:id="261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apple-converted-space">
    <w:name w:val="apple-converted-spa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6" Target="http://archive.gao.gov/t2pbat6/145960.pdf" TargetMode="External" /><Relationship Type="http://schemas.openxmlformats.org/officeDocument/2006/relationships/hyperlink" Id="rId254" Target="http://cwe.mitre.org/" TargetMode="External" /><Relationship Type="http://schemas.openxmlformats.org/officeDocument/2006/relationships/hyperlink" Id="rId136" Target="http://en.cppreference.com/w/cpp/io/iostream_category" TargetMode="External" /><Relationship Type="http://schemas.openxmlformats.org/officeDocument/2006/relationships/hyperlink" Id="rId250" Target="http://en.wikisource.org/wiki/Ariane_501_Inquiry_Board_report" TargetMode="External" /><Relationship Type="http://schemas.openxmlformats.org/officeDocument/2006/relationships/hyperlink" Id="rId248" Target="http://esamultimedia.esa.int/docs/esa-x-1819eng.pdf" TargetMode="External" /><Relationship Type="http://schemas.openxmlformats.org/officeDocument/2006/relationships/hyperlink" Id="rId252" Target="http://myweb.lmu.edu/dondi/share/pl/type-checking-v02.pdf" TargetMode="External" /><Relationship Type="http://schemas.openxmlformats.org/officeDocument/2006/relationships/hyperlink" Id="rId259" Target="http://www.adaic.org/docs/95style/95style.pdf" TargetMode="External" /><Relationship Type="http://schemas.openxmlformats.org/officeDocument/2006/relationships/hyperlink" Id="rId251" Target="http://www.cert.org/books/secure-coding" TargetMode="External" /><Relationship Type="http://schemas.openxmlformats.org/officeDocument/2006/relationships/hyperlink" Id="rId249" Target="http://www.embedded.com/1999/9907/9907feat2.htm" TargetMode="External" /><Relationship Type="http://schemas.openxmlformats.org/officeDocument/2006/relationships/hyperlink" Id="rId253" Target="http://www.misra.org.uk/" TargetMode="External" /><Relationship Type="http://schemas.openxmlformats.org/officeDocument/2006/relationships/hyperlink" Id="rId255" Target="http://www.nsc.liu.se/wg25/book" TargetMode="External" /><Relationship Type="http://schemas.openxmlformats.org/officeDocument/2006/relationships/hyperlink" Id="rId257" Target="http://www.siam.org/siamnews/general/patriot.htm" TargetMode="External" /><Relationship Type="http://schemas.openxmlformats.org/officeDocument/2006/relationships/hyperlink" Id="rId230" Target="https://docs.google.com/document/d/14E0BYqsH_d7fMKvXvaZWoNWtIC65cYBw0aZp4dlev0Q/edit#heading=h.13kr181fh926" TargetMode="External" /><Relationship Type="http://schemas.openxmlformats.org/officeDocument/2006/relationships/hyperlink" Id="rId217" Target="https://docs.google.com/document/d/14E0BYqsH_d7fMKvXvaZWoNWtIC65cYBw0aZp4dlev0Q/edit#heading=h.1kfv9jdgd8ib" TargetMode="External" /><Relationship Type="http://schemas.openxmlformats.org/officeDocument/2006/relationships/hyperlink" Id="rId227" Target="https://docs.google.com/document/d/14E0BYqsH_d7fMKvXvaZWoNWtIC65cYBw0aZp4dlev0Q/edit#heading=h.3icrgfn0r3ae" TargetMode="External" /><Relationship Type="http://schemas.openxmlformats.org/officeDocument/2006/relationships/hyperlink" Id="rId218" Target="https://docs.google.com/document/d/14E0BYqsH_d7fMKvXvaZWoNWtIC65cYBw0aZp4dlev0Q/edit#heading=h.729gvquxakq8" TargetMode="External" /><Relationship Type="http://schemas.openxmlformats.org/officeDocument/2006/relationships/hyperlink" Id="rId225" Target="https://docs.google.com/document/d/14E0BYqsH_d7fMKvXvaZWoNWtIC65cYBw0aZp4dlev0Q/edit#heading=h.7pf8azwmy8l4" TargetMode="External" /><Relationship Type="http://schemas.openxmlformats.org/officeDocument/2006/relationships/hyperlink" Id="rId219" Target="https://docs.google.com/document/d/14E0BYqsH_d7fMKvXvaZWoNWtIC65cYBw0aZp4dlev0Q/edit#heading=h.920crsa3sscx" TargetMode="External" /><Relationship Type="http://schemas.openxmlformats.org/officeDocument/2006/relationships/hyperlink" Id="rId233" Target="https://docs.google.com/document/d/14E0BYqsH_d7fMKvXvaZWoNWtIC65cYBw0aZp4dlev0Q/edit#heading=h.9syx86lze887" TargetMode="External" /><Relationship Type="http://schemas.openxmlformats.org/officeDocument/2006/relationships/hyperlink" Id="rId232" Target="https://docs.google.com/document/d/14E0BYqsH_d7fMKvXvaZWoNWtIC65cYBw0aZp4dlev0Q/edit#heading=h.ca8el9ehijae" TargetMode="External" /><Relationship Type="http://schemas.openxmlformats.org/officeDocument/2006/relationships/hyperlink" Id="rId221" Target="https://docs.google.com/document/d/14E0BYqsH_d7fMKvXvaZWoNWtIC65cYBw0aZp4dlev0Q/edit#heading=h.d6qklu5mi3fn" TargetMode="External" /><Relationship Type="http://schemas.openxmlformats.org/officeDocument/2006/relationships/hyperlink" Id="rId223" Target="https://docs.google.com/document/d/14E0BYqsH_d7fMKvXvaZWoNWtIC65cYBw0aZp4dlev0Q/edit#heading=h.einwxosnxvhf" TargetMode="External" /><Relationship Type="http://schemas.openxmlformats.org/officeDocument/2006/relationships/hyperlink" Id="rId228" Target="https://docs.google.com/document/d/14E0BYqsH_d7fMKvXvaZWoNWtIC65cYBw0aZp4dlev0Q/edit#heading=h.g0cdm0bk7l9l" TargetMode="External" /><Relationship Type="http://schemas.openxmlformats.org/officeDocument/2006/relationships/hyperlink" Id="rId234" Target="https://docs.google.com/document/d/14E0BYqsH_d7fMKvXvaZWoNWtIC65cYBw0aZp4dlev0Q/edit#heading=h.gg4jn12ygzi5" TargetMode="External" /><Relationship Type="http://schemas.openxmlformats.org/officeDocument/2006/relationships/hyperlink" Id="rId222" Target="https://docs.google.com/document/d/14E0BYqsH_d7fMKvXvaZWoNWtIC65cYBw0aZp4dlev0Q/edit#heading=h.isn3bwogdp97" TargetMode="External" /><Relationship Type="http://schemas.openxmlformats.org/officeDocument/2006/relationships/hyperlink" Id="rId216" Target="https://docs.google.com/document/d/14E0BYqsH_d7fMKvXvaZWoNWtIC65cYBw0aZp4dlev0Q/edit#heading=h.kj1vcao94oy1" TargetMode="External" /><Relationship Type="http://schemas.openxmlformats.org/officeDocument/2006/relationships/hyperlink" Id="rId229" Target="https://docs.google.com/document/d/14E0BYqsH_d7fMKvXvaZWoNWtIC65cYBw0aZp4dlev0Q/edit#heading=h.ul4y0p7eoih1" TargetMode="External" /><Relationship Type="http://schemas.openxmlformats.org/officeDocument/2006/relationships/hyperlink" Id="rId224" Target="https://docs.google.com/document/d/14E0BYqsH_d7fMKvXvaZWoNWtIC65cYBw0aZp4dlev0Q/edit#heading=h.vq776pxv4nn5" TargetMode="External" /><Relationship Type="http://schemas.openxmlformats.org/officeDocument/2006/relationships/hyperlink" Id="rId220" Target="https://docs.google.com/document/d/14E0BYqsH_d7fMKvXvaZWoNWtIC65cYBw0aZp4dlev0Q/edit#heading=h.xufkh9tsiuk8" TargetMode="External" /><Relationship Type="http://schemas.openxmlformats.org/officeDocument/2006/relationships/hyperlink" Id="rId231" Target="https://docs.google.com/document/d/14E0BYqsH_d7fMKvXvaZWoNWtIC65cYBw0aZp4dlev0Q/edit#heading=h.yt0hxah53p9e" TargetMode="External" /><Relationship Type="http://schemas.openxmlformats.org/officeDocument/2006/relationships/hyperlink" Id="rId226" Target="https://docs.google.com/document/d/14E0BYqsH_d7fMKvXvaZWoNWtIC65cYBw0aZp4dlev0Q/edit#heading=h.z9k66jbl65u6" TargetMode="External" /><Relationship Type="http://schemas.openxmlformats.org/officeDocument/2006/relationships/hyperlink" Id="rId137" Target="https://en.cppreference.com/w/cpp/error/error_category" TargetMode="External" /><Relationship Type="http://schemas.openxmlformats.org/officeDocument/2006/relationships/hyperlink" Id="rId135" Target="https://en.cppreference.com/w/cpp/error/system_category" TargetMode="External" /><Relationship Type="http://schemas.openxmlformats.org/officeDocument/2006/relationships/hyperlink" Id="rId94" Target="https://en.cppreference.com/w/cpp/language/operator_precedence" TargetMode="External" /><Relationship Type="http://schemas.openxmlformats.org/officeDocument/2006/relationships/hyperlink" Id="rId134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8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6" Target="http://archive.gao.gov/t2pbat6/145960.pdf" TargetMode="External" /><Relationship Type="http://schemas.openxmlformats.org/officeDocument/2006/relationships/hyperlink" Id="rId254" Target="http://cwe.mitre.org/" TargetMode="External" /><Relationship Type="http://schemas.openxmlformats.org/officeDocument/2006/relationships/hyperlink" Id="rId136" Target="http://en.cppreference.com/w/cpp/io/iostream_category" TargetMode="External" /><Relationship Type="http://schemas.openxmlformats.org/officeDocument/2006/relationships/hyperlink" Id="rId250" Target="http://en.wikisource.org/wiki/Ariane_501_Inquiry_Board_report" TargetMode="External" /><Relationship Type="http://schemas.openxmlformats.org/officeDocument/2006/relationships/hyperlink" Id="rId248" Target="http://esamultimedia.esa.int/docs/esa-x-1819eng.pdf" TargetMode="External" /><Relationship Type="http://schemas.openxmlformats.org/officeDocument/2006/relationships/hyperlink" Id="rId252" Target="http://myweb.lmu.edu/dondi/share/pl/type-checking-v02.pdf" TargetMode="External" /><Relationship Type="http://schemas.openxmlformats.org/officeDocument/2006/relationships/hyperlink" Id="rId259" Target="http://www.adaic.org/docs/95style/95style.pdf" TargetMode="External" /><Relationship Type="http://schemas.openxmlformats.org/officeDocument/2006/relationships/hyperlink" Id="rId251" Target="http://www.cert.org/books/secure-coding" TargetMode="External" /><Relationship Type="http://schemas.openxmlformats.org/officeDocument/2006/relationships/hyperlink" Id="rId249" Target="http://www.embedded.com/1999/9907/9907feat2.htm" TargetMode="External" /><Relationship Type="http://schemas.openxmlformats.org/officeDocument/2006/relationships/hyperlink" Id="rId253" Target="http://www.misra.org.uk/" TargetMode="External" /><Relationship Type="http://schemas.openxmlformats.org/officeDocument/2006/relationships/hyperlink" Id="rId255" Target="http://www.nsc.liu.se/wg25/book" TargetMode="External" /><Relationship Type="http://schemas.openxmlformats.org/officeDocument/2006/relationships/hyperlink" Id="rId257" Target="http://www.siam.org/siamnews/general/patriot.htm" TargetMode="External" /><Relationship Type="http://schemas.openxmlformats.org/officeDocument/2006/relationships/hyperlink" Id="rId230" Target="https://docs.google.com/document/d/14E0BYqsH_d7fMKvXvaZWoNWtIC65cYBw0aZp4dlev0Q/edit#heading=h.13kr181fh926" TargetMode="External" /><Relationship Type="http://schemas.openxmlformats.org/officeDocument/2006/relationships/hyperlink" Id="rId217" Target="https://docs.google.com/document/d/14E0BYqsH_d7fMKvXvaZWoNWtIC65cYBw0aZp4dlev0Q/edit#heading=h.1kfv9jdgd8ib" TargetMode="External" /><Relationship Type="http://schemas.openxmlformats.org/officeDocument/2006/relationships/hyperlink" Id="rId227" Target="https://docs.google.com/document/d/14E0BYqsH_d7fMKvXvaZWoNWtIC65cYBw0aZp4dlev0Q/edit#heading=h.3icrgfn0r3ae" TargetMode="External" /><Relationship Type="http://schemas.openxmlformats.org/officeDocument/2006/relationships/hyperlink" Id="rId218" Target="https://docs.google.com/document/d/14E0BYqsH_d7fMKvXvaZWoNWtIC65cYBw0aZp4dlev0Q/edit#heading=h.729gvquxakq8" TargetMode="External" /><Relationship Type="http://schemas.openxmlformats.org/officeDocument/2006/relationships/hyperlink" Id="rId225" Target="https://docs.google.com/document/d/14E0BYqsH_d7fMKvXvaZWoNWtIC65cYBw0aZp4dlev0Q/edit#heading=h.7pf8azwmy8l4" TargetMode="External" /><Relationship Type="http://schemas.openxmlformats.org/officeDocument/2006/relationships/hyperlink" Id="rId219" Target="https://docs.google.com/document/d/14E0BYqsH_d7fMKvXvaZWoNWtIC65cYBw0aZp4dlev0Q/edit#heading=h.920crsa3sscx" TargetMode="External" /><Relationship Type="http://schemas.openxmlformats.org/officeDocument/2006/relationships/hyperlink" Id="rId233" Target="https://docs.google.com/document/d/14E0BYqsH_d7fMKvXvaZWoNWtIC65cYBw0aZp4dlev0Q/edit#heading=h.9syx86lze887" TargetMode="External" /><Relationship Type="http://schemas.openxmlformats.org/officeDocument/2006/relationships/hyperlink" Id="rId232" Target="https://docs.google.com/document/d/14E0BYqsH_d7fMKvXvaZWoNWtIC65cYBw0aZp4dlev0Q/edit#heading=h.ca8el9ehijae" TargetMode="External" /><Relationship Type="http://schemas.openxmlformats.org/officeDocument/2006/relationships/hyperlink" Id="rId221" Target="https://docs.google.com/document/d/14E0BYqsH_d7fMKvXvaZWoNWtIC65cYBw0aZp4dlev0Q/edit#heading=h.d6qklu5mi3fn" TargetMode="External" /><Relationship Type="http://schemas.openxmlformats.org/officeDocument/2006/relationships/hyperlink" Id="rId223" Target="https://docs.google.com/document/d/14E0BYqsH_d7fMKvXvaZWoNWtIC65cYBw0aZp4dlev0Q/edit#heading=h.einwxosnxvhf" TargetMode="External" /><Relationship Type="http://schemas.openxmlformats.org/officeDocument/2006/relationships/hyperlink" Id="rId228" Target="https://docs.google.com/document/d/14E0BYqsH_d7fMKvXvaZWoNWtIC65cYBw0aZp4dlev0Q/edit#heading=h.g0cdm0bk7l9l" TargetMode="External" /><Relationship Type="http://schemas.openxmlformats.org/officeDocument/2006/relationships/hyperlink" Id="rId234" Target="https://docs.google.com/document/d/14E0BYqsH_d7fMKvXvaZWoNWtIC65cYBw0aZp4dlev0Q/edit#heading=h.gg4jn12ygzi5" TargetMode="External" /><Relationship Type="http://schemas.openxmlformats.org/officeDocument/2006/relationships/hyperlink" Id="rId222" Target="https://docs.google.com/document/d/14E0BYqsH_d7fMKvXvaZWoNWtIC65cYBw0aZp4dlev0Q/edit#heading=h.isn3bwogdp97" TargetMode="External" /><Relationship Type="http://schemas.openxmlformats.org/officeDocument/2006/relationships/hyperlink" Id="rId216" Target="https://docs.google.com/document/d/14E0BYqsH_d7fMKvXvaZWoNWtIC65cYBw0aZp4dlev0Q/edit#heading=h.kj1vcao94oy1" TargetMode="External" /><Relationship Type="http://schemas.openxmlformats.org/officeDocument/2006/relationships/hyperlink" Id="rId229" Target="https://docs.google.com/document/d/14E0BYqsH_d7fMKvXvaZWoNWtIC65cYBw0aZp4dlev0Q/edit#heading=h.ul4y0p7eoih1" TargetMode="External" /><Relationship Type="http://schemas.openxmlformats.org/officeDocument/2006/relationships/hyperlink" Id="rId224" Target="https://docs.google.com/document/d/14E0BYqsH_d7fMKvXvaZWoNWtIC65cYBw0aZp4dlev0Q/edit#heading=h.vq776pxv4nn5" TargetMode="External" /><Relationship Type="http://schemas.openxmlformats.org/officeDocument/2006/relationships/hyperlink" Id="rId220" Target="https://docs.google.com/document/d/14E0BYqsH_d7fMKvXvaZWoNWtIC65cYBw0aZp4dlev0Q/edit#heading=h.xufkh9tsiuk8" TargetMode="External" /><Relationship Type="http://schemas.openxmlformats.org/officeDocument/2006/relationships/hyperlink" Id="rId231" Target="https://docs.google.com/document/d/14E0BYqsH_d7fMKvXvaZWoNWtIC65cYBw0aZp4dlev0Q/edit#heading=h.yt0hxah53p9e" TargetMode="External" /><Relationship Type="http://schemas.openxmlformats.org/officeDocument/2006/relationships/hyperlink" Id="rId226" Target="https://docs.google.com/document/d/14E0BYqsH_d7fMKvXvaZWoNWtIC65cYBw0aZp4dlev0Q/edit#heading=h.z9k66jbl65u6" TargetMode="External" /><Relationship Type="http://schemas.openxmlformats.org/officeDocument/2006/relationships/hyperlink" Id="rId137" Target="https://en.cppreference.com/w/cpp/error/error_category" TargetMode="External" /><Relationship Type="http://schemas.openxmlformats.org/officeDocument/2006/relationships/hyperlink" Id="rId135" Target="https://en.cppreference.com/w/cpp/error/system_category" TargetMode="External" /><Relationship Type="http://schemas.openxmlformats.org/officeDocument/2006/relationships/hyperlink" Id="rId94" Target="https://en.cppreference.com/w/cpp/language/operator_precedence" TargetMode="External" /><Relationship Type="http://schemas.openxmlformats.org/officeDocument/2006/relationships/hyperlink" Id="rId134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8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2021-06-29T03:36:37Z</dcterms:created>
  <dcterms:modified xsi:type="dcterms:W3CDTF">2021-06-29T03:36:37Z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