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7">
        <w:r>
          <w:rPr>
            <w:rStyle w:val="Hyperlink"/>
          </w:rPr>
          <w:t xml:space="preserve">SEI CTR50-CPP</w:t>
        </w:r>
      </w:hyperlink>
    </w:p>
    <w:p>
      <w:pPr>
        <w:numPr>
          <w:ilvl w:val="0"/>
          <w:numId w:val="1029"/>
        </w:numPr>
        <w:pStyle w:val="Compact"/>
      </w:pPr>
      <w:hyperlink r:id="rId58">
        <w:r>
          <w:rPr>
            <w:rStyle w:val="Hyperlink"/>
          </w:rPr>
          <w:t xml:space="preserve">SEI CTR53-CPP</w:t>
        </w:r>
      </w:hyperlink>
    </w:p>
    <w:p>
      <w:pPr>
        <w:numPr>
          <w:ilvl w:val="0"/>
          <w:numId w:val="1029"/>
        </w:numPr>
        <w:pStyle w:val="Compact"/>
      </w:pPr>
      <w:hyperlink r:id="rId59">
        <w:r>
          <w:rPr>
            <w:rStyle w:val="Hyperlink"/>
          </w:rPr>
          <w:t xml:space="preserve">SEI CTR55-CPP</w:t>
        </w:r>
      </w:hyperlink>
    </w:p>
    <w:p>
      <w:pPr>
        <w:numPr>
          <w:ilvl w:val="0"/>
          <w:numId w:val="1029"/>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6.48.5.</w:t>
      </w:r>
    </w:p>
    <w:p>
      <w:pPr>
        <w:numPr>
          <w:ilvl w:val="0"/>
          <w:numId w:val="1103"/>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6.56.5.</w:t>
      </w:r>
    </w:p>
    <w:p>
      <w:pPr>
        <w:numPr>
          <w:ilvl w:val="0"/>
          <w:numId w:val="1110"/>
        </w:numPr>
      </w:pPr>
      <w:r>
        <w:t xml:space="preserve">Use static analysis tools to help identify occurrences of undefined</w:t>
      </w:r>
      <w:r>
        <w:t xml:space="preserve"> </w:t>
      </w:r>
      <w:r>
        <w:t xml:space="preserve">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6.60.5.</w:t>
      </w:r>
    </w:p>
    <w:p>
      <w:pPr>
        <w:numPr>
          <w:ilvl w:val="0"/>
          <w:numId w:val="1114"/>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6.62.5.</w:t>
      </w:r>
    </w:p>
    <w:p>
      <w:pPr>
        <w:numPr>
          <w:ilvl w:val="0"/>
          <w:numId w:val="1115"/>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5"/>
        </w:numPr>
      </w:pPr>
      <w:r>
        <w:t xml:space="preserve">Use volatile only for synchronizing abstract machine state from</w:t>
      </w:r>
      <w:r>
        <w:t xml:space="preserve"> </w:t>
      </w:r>
      <w:r>
        <w:t xml:space="preserve">memory.</w:t>
      </w:r>
    </w:p>
    <w:p>
      <w:pPr>
        <w:numPr>
          <w:ilvl w:val="0"/>
          <w:numId w:val="1115"/>
        </w:numPr>
      </w:pPr>
      <w:r>
        <w:t xml:space="preserve">Avoid the use of volatile for synchronizing access to shared memory</w:t>
      </w:r>
      <w:r>
        <w:t xml:space="preserve"> </w:t>
      </w:r>
      <w:r>
        <w:t xml:space="preserve">between threads (which needs mutex, condvar, or atomics)</w:t>
      </w:r>
    </w:p>
    <w:p>
      <w:pPr>
        <w:numPr>
          <w:ilvl w:val="1"/>
          <w:numId w:val="111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5"/>
        </w:numPr>
      </w:pPr>
      <w:r>
        <w:t xml:space="preserve">Avoid relaxed atomic operations whenever possible. Prefer the</w:t>
      </w:r>
      <w:r>
        <w:t xml:space="preserve"> </w:t>
      </w:r>
      <w:r>
        <w:t xml:space="preserve">sequentially consistent std::memory_order_seq_cst instead .</w:t>
      </w:r>
    </w:p>
    <w:p>
      <w:pPr>
        <w:numPr>
          <w:ilvl w:val="0"/>
          <w:numId w:val="1115"/>
        </w:numPr>
      </w:pPr>
      <w:r>
        <w:t xml:space="preserve">Use mutexes appropriately to protect accesses to non-atomic shared</w:t>
      </w:r>
      <w:r>
        <w:t xml:space="preserve"> </w:t>
      </w:r>
      <w:r>
        <w:t xml:space="preserve">objects.</w:t>
      </w:r>
    </w:p>
    <w:p>
      <w:pPr>
        <w:numPr>
          <w:ilvl w:val="0"/>
          <w:numId w:val="111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5"/>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Use the avoidance mechanisms of ISO/IEC 24772-1 clause 6.63.5.</w:t>
      </w:r>
    </w:p>
    <w:p>
      <w:pPr>
        <w:numPr>
          <w:ilvl w:val="0"/>
          <w:numId w:val="111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8"/>
        </w:numPr>
      </w:pPr>
      <w:r>
        <w:t xml:space="preserve">Use higher level building blocks (such as TBB) in preference to …</w:t>
      </w:r>
    </w:p>
    <w:p>
      <w:pPr>
        <w:numPr>
          <w:ilvl w:val="0"/>
          <w:numId w:val="1118"/>
        </w:numPr>
      </w:pPr>
      <w:r>
        <w:t xml:space="preserve">Use the C++ Task mechanism in preference to threads …</w:t>
      </w:r>
    </w:p>
    <w:p>
      <w:pPr>
        <w:numPr>
          <w:ilvl w:val="0"/>
          <w:numId w:val="111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8"/>
        </w:numPr>
      </w:pPr>
      <w:r>
        <w:rPr>
          <w:i/>
          <w:b/>
        </w:rPr>
        <w:t xml:space="preserve">Do not use platform specific multi-threading facilities</w:t>
      </w:r>
    </w:p>
    <w:p>
      <w:pPr>
        <w:numPr>
          <w:ilvl w:val="0"/>
          <w:numId w:val="1118"/>
        </w:numPr>
      </w:pPr>
      <w:r>
        <w:rPr>
          <w:i/>
          <w:b/>
        </w:rPr>
        <w:t xml:space="preserve">A thread shall not access objects whose lifetime has expired</w:t>
      </w:r>
    </w:p>
    <w:p>
      <w:pPr>
        <w:numPr>
          <w:ilvl w:val="0"/>
          <w:numId w:val="1118"/>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8"/>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8"/>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8"/>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8"/>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8"/>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8"/>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8"/>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8"/>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8"/>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8"/>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8"/>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8"/>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8"/>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8"/>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8"/>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8"/>
        </w:numPr>
      </w:pPr>
      <w:r>
        <w:t xml:space="preserve">0.10.2 [36] Source CCG Rule CP.101: Distrust your</w:t>
      </w:r>
      <w:r>
        <w:t xml:space="preserve"> </w:t>
      </w:r>
      <w:r>
        <w:t xml:space="preserve">hardware/compiler combination</w:t>
      </w:r>
    </w:p>
    <w:p>
      <w:pPr>
        <w:numPr>
          <w:ilvl w:val="0"/>
          <w:numId w:val="1118"/>
        </w:numPr>
      </w:pPr>
      <w:r>
        <w:t xml:space="preserve">0.10.3 [37] Source CCG Rule CP.102: Carefully study the literature</w:t>
      </w:r>
    </w:p>
    <w:p>
      <w:pPr>
        <w:numPr>
          <w:ilvl w:val="0"/>
          <w:numId w:val="1118"/>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8"/>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8"/>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6.65.5.</w:t>
      </w:r>
    </w:p>
    <w:p>
      <w:pPr>
        <w:numPr>
          <w:ilvl w:val="0"/>
          <w:numId w:val="1120"/>
        </w:numPr>
      </w:pPr>
      <w:r>
        <w:t xml:space="preserve">Forbid the use of cast-away</w:t>
      </w:r>
      <w:r>
        <w:t xml:space="preserve"> </w:t>
      </w:r>
      <w:r>
        <w:rPr>
          <w:rStyle w:val="AttributeTok"/>
        </w:rPr>
        <w:t xml:space="preserve">const</w:t>
      </w:r>
      <w:r>
        <w:t xml:space="preserve">.</w:t>
      </w:r>
    </w:p>
    <w:p>
      <w:pPr>
        <w:numPr>
          <w:ilvl w:val="0"/>
          <w:numId w:val="1120"/>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0"/>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2023-12-11T18:05:59Z</dcterms:created>
  <dcterms:modified xsi:type="dcterms:W3CDTF">2023-12-11T18:05:59Z</dcterms:modified>
</cp:coreProperties>
</file>

<file path=docProps/custom.xml><?xml version="1.0" encoding="utf-8"?>
<Properties xmlns="http://schemas.openxmlformats.org/officeDocument/2006/custom-properties" xmlns:vt="http://schemas.openxmlformats.org/officeDocument/2006/docPropsVTypes"/>
</file>