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6"/>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6"/>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7"/>
        </w:numPr>
        <w:pStyle w:val="Compact"/>
      </w:pPr>
      <w:r>
        <w:t xml:space="preserve">Returning the</w:t>
      </w:r>
      <w:r>
        <w:t xml:space="preserve"> </w:t>
      </w:r>
      <w:r>
        <w:rPr>
          <w:i/>
        </w:rPr>
        <w:t xml:space="preserve">pointer-like</w:t>
      </w:r>
      <w:r>
        <w:t xml:space="preserve"> </w:t>
      </w:r>
      <w:r>
        <w:t xml:space="preserve">value from a function;</w:t>
      </w:r>
    </w:p>
    <w:p>
      <w:pPr>
        <w:numPr>
          <w:ilvl w:val="1"/>
          <w:numId w:val="1067"/>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6"/>
        </w:numPr>
      </w:pPr>
      <w:r>
        <w:t xml:space="preserve">Avoid capturing by reference in a lambda that will be used non-locally, that is</w:t>
      </w:r>
    </w:p>
    <w:p>
      <w:pPr>
        <w:numPr>
          <w:ilvl w:val="1"/>
          <w:numId w:val="1068"/>
        </w:numPr>
        <w:pStyle w:val="Compact"/>
      </w:pPr>
      <w:r>
        <w:t xml:space="preserve">returned,</w:t>
      </w:r>
    </w:p>
    <w:p>
      <w:pPr>
        <w:numPr>
          <w:ilvl w:val="1"/>
          <w:numId w:val="1068"/>
        </w:numPr>
        <w:pStyle w:val="Compact"/>
      </w:pPr>
      <w:r>
        <w:t xml:space="preserve">passed to another thread or coroutine, or</w:t>
      </w:r>
    </w:p>
    <w:p>
      <w:pPr>
        <w:numPr>
          <w:ilvl w:val="1"/>
          <w:numId w:val="1068"/>
        </w:numPr>
        <w:pStyle w:val="Compact"/>
      </w:pPr>
      <w:r>
        <w:t xml:space="preserve">stored in a variable with a longer lifetime than the captured variables.</w:t>
      </w:r>
    </w:p>
    <w:p>
      <w:pPr>
        <w:numPr>
          <w:ilvl w:val="0"/>
          <w:numId w:val="1066"/>
        </w:numPr>
      </w:pPr>
      <w:r>
        <w:t xml:space="preserve">Avoid relying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6"/>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6"/>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TR 24772-1:2019 clause 6.34.5.</w:t>
      </w:r>
    </w:p>
    <w:p>
      <w:pPr>
        <w:numPr>
          <w:ilvl w:val="0"/>
          <w:numId w:val="1071"/>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subclause 6.36.5 of ISO/IEC</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follow the avoidance mechanisms of subclause 6.36.5 of ISO/IEC</w:t>
      </w:r>
      <w:r>
        <w:t xml:space="preserve"> </w:t>
      </w:r>
      <w:r>
        <w:t xml:space="preserve">24772-3.</w:t>
      </w:r>
    </w:p>
    <w:p>
      <w:pPr>
        <w:numPr>
          <w:ilvl w:val="0"/>
          <w:numId w:val="1072"/>
        </w:numPr>
      </w:pPr>
      <w:r>
        <w:t xml:space="preserve">Prohibit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and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3"/>
        </w:numPr>
      </w:pPr>
      <w:r>
        <w:t xml:space="preserve">Prohibit casts that reinterpret data values.</w:t>
      </w:r>
    </w:p>
    <w:p>
      <w:pPr>
        <w:numPr>
          <w:ilvl w:val="0"/>
          <w:numId w:val="1073"/>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3"/>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3"/>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3"/>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4"/>
        </w:numPr>
      </w:pPr>
      <w:r>
        <w:t xml:space="preserve">Follow the avoidance mechanisms of ISO/IEC 24772-1 clause 6.38.5.</w:t>
      </w:r>
    </w:p>
    <w:p>
      <w:pPr>
        <w:numPr>
          <w:ilvl w:val="0"/>
          <w:numId w:val="1074"/>
        </w:numPr>
      </w:pPr>
      <w:r>
        <w:t xml:space="preserve">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numPr>
          <w:ilvl w:val="0"/>
          <w:numId w:val="1076"/>
        </w:numPr>
      </w:pPr>
      <w:r>
        <w:t xml:space="preserve">Prefer containers like those in the standard library over any other form of memory management.</w:t>
      </w:r>
    </w:p>
    <w:p>
      <w:pPr>
        <w:numPr>
          <w:ilvl w:val="0"/>
          <w:numId w:val="1076"/>
        </w:numPr>
      </w:pPr>
      <w:r>
        <w:t xml:space="preserve">Use smart pointers and their factory functions to allocate and manage heap memory.</w:t>
      </w:r>
    </w:p>
    <w:p>
      <w:pPr>
        <w:numPr>
          <w:ilvl w:val="0"/>
          <w:numId w:val="1076"/>
        </w:numPr>
      </w:pPr>
      <w:r>
        <w:t xml:space="preserve">For heap fragmentation issues, use special memory resource objects with appropriate allocation strategies.</w:t>
      </w:r>
    </w:p>
    <w:p>
      <w:pPr>
        <w:numPr>
          <w:ilvl w:val="0"/>
          <w:numId w:val="1076"/>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6"/>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6"/>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numPr>
          <w:ilvl w:val="0"/>
          <w:numId w:val="1078"/>
        </w:numPr>
      </w:pPr>
      <w:r>
        <w:t xml:space="preserve">Use the avoidance mechanisms of ISO/IEC 24772-1 subclause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Do not specialize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2"/>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2"/>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3"/>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4"/>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4"/>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numPr>
          <w:ilvl w:val="0"/>
          <w:numId w:val="1085"/>
        </w:numPr>
      </w:pPr>
      <w:r>
        <w:t xml:space="preserve">Use the avoidance mechanisms of ISO/IEC 24772-1 clause 41.5.</w:t>
      </w:r>
    </w:p>
    <w:p>
      <w:pPr>
        <w:numPr>
          <w:ilvl w:val="0"/>
          <w:numId w:val="1085"/>
        </w:numPr>
      </w:pPr>
      <w:r>
        <w:t xml:space="preserve">Except for</w:t>
      </w:r>
      <w:r>
        <w:t xml:space="preserve"> </w:t>
      </w:r>
      <w:r>
        <w:rPr>
          <w:i/>
        </w:rPr>
        <w:t xml:space="preserve">mix-in empty bases</w:t>
      </w:r>
      <w:r>
        <w:t xml:space="preserve"> </w:t>
      </w:r>
      <w:r>
        <w:t xml:space="preserve">avoid multiple inheritance.</w:t>
      </w:r>
    </w:p>
    <w:p>
      <w:pPr>
        <w:numPr>
          <w:ilvl w:val="0"/>
          <w:numId w:val="1085"/>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5"/>
        </w:numPr>
      </w:pPr>
      <w:r>
        <w:t xml:space="preserve">Prefer composition over inheritance, in general keep inheritance hierarchies shallow.</w:t>
      </w:r>
    </w:p>
    <w:p>
      <w:pPr>
        <w:numPr>
          <w:ilvl w:val="0"/>
          <w:numId w:val="1085"/>
        </w:numPr>
      </w:pPr>
      <w:r>
        <w:t xml:space="preserve">Restrict the use of virtual member functions to situations where unbounded run-time polymorphism is beneficial.</w:t>
      </w:r>
    </w:p>
    <w:p>
      <w:pPr>
        <w:numPr>
          <w:ilvl w:val="0"/>
          <w:numId w:val="1085"/>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5"/>
        </w:numPr>
      </w:pPr>
      <w:r>
        <w:t xml:space="preserve">Ensure re-compilation of all derived classes when a base class changes.</w:t>
      </w:r>
    </w:p>
    <w:p>
      <w:pPr>
        <w:numPr>
          <w:ilvl w:val="0"/>
          <w:numId w:val="1085"/>
        </w:numPr>
      </w:pPr>
      <w:r>
        <w:t xml:space="preserve">Consider using fully-qualified names to address members of a base class.</w:t>
      </w:r>
    </w:p>
    <w:p>
      <w:pPr>
        <w:numPr>
          <w:ilvl w:val="0"/>
          <w:numId w:val="1085"/>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5"/>
        </w:numPr>
      </w:pPr>
      <w:r>
        <w:t xml:space="preserve">Don’t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numPr>
          <w:ilvl w:val="0"/>
          <w:numId w:val="1086"/>
        </w:numPr>
      </w:pPr>
      <w:r>
        <w:t xml:space="preserve">Obey all preconditions and postconditions of each member function,</w:t>
      </w:r>
      <w:r>
        <w:t xml:space="preserve"> </w:t>
      </w:r>
      <w:r>
        <w:t xml:space="preserve">whether they are specified in the language or not.</w:t>
      </w:r>
    </w:p>
    <w:p>
      <w:pPr>
        <w:numPr>
          <w:ilvl w:val="0"/>
          <w:numId w:val="1086"/>
        </w:numPr>
      </w:pPr>
      <w:r>
        <w:t xml:space="preserve">Prohibit the strengthening of preconditions (specified or not) by</w:t>
      </w:r>
      <w:r>
        <w:t xml:space="preserve"> </w:t>
      </w:r>
      <w:r>
        <w:t xml:space="preserve">overriding member functions.</w:t>
      </w:r>
    </w:p>
    <w:p>
      <w:pPr>
        <w:numPr>
          <w:ilvl w:val="0"/>
          <w:numId w:val="1086"/>
        </w:numPr>
      </w:pPr>
      <w:r>
        <w:t xml:space="preserve">Prohibit the weakening of postconditions (specified or not) by</w:t>
      </w:r>
      <w:r>
        <w:t xml:space="preserve"> </w:t>
      </w:r>
      <w:r>
        <w:t xml:space="preserve">overriding member functions.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6"/>
        </w:numPr>
      </w:pPr>
      <w:r>
        <w:t xml:space="preserve">Use static analysis tools that identify misuse of inheritance in the</w:t>
      </w:r>
      <w:r>
        <w:t xml:space="preserve"> </w:t>
      </w:r>
      <w:r>
        <w:t xml:space="preserve">contract model.</w:t>
      </w:r>
    </w:p>
    <w:p>
      <w:pPr>
        <w:numPr>
          <w:ilvl w:val="0"/>
          <w:numId w:val="1086"/>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numPr>
          <w:ilvl w:val="0"/>
          <w:numId w:val="1087"/>
        </w:numPr>
      </w:pPr>
      <w:r>
        <w:t xml:space="preserve">At a call site, consider whether virtual dispatch is desired. If</w:t>
      </w:r>
      <w:r>
        <w:t xml:space="preserve"> </w:t>
      </w:r>
      <w:r>
        <w:t xml:space="preserve">not, construct the call using the qualified name.</w:t>
      </w:r>
    </w:p>
    <w:p>
      <w:pPr>
        <w:numPr>
          <w:ilvl w:val="0"/>
          <w:numId w:val="1087"/>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8"/>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8"/>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8"/>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9"/>
        </w:numPr>
      </w:pPr>
      <w:r>
        <w:t xml:space="preserve">are the only ones that can be performed implicitly</w:t>
      </w:r>
    </w:p>
    <w:p>
      <w:pPr>
        <w:numPr>
          <w:ilvl w:val="0"/>
          <w:numId w:val="1089"/>
        </w:numPr>
      </w:pPr>
      <w:r>
        <w:t xml:space="preserve">can cause object slicing</w:t>
      </w:r>
      <w:r>
        <w:t xml:space="preserve"> </w:t>
      </w:r>
      <w:r>
        <w:t xml:space="preserve">when a copy of a base class object is created from a derived class object.</w:t>
      </w:r>
    </w:p>
    <w:p>
      <w:pPr>
        <w:numPr>
          <w:ilvl w:val="0"/>
          <w:numId w:val="108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0"/>
        </w:numPr>
      </w:pPr>
      <w:r>
        <w:t xml:space="preserve">are explicit;</w:t>
      </w:r>
    </w:p>
    <w:p>
      <w:pPr>
        <w:numPr>
          <w:ilvl w:val="0"/>
          <w:numId w:val="1090"/>
        </w:numPr>
      </w:pPr>
      <w:r>
        <w:t xml:space="preserve">can be done safely with</w:t>
      </w:r>
      <w:r>
        <w:t xml:space="preserve"> </w:t>
      </w:r>
      <w:r>
        <w:rPr>
          <w:rStyle w:val="KeywordTok"/>
        </w:rPr>
        <w:t xml:space="preserve">dynamic_cast</w:t>
      </w:r>
    </w:p>
    <w:p>
      <w:pPr>
        <w:numPr>
          <w:ilvl w:val="0"/>
          <w:numId w:val="109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1"/>
        </w:numPr>
      </w:pPr>
      <w:r>
        <w:t xml:space="preserve">are explicit</w:t>
      </w:r>
    </w:p>
    <w:p>
      <w:pPr>
        <w:numPr>
          <w:ilvl w:val="0"/>
          <w:numId w:val="109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numPr>
          <w:ilvl w:val="0"/>
          <w:numId w:val="1092"/>
        </w:numPr>
      </w:pPr>
      <w:r>
        <w:t xml:space="preserve">Use the avoidance mechanisms of ISO/IEC 24772-1 clause 6.44.5.</w:t>
      </w:r>
    </w:p>
    <w:p>
      <w:pPr>
        <w:numPr>
          <w:ilvl w:val="0"/>
          <w:numId w:val="1092"/>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2"/>
        </w:numPr>
      </w:pPr>
      <w:r>
        <w:t xml:space="preserve">Avoid designs relying on downcasts or crosscasts;</w:t>
      </w:r>
      <w:r>
        <w:t xml:space="preserve"> </w:t>
      </w:r>
      <w:r>
        <w:t xml:space="preserve">rely on proper virtual member functions in the base classes instead.</w:t>
      </w:r>
    </w:p>
    <w:p>
      <w:pPr>
        <w:numPr>
          <w:ilvl w:val="0"/>
          <w:numId w:val="1092"/>
        </w:numPr>
      </w:pPr>
      <w:r>
        <w:t xml:space="preserve">Avoid explicit upcast, rely on implicit conversion.</w:t>
      </w:r>
    </w:p>
    <w:p>
      <w:pPr>
        <w:numPr>
          <w:ilvl w:val="0"/>
          <w:numId w:val="1092"/>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2"/>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2"/>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numPr>
          <w:ilvl w:val="0"/>
          <w:numId w:val="1093"/>
        </w:numPr>
      </w:pPr>
      <w:r>
        <w:t xml:space="preserve">Use the avoidance mechanisms of ISO/IEC 24772-1 clause 6.47.5.</w:t>
      </w:r>
    </w:p>
    <w:p>
      <w:pPr>
        <w:numPr>
          <w:ilvl w:val="0"/>
          <w:numId w:val="1093"/>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numPr>
          <w:ilvl w:val="0"/>
          <w:numId w:val="1094"/>
        </w:numPr>
      </w:pPr>
      <w:r>
        <w:t xml:space="preserve">Use the avoidance mechanisms of ISO/IEC 24772-1 clause</w:t>
      </w:r>
      <w:r>
        <w:t xml:space="preserve"> </w:t>
      </w:r>
      <w:r>
        <w:t xml:space="preserve">6.47.5</w:t>
      </w:r>
    </w:p>
    <w:p>
      <w:pPr>
        <w:numPr>
          <w:ilvl w:val="0"/>
          <w:numId w:val="1094"/>
        </w:numPr>
      </w:pPr>
      <w:r>
        <w:t xml:space="preserve">Use standard layout types for the interoperable interfaces.</w:t>
      </w:r>
    </w:p>
    <w:p>
      <w:pPr>
        <w:numPr>
          <w:ilvl w:val="1"/>
          <w:numId w:val="109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4"/>
        </w:numPr>
      </w:pPr>
      <w:r>
        <w:t xml:space="preserve">Be aware that C++ exceptions are not usually compatible with</w:t>
      </w:r>
      <w:r>
        <w:t xml:space="preserve"> </w:t>
      </w:r>
      <w:r>
        <w:t xml:space="preserve">exceptions in other languages.</w:t>
      </w:r>
    </w:p>
    <w:p>
      <w:pPr>
        <w:numPr>
          <w:ilvl w:val="0"/>
          <w:numId w:val="109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numPr>
          <w:ilvl w:val="0"/>
          <w:numId w:val="1096"/>
        </w:numPr>
      </w:pPr>
      <w:r>
        <w:t xml:space="preserve">Use the avoidance mechanisms of ISO/IEC 24772-1 clause 6.48.5.</w:t>
      </w:r>
    </w:p>
    <w:p>
      <w:pPr>
        <w:numPr>
          <w:ilvl w:val="0"/>
          <w:numId w:val="1096"/>
        </w:numPr>
      </w:pPr>
      <w:r>
        <w:t xml:space="preserve">Rely on compiler warnings and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numPr>
          <w:ilvl w:val="0"/>
          <w:numId w:val="1097"/>
        </w:numPr>
      </w:pPr>
      <w:r>
        <w:t xml:space="preserve">Use the avoidance mechanisms of ISO/IEC 24772-1 clause 6.49.5.</w:t>
      </w:r>
    </w:p>
    <w:p>
      <w:pPr>
        <w:numPr>
          <w:ilvl w:val="0"/>
          <w:numId w:val="1097"/>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8"/>
        </w:numPr>
      </w:pPr>
      <w:r>
        <w:t xml:space="preserve">Use the avoidance mechanisms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9"/>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100"/>
        </w:numPr>
      </w:pPr>
      <w:r>
        <w:t xml:space="preserve">Use the avoidance mechanisms of ISO/IEC 24772-1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numPr>
          <w:ilvl w:val="0"/>
          <w:numId w:val="1101"/>
        </w:numPr>
        <w:pStyle w:val="Compact"/>
      </w:pPr>
      <w:r>
        <w:t xml:space="preserve">Use the avoidance mechanisms of ISO/IEC 24772-1 clause 6.54.5.</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numPr>
          <w:ilvl w:val="0"/>
          <w:numId w:val="1102"/>
        </w:numPr>
      </w:pPr>
      <w:r>
        <w:t xml:space="preserve">Use the avoidance mechanisms of ISO/IEC 24772-1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2"/>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3"/>
        </w:numPr>
      </w:pPr>
      <w:r>
        <w:t xml:space="preserve">Use the avoidance mechanisms of ISO/IEC 24772-1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numPr>
          <w:ilvl w:val="0"/>
          <w:numId w:val="1104"/>
        </w:numPr>
      </w:pPr>
      <w:r>
        <w:t xml:space="preserve">Use the avoidance mechanisms of ISO/IEC 24772-1 clause 6.58.5.</w:t>
      </w:r>
    </w:p>
    <w:p>
      <w:pPr>
        <w:numPr>
          <w:ilvl w:val="0"/>
          <w:numId w:val="1104"/>
        </w:numPr>
      </w:pPr>
      <w:r>
        <w:t xml:space="preserve">Enable compiler options or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numPr>
          <w:ilvl w:val="0"/>
          <w:numId w:val="110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5"/>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numPr>
          <w:ilvl w:val="0"/>
          <w:numId w:val="1106"/>
        </w:numPr>
      </w:pPr>
      <w:r>
        <w:t xml:space="preserve">Use the avoidance mechanisms of ISO/IEC 24772-1 clause 6.60.5.</w:t>
      </w:r>
    </w:p>
    <w:p>
      <w:pPr>
        <w:numPr>
          <w:ilvl w:val="0"/>
          <w:numId w:val="1106"/>
        </w:numPr>
      </w:pPr>
      <w:r>
        <w:t xml:space="preserve">Use static analysis tools and code reviews to ensure that threads accepting stop requests actually react on them.</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numPr>
          <w:ilvl w:val="0"/>
          <w:numId w:val="1107"/>
        </w:numPr>
      </w:pPr>
      <w:r>
        <w:t xml:space="preserve">Use the avoidance mechanisms of ISO/IEC 24772-1 clause 6.62.5.</w:t>
      </w:r>
    </w:p>
    <w:p>
      <w:pPr>
        <w:numPr>
          <w:ilvl w:val="0"/>
          <w:numId w:val="1107"/>
        </w:numPr>
      </w:pPr>
      <w:r>
        <w:t xml:space="preserve">Use mutexes, condition variables (convar)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7"/>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numPr>
          <w:ilvl w:val="0"/>
          <w:numId w:val="1109"/>
        </w:numPr>
      </w:pPr>
      <w:r>
        <w:t xml:space="preserve">Use the avoidance mechanisms of ISO/IEC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Make the main program join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numPr>
          <w:ilvl w:val="0"/>
          <w:numId w:val="1110"/>
        </w:numPr>
      </w:pPr>
      <w:r>
        <w:t xml:space="preserve">Use the avoidance mechanisms of ISO/IEC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numPr>
          <w:ilvl w:val="0"/>
          <w:numId w:val="1111"/>
        </w:numPr>
      </w:pPr>
      <w:r>
        <w:t xml:space="preserve">Avoid the C library facilities provided by</w:t>
      </w:r>
      <w:r>
        <w:t xml:space="preserve"> </w:t>
      </w:r>
      <w:r>
        <w:rPr>
          <w:rStyle w:val="VerbatimChar"/>
          <w:b/>
        </w:rPr>
        <w:t xml:space="preserve">&lt;cstdio&gt;</w:t>
      </w:r>
      <w:r>
        <w:t xml:space="preserve">.</w:t>
      </w:r>
    </w:p>
    <w:p>
      <w:pPr>
        <w:numPr>
          <w:ilvl w:val="0"/>
          <w:numId w:val="1111"/>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1"/>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numPr>
          <w:ilvl w:val="0"/>
          <w:numId w:val="1112"/>
        </w:numPr>
      </w:pPr>
      <w:r>
        <w:t xml:space="preserve">Use the avoidance mechanisms of ISO/IEC 24772-1 clause 6.65.5:</w:t>
      </w:r>
    </w:p>
    <w:p>
      <w:pPr>
        <w:numPr>
          <w:ilvl w:val="0"/>
          <w:numId w:val="1112"/>
        </w:numPr>
      </w:pPr>
      <w:r>
        <w:t xml:space="preserve">Do not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2023-09-11T14:36:48Z</dcterms:created>
  <dcterms:modified xsi:type="dcterms:W3CDTF">2023-09-11T14:36:48Z</dcterms:modified>
</cp:coreProperties>
</file>

<file path=docProps/custom.xml><?xml version="1.0" encoding="utf-8"?>
<Properties xmlns="http://schemas.openxmlformats.org/officeDocument/2006/custom-properties" xmlns:vt="http://schemas.openxmlformats.org/officeDocument/2006/docPropsVTypes"/>
</file>