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6"/>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6"/>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6"/>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6"/>
        </w:numPr>
      </w:pPr>
      <w:r>
        <w:t xml:space="preserve">Built-in array types as well as function types will decay to a pointer type. For array types this is problematic, because the array’s extent is lost.</w:t>
      </w:r>
    </w:p>
    <w:p>
      <w:pPr>
        <w:numPr>
          <w:ilvl w:val="0"/>
          <w:numId w:val="1006"/>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6"/>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6"/>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7"/>
        </w:numPr>
      </w:pPr>
      <w:r>
        <w:t xml:space="preserve">Follow the guidance contained in ISO/IEC TR 24772-1:2019, 6.2.5. and the guidance provided in the different related sections of this document.</w:t>
      </w:r>
    </w:p>
    <w:p>
      <w:pPr>
        <w:numPr>
          <w:ilvl w:val="0"/>
          <w:numId w:val="1007"/>
        </w:numPr>
      </w:pPr>
      <w:r>
        <w:t xml:space="preserve">Be aware of the rules of the type system, overload resolution, and implicit conversions to avoid vulnerabilities.</w:t>
      </w:r>
    </w:p>
    <w:p>
      <w:pPr>
        <w:numPr>
          <w:ilvl w:val="0"/>
          <w:numId w:val="1007"/>
        </w:numPr>
      </w:pPr>
      <w:r>
        <w:t xml:space="preserve">Enable compiler warnings regarding implicit conversions and/or use static analysis tools that provide such warnings.</w:t>
      </w:r>
    </w:p>
    <w:p>
      <w:pPr>
        <w:numPr>
          <w:ilvl w:val="0"/>
          <w:numId w:val="1007"/>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7"/>
        </w:numPr>
      </w:pPr>
      <w:r>
        <w:t xml:space="preserve">Define any conversion operator as</w:t>
      </w:r>
      <w:r>
        <w:t xml:space="preserve"> </w:t>
      </w:r>
      <w:r>
        <w:rPr>
          <w:rStyle w:val="KeywordTok"/>
        </w:rPr>
        <w:t xml:space="preserve">explicit</w:t>
      </w:r>
    </w:p>
    <w:p>
      <w:pPr>
        <w:numPr>
          <w:ilvl w:val="0"/>
          <w:numId w:val="1007"/>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7"/>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8"/>
        </w:numPr>
      </w:pPr>
      <w:r>
        <w:t xml:space="preserve">Do not create a bit-field of a signed type and size one.</w:t>
      </w:r>
    </w:p>
    <w:p>
      <w:pPr>
        <w:pStyle w:val="FirstParagraph"/>
      </w:pPr>
      <w:r>
        <w:t xml:space="preserve">See AUTOSAR A9-6-1</w:t>
      </w:r>
    </w:p>
    <w:p>
      <w:pPr>
        <w:numPr>
          <w:ilvl w:val="0"/>
          <w:numId w:val="100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0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0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0"/>
        </w:numPr>
      </w:pPr>
      <w:r>
        <w:t xml:space="preserve">Follow the general advice of ISO/IEC TR 24772-1:2019 clause 6.4.5</w:t>
      </w:r>
    </w:p>
    <w:p>
      <w:pPr>
        <w:numPr>
          <w:ilvl w:val="0"/>
          <w:numId w:val="101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0"/>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2"/>
        </w:numPr>
        <w:pStyle w:val="SourceCode"/>
      </w:pPr>
      <w:r>
        <w:rPr>
          <w:rStyle w:val="VerbatimChar"/>
        </w:rPr>
        <w:t xml:space="preserve">  See MISRA C++ 28.5.5</w:t>
      </w:r>
    </w:p>
    <w:p>
      <w:pPr>
        <w:numPr>
          <w:ilvl w:val="0"/>
          <w:numId w:val="101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5"/>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5"/>
        </w:numPr>
      </w:pPr>
      <w:r>
        <w:t xml:space="preserve">In boolean contexts, such as</w:t>
      </w:r>
    </w:p>
    <w:p>
      <w:pPr>
        <w:numPr>
          <w:ilvl w:val="1"/>
          <w:numId w:val="1016"/>
        </w:numPr>
        <w:pStyle w:val="Compact"/>
      </w:pPr>
      <w:r>
        <w:t xml:space="preserve">operands of logical operators,</w:t>
      </w:r>
    </w:p>
    <w:p>
      <w:pPr>
        <w:numPr>
          <w:ilvl w:val="1"/>
          <w:numId w:val="1016"/>
        </w:numPr>
        <w:pStyle w:val="Compact"/>
      </w:pPr>
      <w:r>
        <w:t xml:space="preserve">the condition of the conditional operator, and</w:t>
      </w:r>
    </w:p>
    <w:p>
      <w:pPr>
        <w:numPr>
          <w:ilvl w:val="1"/>
          <w:numId w:val="1016"/>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5"/>
        </w:numPr>
      </w:pPr>
      <w:r>
        <w:t xml:space="preserve">In the expression of a switch statement: the implicit conversion</w:t>
      </w:r>
      <w:r>
        <w:t xml:space="preserve"> </w:t>
      </w:r>
      <w:r>
        <w:t xml:space="preserve">will be to an integral type [C++17, Clause 7 [conv], para 2.3];</w:t>
      </w:r>
    </w:p>
    <w:p>
      <w:pPr>
        <w:numPr>
          <w:ilvl w:val="0"/>
          <w:numId w:val="101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 arithmetic types and</w:t>
      </w:r>
      <w:r>
        <w:t xml:space="preserve"> </w:t>
      </w:r>
      <w:r>
        <w:rPr>
          <w:rStyle w:val="VerbatimChar"/>
        </w:rPr>
        <w:t xml:space="preserve">bool</w:t>
      </w:r>
      <w:r>
        <w:t xml:space="preserve">.</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1"/>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1"/>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1"/>
        </w:numPr>
      </w:pPr>
      <w:r>
        <w:t xml:space="preserve">If C-style strings are used, follow the guidance of ISO/IEC TR</w:t>
      </w:r>
      <w:r>
        <w:t xml:space="preserve"> </w:t>
      </w:r>
      <w:r>
        <w:t xml:space="preserve">24772-3 clause 6.7.2.</w:t>
      </w:r>
    </w:p>
    <w:p>
      <w:pPr>
        <w:numPr>
          <w:ilvl w:val="0"/>
          <w:numId w:val="1021"/>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1"/>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2"/>
        </w:numPr>
      </w:pPr>
      <w:r>
        <w:t xml:space="preserve">Avoid C-style arrays. Guidance for the use of C-style arrays is</w:t>
      </w:r>
      <w:r>
        <w:t xml:space="preserve"> </w:t>
      </w:r>
      <w:r>
        <w:t xml:space="preserve">provided in TR 24772-3 clause 6.8.2.</w:t>
      </w:r>
    </w:p>
    <w:p>
      <w:pPr>
        <w:numPr>
          <w:ilvl w:val="0"/>
          <w:numId w:val="1022"/>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2"/>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2"/>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2"/>
        </w:numPr>
      </w:pPr>
      <w:r>
        <w:t xml:space="preserve">Use iterator-based algorithms, such as those of the standard</w:t>
      </w:r>
      <w:r>
        <w:t xml:space="preserve"> </w:t>
      </w:r>
      <w:r>
        <w:t xml:space="preserve">library.</w:t>
      </w:r>
    </w:p>
    <w:p>
      <w:pPr>
        <w:numPr>
          <w:ilvl w:val="0"/>
          <w:numId w:val="1022"/>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2"/>
        </w:numPr>
      </w:pPr>
      <w:r>
        <w:t xml:space="preserve">Use iterators over the range of elements to be accessed instead of</w:t>
      </w:r>
      <w:r>
        <w:t xml:space="preserve"> </w:t>
      </w:r>
      <w:r>
        <w:t xml:space="preserve">using an array and bounds as parameters.</w:t>
      </w:r>
    </w:p>
    <w:p>
      <w:pPr>
        <w:numPr>
          <w:ilvl w:val="0"/>
          <w:numId w:val="1022"/>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2"/>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2"/>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3"/>
        </w:numPr>
      </w:pPr>
      <w:r>
        <w:t xml:space="preserve">Follow the guidance from clause 6.8.2.</w:t>
      </w:r>
    </w:p>
    <w:p>
      <w:pPr>
        <w:numPr>
          <w:ilvl w:val="0"/>
          <w:numId w:val="1023"/>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4"/>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4"/>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5"/>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5"/>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5"/>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6"/>
        </w:numPr>
      </w:pPr>
      <w:r>
        <w:t xml:space="preserve">a and b are the same object,</w:t>
      </w:r>
    </w:p>
    <w:p>
      <w:pPr>
        <w:numPr>
          <w:ilvl w:val="0"/>
          <w:numId w:val="1026"/>
        </w:numPr>
      </w:pPr>
      <w:r>
        <w:t xml:space="preserve">either a or b is a standard-layout union object and the other is a</w:t>
      </w:r>
      <w:r>
        <w:t xml:space="preserve"> </w:t>
      </w:r>
      <w:r>
        <w:t xml:space="preserve">non-static data member of that object,</w:t>
      </w:r>
    </w:p>
    <w:p>
      <w:pPr>
        <w:numPr>
          <w:ilvl w:val="1"/>
          <w:numId w:val="1027"/>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6"/>
        </w:numPr>
      </w:pPr>
      <w:r>
        <w:t xml:space="preserve">either a or b is a standard-layout class object and the other is the</w:t>
      </w:r>
      <w:r>
        <w:t xml:space="preserve"> </w:t>
      </w:r>
      <w:r>
        <w:t xml:space="preserve">first non-static data member of that object,</w:t>
      </w:r>
    </w:p>
    <w:p>
      <w:pPr>
        <w:numPr>
          <w:ilvl w:val="1"/>
          <w:numId w:val="1028"/>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6"/>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9"/>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6"/>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0"/>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1"/>
        </w:numPr>
        <w:pStyle w:val="SourceCode"/>
      </w:pPr>
      <w:r>
        <w:rPr>
          <w:rStyle w:val="VerbatimChar"/>
        </w:rPr>
        <w:t xml:space="preserve">  *C++ Core guidelines C.146, 1.47 and 1.48*</w:t>
      </w:r>
    </w:p>
    <w:p>
      <w:pPr>
        <w:numPr>
          <w:ilvl w:val="0"/>
          <w:numId w:val="1030"/>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2"/>
        </w:numPr>
        <w:pStyle w:val="SourceCode"/>
      </w:pPr>
      <w:r>
        <w:rPr>
          <w:rStyle w:val="VerbatimChar"/>
        </w:rPr>
        <w:t xml:space="preserve">  *C++ Core guidelines C.146*</w:t>
      </w:r>
    </w:p>
    <w:p>
      <w:pPr>
        <w:numPr>
          <w:ilvl w:val="0"/>
          <w:numId w:val="1030"/>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0"/>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3"/>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3"/>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3"/>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3"/>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4"/>
        </w:numPr>
      </w:pPr>
      <w:r>
        <w:t xml:space="preserve">Follow the guidance of clause 6.8.2.</w:t>
      </w:r>
    </w:p>
    <w:p>
      <w:pPr>
        <w:numPr>
          <w:ilvl w:val="0"/>
          <w:numId w:val="1034"/>
        </w:numPr>
      </w:pPr>
      <w:r>
        <w:t xml:space="preserve">Prefer standard algorithms to hand-written loops</w:t>
      </w:r>
    </w:p>
    <w:p>
      <w:pPr>
        <w:numPr>
          <w:ilvl w:val="1"/>
          <w:numId w:val="1035"/>
        </w:numPr>
        <w:pStyle w:val="Compact"/>
      </w:pPr>
      <w:r>
        <w:t xml:space="preserve">See Core Guideline.ES.1 (TBD)</w:t>
      </w:r>
    </w:p>
    <w:p>
      <w:pPr>
        <w:numPr>
          <w:ilvl w:val="0"/>
          <w:numId w:val="1034"/>
        </w:numPr>
      </w:pPr>
      <w:r>
        <w:t xml:space="preserve">Prefer ranges over iterators; and iterators over pointer</w:t>
      </w:r>
      <w:r>
        <w:t xml:space="preserve"> </w:t>
      </w:r>
      <w:r>
        <w:t xml:space="preserve">arithmetic.</w:t>
      </w:r>
    </w:p>
    <w:p>
      <w:pPr>
        <w:numPr>
          <w:ilvl w:val="0"/>
          <w:numId w:val="1034"/>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4"/>
        </w:numPr>
      </w:pPr>
      <w:r>
        <w:t xml:space="preserve">Consider an outright ban on pointer arithmetic due to the</w:t>
      </w:r>
      <w:r>
        <w:t xml:space="preserve"> </w:t>
      </w:r>
      <w:r>
        <w:t xml:space="preserve">error-prone nature of pointer arithmetic.</w:t>
      </w:r>
    </w:p>
    <w:p>
      <w:pPr>
        <w:numPr>
          <w:ilvl w:val="0"/>
          <w:numId w:val="1034"/>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6"/>
        </w:numPr>
        <w:pStyle w:val="Compact"/>
      </w:pPr>
      <w:r>
        <w:t xml:space="preserve">what is the lifetime of the pointee?</w:t>
      </w:r>
    </w:p>
    <w:p>
      <w:pPr>
        <w:numPr>
          <w:ilvl w:val="0"/>
          <w:numId w:val="1036"/>
        </w:numPr>
        <w:pStyle w:val="Compact"/>
      </w:pPr>
      <w:r>
        <w:t xml:space="preserve">who has ownership of the pointee?</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7"/>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7"/>
        </w:numPr>
      </w:pPr>
      <w:r>
        <w:t xml:space="preserve">Use references to reduce the number of places where pointers are dereferenced.</w:t>
      </w:r>
    </w:p>
    <w:p>
      <w:pPr>
        <w:numPr>
          <w:ilvl w:val="0"/>
          <w:numId w:val="1037"/>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7"/>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7"/>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7"/>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7"/>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8"/>
        </w:numPr>
      </w:pPr>
      <w:r>
        <w:t xml:space="preserve">References</w:t>
      </w:r>
    </w:p>
    <w:p>
      <w:pPr>
        <w:numPr>
          <w:ilvl w:val="0"/>
          <w:numId w:val="1038"/>
        </w:numPr>
      </w:pPr>
      <w:r>
        <w:t xml:space="preserve">Pointers</w:t>
      </w:r>
    </w:p>
    <w:p>
      <w:pPr>
        <w:numPr>
          <w:ilvl w:val="0"/>
          <w:numId w:val="1038"/>
        </w:numPr>
      </w:pPr>
      <w:r>
        <w:t xml:space="preserve">Iterators</w:t>
      </w:r>
    </w:p>
    <w:p>
      <w:pPr>
        <w:numPr>
          <w:ilvl w:val="0"/>
          <w:numId w:val="1038"/>
        </w:numPr>
      </w:pPr>
      <w:r>
        <w:rPr>
          <w:rStyle w:val="BuiltInTok"/>
        </w:rPr>
        <w:t xml:space="preserve">std::</w:t>
      </w:r>
      <w:r>
        <w:rPr>
          <w:rStyle w:val="NormalTok"/>
        </w:rPr>
        <w:t xml:space="preserve">string_view</w:t>
      </w:r>
    </w:p>
    <w:p>
      <w:pPr>
        <w:numPr>
          <w:ilvl w:val="0"/>
          <w:numId w:val="1038"/>
        </w:numPr>
      </w:pPr>
      <w:r>
        <w:rPr>
          <w:rStyle w:val="BuiltInTok"/>
        </w:rPr>
        <w:t xml:space="preserve">std::</w:t>
      </w:r>
      <w:r>
        <w:rPr>
          <w:rStyle w:val="NormalTok"/>
        </w:rPr>
        <w:t xml:space="preserve">span</w:t>
      </w:r>
    </w:p>
    <w:p>
      <w:pPr>
        <w:numPr>
          <w:ilvl w:val="0"/>
          <w:numId w:val="1038"/>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9"/>
        </w:numPr>
      </w:pPr>
      <w:r>
        <w:t xml:space="preserve">Do not rely on lifetime extension of temporaries by binding them to named references.</w:t>
      </w:r>
      <w:r>
        <w:t xml:space="preserve"> </w:t>
      </w:r>
      <w:r>
        <w:t xml:space="preserve">Use (local) variables instead.</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9"/>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9"/>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0"/>
        </w:numPr>
        <w:pStyle w:val="Compact"/>
      </w:pPr>
      <w:r>
        <w:t xml:space="preserve">Follow the advice of ISO/IEC TR 24772-1:2019 clause 6.16 *Using Shift Operations for Multiplication and Division [PIK].</w:t>
      </w:r>
    </w:p>
    <w:p>
      <w:pPr>
        <w:numPr>
          <w:ilvl w:val="0"/>
          <w:numId w:val="1040"/>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49"/>
        </w:numPr>
        <w:pStyle w:val="Compact"/>
      </w:pPr>
      <w:r>
        <w:t xml:space="preserve">Follow the guidance provided in ISO IEC 24772-1 subclause 6.22.5</w:t>
      </w:r>
    </w:p>
    <w:p>
      <w:pPr>
        <w:numPr>
          <w:ilvl w:val="0"/>
          <w:numId w:val="1049"/>
        </w:numPr>
        <w:pStyle w:val="Compact"/>
      </w:pPr>
      <w:r>
        <w:t xml:space="preserve">Initialize every object defined, including data members.</w:t>
      </w:r>
    </w:p>
    <w:p>
      <w:pPr>
        <w:numPr>
          <w:ilvl w:val="0"/>
          <w:numId w:val="1049"/>
        </w:numPr>
        <w:pStyle w:val="Compact"/>
      </w:pPr>
      <w:r>
        <w:t xml:space="preserve">Do not depend on the order of dynamic initialization of namespace-scope variables, unless the initialization order is guaranteed by the language.</w:t>
      </w:r>
    </w:p>
    <w:p>
      <w:pPr>
        <w:numPr>
          <w:ilvl w:val="0"/>
          <w:numId w:val="1049"/>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49"/>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6"/>
        </w:numPr>
      </w:pPr>
      <w:r>
        <w:t xml:space="preserve">Follow the advice provided in ISO/IEC 24772-1 clause 6.44.5.</w:t>
      </w:r>
    </w:p>
    <w:p>
      <w:pPr>
        <w:numPr>
          <w:ilvl w:val="0"/>
          <w:numId w:val="110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6"/>
        </w:numPr>
      </w:pPr>
      <w:r>
        <w:t xml:space="preserve">Avoid designs relying on downcasts or crosscasts;</w:t>
      </w:r>
      <w:r>
        <w:t xml:space="preserve"> </w:t>
      </w:r>
      <w:r>
        <w:t xml:space="preserve">rely on proper virtual member functions in the base classes instead.</w:t>
      </w:r>
    </w:p>
    <w:p>
      <w:pPr>
        <w:numPr>
          <w:ilvl w:val="0"/>
          <w:numId w:val="1106"/>
        </w:numPr>
      </w:pPr>
      <w:r>
        <w:t xml:space="preserve">Avoid explicit upcast, rely on implicit conversion.</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5"/>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5"/>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2022-01-24T16:22:06Z</dcterms:created>
  <dcterms:modified xsi:type="dcterms:W3CDTF">2022-01-24T16:22:06Z</dcterms:modified>
</cp:coreProperties>
</file>

<file path=docProps/custom.xml><?xml version="1.0" encoding="utf-8"?>
<Properties xmlns="http://schemas.openxmlformats.org/officeDocument/2006/custom-properties" xmlns:vt="http://schemas.openxmlformats.org/officeDocument/2006/docPropsVTypes"/>
</file>