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5"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In C++, the finalization of objects, and behaviours such as saving results to external storage before program termination or the notification of other entities external to the program, can be impacted by the way the program terminates.</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If</w:t>
      </w:r>
      <w:r>
        <w:t xml:space="preserve"> </w:t>
      </w:r>
      <w:r>
        <w:rPr>
          <w:rStyle w:val="VerbatimChar"/>
        </w:rPr>
        <w:t xml:space="preserve">std::exit</w:t>
      </w:r>
      <w:r>
        <w:t xml:space="preserve"> </w:t>
      </w:r>
      <w:r>
        <w:t xml:space="preserve">is called during the destruction of an object with static durtion or with thread storage duration, the program has undefined behaviour</w:t>
      </w:r>
      <w:r>
        <w:t xml:space="preserve"> </w:t>
      </w:r>
      <w:hyperlink w:anchor="EWF">
        <w:r>
          <w:rPr>
            <w:rStyle w:val="Hyperlink"/>
          </w:rPr>
          <w:t xml:space="preserve">[EWF]</w:t>
        </w:r>
      </w:hyperlink>
      <w:r>
        <w:t xml:space="preserve">.</w:t>
      </w:r>
    </w:p>
    <w:p>
      <w:pPr>
        <w:pStyle w:val="BodyText"/>
      </w:pPr>
      <w:r>
        <w:t xml:space="preserve">If during stack unwinding, the destruction of an object terminates by throwing an exception, the function</w:t>
      </w:r>
      <w:r>
        <w:t xml:space="preserve"> </w:t>
      </w:r>
      <w:r>
        <w:rPr>
          <w:rStyle w:val="VerbatimChar"/>
        </w:rPr>
        <w:t xml:space="preserve">std::terminate</w:t>
      </w:r>
      <w:r>
        <w:t xml:space="preserve"> </w:t>
      </w:r>
      <w:r>
        <w:t xml:space="preserve">is called, and any subsequent cleanup performed by the program will not occur.</w:t>
      </w:r>
      <w:r>
        <w:t xml:space="preserve"> </w:t>
      </w:r>
      <w:r>
        <w:t xml:space="preserve">Similarly, if the destruction of an object with static duration or with thread storage duration exits via an exception, the function</w:t>
      </w:r>
      <w:r>
        <w:t xml:space="preserve"> </w:t>
      </w:r>
      <w:r>
        <w:rPr>
          <w:rStyle w:val="VerbatimChar"/>
        </w:rPr>
        <w:t xml:space="preserve">std::terminate</w:t>
      </w:r>
      <w:r>
        <w:t xml:space="preserve"> </w:t>
      </w:r>
      <w:r>
        <w:t xml:space="preserve">is called, and any subsequent cleanup performed by the program will not occur.</w:t>
      </w:r>
    </w:p>
    <w:p>
      <w:pPr>
        <w:pStyle w:val="BodyText"/>
      </w:pPr>
      <w:r>
        <w:t xml:space="preserve">Calling</w:t>
      </w:r>
      <w:r>
        <w:t xml:space="preserve"> </w:t>
      </w:r>
      <w:r>
        <w:rPr>
          <w:rStyle w:val="VerbatimChar"/>
        </w:rPr>
        <w:t xml:space="preserve">std::abort</w:t>
      </w:r>
      <w:r>
        <w:t xml:space="preserve"> </w:t>
      </w:r>
      <w:r>
        <w:t xml:space="preserve">or</w:t>
      </w:r>
      <w:r>
        <w:t xml:space="preserve"> </w:t>
      </w:r>
      <w:r>
        <w:rPr>
          <w:rStyle w:val="VerbatimChar"/>
        </w:rPr>
        <w:t xml:space="preserve">std::_Exit</w:t>
      </w:r>
      <w:r>
        <w:t xml:space="preserve"> </w:t>
      </w:r>
      <w:r>
        <w:t xml:space="preserve">terminates the program without executing any destructors and without calling the functions passed to</w:t>
      </w:r>
      <w:r>
        <w:t xml:space="preserve"> </w:t>
      </w:r>
      <w:r>
        <w:rPr>
          <w:rStyle w:val="VerbatimChar"/>
        </w:rPr>
        <w:t xml:space="preserve">std::atexit</w:t>
      </w:r>
      <w:r>
        <w:t xml:space="preserve"> </w:t>
      </w:r>
      <w:r>
        <w:t xml:space="preserve">or</w:t>
      </w:r>
      <w:r>
        <w:t xml:space="preserve"> </w:t>
      </w:r>
      <w:r>
        <w:rPr>
          <w:rStyle w:val="VerbatimChar"/>
        </w:rPr>
        <w:t xml:space="preserve">std::at_quick_exit</w:t>
      </w:r>
      <w:r>
        <w:t xml:space="preserve">.</w:t>
      </w:r>
      <w:r>
        <w:t xml:space="preserve"> </w:t>
      </w:r>
      <w:r>
        <w:t xml:space="preserve">Therefore, any cleanup performed by those functions will not occur.</w:t>
      </w:r>
      <w:r>
        <w:t xml:space="preserve"> </w:t>
      </w:r>
      <w:r>
        <w:t xml:space="preserve">In addition,</w:t>
      </w:r>
      <w:r>
        <w:t xml:space="preserve"> </w:t>
      </w:r>
      <w:r>
        <w:rPr>
          <w:rStyle w:val="VerbatimChar"/>
        </w:rPr>
        <w:t xml:space="preserve">std::quick_exit</w:t>
      </w:r>
      <w:r>
        <w:t xml:space="preserve"> </w:t>
      </w:r>
      <w:r>
        <w:t xml:space="preserve">calls</w:t>
      </w:r>
      <w:r>
        <w:t xml:space="preserve"> </w:t>
      </w:r>
      <w:r>
        <w:rPr>
          <w:rStyle w:val="VerbatimChar"/>
        </w:rPr>
        <w:t xml:space="preserve">std::_Exit</w:t>
      </w:r>
      <w:r>
        <w:t xml:space="preserve"> </w:t>
      </w:r>
      <w:r>
        <w:t xml:space="preserve">after calling functions passed to</w:t>
      </w:r>
      <w:r>
        <w:t xml:space="preserve"> </w:t>
      </w:r>
      <w:r>
        <w:rPr>
          <w:rStyle w:val="VerbatimChar"/>
        </w:rPr>
        <w:t xml:space="preserve">std::at_quick_exit</w:t>
      </w:r>
      <w:r>
        <w:t xml:space="preserve">.</w:t>
      </w:r>
    </w:p>
    <w:p>
      <w:pPr>
        <w:pStyle w:val="BodyText"/>
      </w:pPr>
      <w:r>
        <w:t xml:space="preserve">Exceptions thrown in destructors of objects with thread storage duration or in constructors of objects associated with non-block variables with thread storage duration are not caught by a function-try-block on the initial function of the thread or on the</w:t>
      </w:r>
      <w:r>
        <w:t xml:space="preserve"> </w:t>
      </w:r>
      <w:r>
        <w:rPr>
          <w:rStyle w:val="VerbatimChar"/>
        </w:rPr>
        <w:t xml:space="preserve">main</w:t>
      </w:r>
      <w:r>
        <w:t xml:space="preserve"> </w:t>
      </w:r>
      <w:r>
        <w:t xml:space="preserve">function.</w:t>
      </w:r>
      <w:r>
        <w:t xml:space="preserve"> </w:t>
      </w:r>
      <w:r>
        <w:t xml:space="preserve">This results in a call to</w:t>
      </w:r>
      <w:r>
        <w:t xml:space="preserve"> </w:t>
      </w:r>
      <w:r>
        <w:rPr>
          <w:rStyle w:val="VerbatimChar"/>
        </w:rPr>
        <w:t xml:space="preserve">std::terminate</w:t>
      </w:r>
      <w:r>
        <w:t xml:space="preserve"> </w:t>
      </w:r>
      <w:r>
        <w:t xml:space="preserve">and any subsequent cleanup performed by the program will not occur.</w:t>
      </w:r>
    </w:p>
    <w:bookmarkEnd w:id="241"/>
    <w:bookmarkStart w:id="242" w:name="X55bd296e10415834c88a31dc7bdb369008ebbff"/>
    <w:p>
      <w:pPr>
        <w:pStyle w:val="Heading3"/>
      </w:pPr>
      <w:r>
        <w:t xml:space="preserve">7.2.4 Avoiding the vulnerability or mitigating its effects</w:t>
      </w:r>
    </w:p>
    <w:p>
      <w:pPr>
        <w:numPr>
          <w:ilvl w:val="0"/>
          <w:numId w:val="1115"/>
        </w:numPr>
        <w:pStyle w:val="Compact"/>
      </w:pPr>
      <w:r>
        <w:t xml:space="preserve">Follow the avoidance mechanisms of [[OYB]][#OYB].</w:t>
      </w:r>
    </w:p>
    <w:p>
      <w:pPr>
        <w:numPr>
          <w:ilvl w:val="0"/>
          <w:numId w:val="1115"/>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5"/>
        </w:numPr>
        <w:pStyle w:val="Compact"/>
      </w:pPr>
      <w:r>
        <w:t xml:space="preserve">Avoid throwing an exception from a destructor.</w:t>
      </w:r>
    </w:p>
    <w:p>
      <w:pPr>
        <w:numPr>
          <w:ilvl w:val="0"/>
          <w:numId w:val="1115"/>
        </w:numPr>
        <w:pStyle w:val="Compact"/>
      </w:pPr>
      <w:r>
        <w:t xml:space="preserve">Avoid calling</w:t>
      </w:r>
      <w:r>
        <w:t xml:space="preserve"> </w:t>
      </w:r>
      <w:r>
        <w:rPr>
          <w:rStyle w:val="BuiltInTok"/>
        </w:rPr>
        <w:t xml:space="preserve">std::</w:t>
      </w:r>
      <w:r>
        <w:rPr>
          <w:rStyle w:val="NormalTok"/>
        </w:rPr>
        <w:t xml:space="preserve">_Exit</w:t>
      </w:r>
      <w:r>
        <w:t xml:space="preserve"> </w:t>
      </w:r>
      <w:r>
        <w:t xml:space="preserve">or</w:t>
      </w:r>
      <w:r>
        <w:t xml:space="preserve"> </w:t>
      </w:r>
      <w:r>
        <w:rPr>
          <w:rStyle w:val="BuiltInTok"/>
        </w:rPr>
        <w:t xml:space="preserve">std::</w:t>
      </w:r>
      <w:r>
        <w:rPr>
          <w:rStyle w:val="NormalTok"/>
        </w:rPr>
        <w:t xml:space="preserve">abort</w:t>
      </w:r>
      <w:r>
        <w:t xml:space="preserve">.</w:t>
      </w:r>
    </w:p>
    <w:p>
      <w:pPr>
        <w:numPr>
          <w:ilvl w:val="0"/>
          <w:numId w:val="1115"/>
        </w:numPr>
        <w:pStyle w:val="Compact"/>
      </w:pPr>
      <w:r>
        <w:t xml:space="preserve">Avoid calling</w:t>
      </w:r>
      <w:r>
        <w:t xml:space="preserve"> </w:t>
      </w:r>
      <w:r>
        <w:rPr>
          <w:rStyle w:val="BuiltInTok"/>
        </w:rPr>
        <w:t xml:space="preserve">std::</w:t>
      </w:r>
      <w:r>
        <w:rPr>
          <w:rStyle w:val="NormalTok"/>
        </w:rPr>
        <w:t xml:space="preserve">quick_exit</w:t>
      </w:r>
      <w:r>
        <w:t xml:space="preserve">.</w:t>
      </w:r>
    </w:p>
    <w:p>
      <w:pPr>
        <w:numPr>
          <w:ilvl w:val="0"/>
          <w:numId w:val="1115"/>
        </w:numPr>
        <w:pStyle w:val="Compact"/>
      </w:pPr>
      <w:r>
        <w:t xml:space="preserve">Prefer local objects with static storage duration or with thread storage duration to global objects to ensure that exceptions thrown from their constructors can be caught.</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6"/>
        </w:numPr>
        <w:pStyle w:val="Compact"/>
      </w:pPr>
      <w:r>
        <w:t xml:space="preserve">the space requirement of memory for the object;</w:t>
      </w:r>
    </w:p>
    <w:p>
      <w:pPr>
        <w:numPr>
          <w:ilvl w:val="0"/>
          <w:numId w:val="1116"/>
        </w:numPr>
        <w:pStyle w:val="Compact"/>
      </w:pPr>
      <w:r>
        <w:t xml:space="preserve">that any object previously occupying the space referenced in the placement new expression is properly destroyed before the call;</w:t>
      </w:r>
    </w:p>
    <w:p>
      <w:pPr>
        <w:numPr>
          <w:ilvl w:val="0"/>
          <w:numId w:val="1116"/>
        </w:numPr>
        <w:pStyle w:val="Compact"/>
      </w:pPr>
      <w:r>
        <w:t xml:space="preserve">the destruction of the new object after use and the return of any space allocated after use;</w:t>
      </w:r>
    </w:p>
    <w:p>
      <w:pPr>
        <w:numPr>
          <w:ilvl w:val="0"/>
          <w:numId w:val="1116"/>
        </w:numPr>
        <w:pStyle w:val="Compact"/>
      </w:pPr>
      <w:r>
        <w:t xml:space="preserve">that no object is accessed outside of its lifetime; and</w:t>
      </w:r>
    </w:p>
    <w:p>
      <w:pPr>
        <w:numPr>
          <w:ilvl w:val="0"/>
          <w:numId w:val="1116"/>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7"/>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Start w:id="254" w:name="coroutines"/>
    <w:p>
      <w:pPr>
        <w:pStyle w:val="Heading2"/>
      </w:pPr>
      <w:r>
        <w:t xml:space="preserve">7.5 Coroutines</w:t>
      </w:r>
    </w:p>
    <w:bookmarkStart w:id="250" w:name="description-of-vulnerability-2"/>
    <w:p>
      <w:pPr>
        <w:pStyle w:val="Heading3"/>
      </w:pPr>
      <w:r>
        <w:t xml:space="preserve">7.5.1 Description of Vulnerability</w:t>
      </w:r>
    </w:p>
    <w:bookmarkEnd w:id="250"/>
    <w:bookmarkStart w:id="251" w:name="cross-reference-2"/>
    <w:p>
      <w:pPr>
        <w:pStyle w:val="Heading3"/>
      </w:pPr>
      <w:r>
        <w:t xml:space="preserve">7.5.2 Cross Reference</w:t>
      </w:r>
    </w:p>
    <w:bookmarkEnd w:id="251"/>
    <w:bookmarkStart w:id="252" w:name="mechanism-of-failure-2"/>
    <w:p>
      <w:pPr>
        <w:pStyle w:val="Heading3"/>
      </w:pPr>
      <w:r>
        <w:t xml:space="preserve">7.5.3 Mechanism of Failure</w:t>
      </w:r>
    </w:p>
    <w:bookmarkEnd w:id="252"/>
    <w:bookmarkStart w:id="253" w:name="X567030a4cbd7213860147c08c52ad2413486458"/>
    <w:p>
      <w:pPr>
        <w:pStyle w:val="Heading3"/>
      </w:pPr>
      <w:r>
        <w:t xml:space="preserve">7.5.4 Avoiding the vulnerability or mitigating its effects</w:t>
      </w:r>
    </w:p>
    <w:bookmarkEnd w:id="253"/>
    <w:bookmarkEnd w:id="254"/>
    <w:bookmarkEnd w:id="255"/>
    <w:bookmarkStart w:id="25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6"/>
      </w:r>
      <w:r>
        <w:t xml:space="preserve">.</w:t>
      </w:r>
    </w:p>
    <w:p>
      <w:pPr>
        <w:numPr>
          <w:ilvl w:val="0"/>
          <w:numId w:val="111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8"/>
        </w:numPr>
        <w:pStyle w:val="SourceCode"/>
      </w:pPr>
      <w:r>
        <w:rPr>
          <w:rStyle w:val="VerbatimChar"/>
        </w:rPr>
        <w:t xml:space="preserve">Creating an Annex that lists deprecated features.</w:t>
      </w:r>
    </w:p>
    <w:bookmarkEnd w:id="257"/>
    <w:bookmarkStart w:id="27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3">
        <w:r>
          <w:rPr>
            <w:rStyle w:val="Hyperlink"/>
          </w:rPr>
          <w:t xml:space="preserve">http://myweb.lmu.edu/dondi/share/pl/type-checking-v02.pdf</w:t>
        </w:r>
      </w:hyperlink>
    </w:p>
    <w:p>
      <w:pPr>
        <w:pStyle w:val="Bibliography1"/>
      </w:pPr>
      <w:r>
        <w:t xml:space="preserve">[32] MISRA Limited. "</w:t>
      </w:r>
      <w:hyperlink r:id="rId26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1"/>
    <w:bookmarkStart w:id="272" w:name="index"/>
    <w:p>
      <w:pPr>
        <w:pStyle w:val="Heading1"/>
      </w:pPr>
      <w:r>
        <w:t xml:space="preserve">Index</w:t>
      </w:r>
    </w:p>
    <w:p>
      <w:pPr>
        <w:pStyle w:val="Bibliography1"/>
      </w:pPr>
      <w:r>
        <w:t xml:space="preserve">LHS (left-hand side), 22</w:t>
      </w:r>
    </w:p>
    <w:bookmarkEnd w:id="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7" Target="http://archive.gao.gov/t2pbat6/145960.pdf" TargetMode="External" /><Relationship Type="http://schemas.openxmlformats.org/officeDocument/2006/relationships/hyperlink" Id="rId265" Target="http://cwe.mitre.org/" TargetMode="External" /><Relationship Type="http://schemas.openxmlformats.org/officeDocument/2006/relationships/hyperlink" Id="rId261" Target="http://en.wikisource.org/wiki/Ariane_501_Inquiry_Board_report" TargetMode="External" /><Relationship Type="http://schemas.openxmlformats.org/officeDocument/2006/relationships/hyperlink" Id="rId259" Target="http://esamultimedia.esa.int/docs/esa-x-1819eng.pdf" TargetMode="External" /><Relationship Type="http://schemas.openxmlformats.org/officeDocument/2006/relationships/hyperlink" Id="rId263" Target="http://myweb.lmu.edu/dondi/share/pl/type-checking-v02.pdf" TargetMode="External" /><Relationship Type="http://schemas.openxmlformats.org/officeDocument/2006/relationships/hyperlink" Id="rId270" Target="http://www.adaic.org/docs/95style/95style.pdf" TargetMode="External" /><Relationship Type="http://schemas.openxmlformats.org/officeDocument/2006/relationships/hyperlink" Id="rId262" Target="http://www.cert.org/books/secure-coding" TargetMode="External" /><Relationship Type="http://schemas.openxmlformats.org/officeDocument/2006/relationships/hyperlink" Id="rId260" Target="http://www.embedded.com/1999/9907/9907feat2.htm" TargetMode="External" /><Relationship Type="http://schemas.openxmlformats.org/officeDocument/2006/relationships/hyperlink" Id="rId264" Target="http://www.misra.org.uk/" TargetMode="External" /><Relationship Type="http://schemas.openxmlformats.org/officeDocument/2006/relationships/hyperlink" Id="rId266" Target="http://www.nsc.liu.se/wg25/book" TargetMode="External" /><Relationship Type="http://schemas.openxmlformats.org/officeDocument/2006/relationships/hyperlink" Id="rId268"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7" Target="http://archive.gao.gov/t2pbat6/145960.pdf" TargetMode="External" /><Relationship Type="http://schemas.openxmlformats.org/officeDocument/2006/relationships/hyperlink" Id="rId265" Target="http://cwe.mitre.org/" TargetMode="External" /><Relationship Type="http://schemas.openxmlformats.org/officeDocument/2006/relationships/hyperlink" Id="rId261" Target="http://en.wikisource.org/wiki/Ariane_501_Inquiry_Board_report" TargetMode="External" /><Relationship Type="http://schemas.openxmlformats.org/officeDocument/2006/relationships/hyperlink" Id="rId259" Target="http://esamultimedia.esa.int/docs/esa-x-1819eng.pdf" TargetMode="External" /><Relationship Type="http://schemas.openxmlformats.org/officeDocument/2006/relationships/hyperlink" Id="rId263" Target="http://myweb.lmu.edu/dondi/share/pl/type-checking-v02.pdf" TargetMode="External" /><Relationship Type="http://schemas.openxmlformats.org/officeDocument/2006/relationships/hyperlink" Id="rId270" Target="http://www.adaic.org/docs/95style/95style.pdf" TargetMode="External" /><Relationship Type="http://schemas.openxmlformats.org/officeDocument/2006/relationships/hyperlink" Id="rId262" Target="http://www.cert.org/books/secure-coding" TargetMode="External" /><Relationship Type="http://schemas.openxmlformats.org/officeDocument/2006/relationships/hyperlink" Id="rId260" Target="http://www.embedded.com/1999/9907/9907feat2.htm" TargetMode="External" /><Relationship Type="http://schemas.openxmlformats.org/officeDocument/2006/relationships/hyperlink" Id="rId264" Target="http://www.misra.org.uk/" TargetMode="External" /><Relationship Type="http://schemas.openxmlformats.org/officeDocument/2006/relationships/hyperlink" Id="rId266" Target="http://www.nsc.liu.se/wg25/book" TargetMode="External" /><Relationship Type="http://schemas.openxmlformats.org/officeDocument/2006/relationships/hyperlink" Id="rId268"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2025-08-18T16:30:55Z</dcterms:created>
  <dcterms:modified xsi:type="dcterms:W3CDTF">2025-08-18T16:30:55Z</dcterms:modified>
</cp:coreProperties>
</file>

<file path=docProps/custom.xml><?xml version="1.0" encoding="utf-8"?>
<Properties xmlns="http://schemas.openxmlformats.org/officeDocument/2006/custom-properties" xmlns:vt="http://schemas.openxmlformats.org/officeDocument/2006/docPropsVTypes"/>
</file>