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7"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3"/>
        </w:numPr>
      </w:pPr>
      <w:r>
        <w:t xml:space="preserve">Follow the advice of ISO/IEC 24772-1 clause 6.18.</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One hazard is</w:t>
      </w:r>
      <w:r>
        <w:t xml:space="preserve"> </w:t>
      </w:r>
      <w:r>
        <w:t xml:space="preserve">that the overloaded comparison operators do not automatically connect the inverse</w:t>
      </w:r>
      <w:r>
        <w:t xml:space="preserve"> </w:t>
      </w:r>
      <w:r>
        <w:t xml:space="preserve">operator, such as:</w:t>
      </w:r>
    </w:p>
    <w:p>
      <w:pPr>
        <w:numPr>
          <w:ilvl w:val="0"/>
          <w:numId w:val="1058"/>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8"/>
        </w:numPr>
        <w:pStyle w:val="Compact"/>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8"/>
        </w:numPr>
        <w:pStyle w:val="Compact"/>
      </w:pPr>
      <w:r>
        <w:rPr>
          <w:rStyle w:val="NormalTok"/>
        </w:rPr>
        <w:t xml:space="preserve">\&gt;</w:t>
      </w:r>
      <w:r>
        <w:t xml:space="preserve"> </w:t>
      </w:r>
      <w:r>
        <w:t xml:space="preserve">and</w:t>
      </w:r>
      <w:r>
        <w:t xml:space="preserve"> </w:t>
      </w:r>
      <w:r>
        <w:rPr>
          <w:rStyle w:val="NormalTok"/>
        </w:rPr>
        <w:t xml:space="preserve">\&lt;=;</w:t>
      </w:r>
    </w:p>
    <w:p>
      <w:pPr>
        <w:numPr>
          <w:ilvl w:val="0"/>
          <w:numId w:val="1058"/>
        </w:numPr>
        <w:pStyle w:val="Compact"/>
      </w:pPr>
      <w:r>
        <w:t xml:space="preserve">etc.</w:t>
      </w:r>
    </w:p>
    <w:p>
      <w:pPr>
        <w:pStyle w:val="FirstParagraph"/>
      </w:pPr>
      <w:r>
        <w:t xml:space="preserve">Unless the all relevant operators are declared, unexpected results can occur:</w:t>
      </w:r>
    </w:p>
    <w:p>
      <w:pPr>
        <w:pStyle w:val="SourceCode"/>
      </w:pPr>
      <w:r>
        <w:rPr>
          <w:rStyle w:val="PreprocessorTok"/>
        </w:rPr>
        <w:t xml:space="preserve">#include </w:t>
      </w:r>
      <w:r>
        <w:rPr>
          <w:rStyle w:val="ImportTok"/>
        </w:rPr>
        <w:t xml:space="preserve">&lt;memory&gt;</w:t>
      </w:r>
      <w:r>
        <w:br/>
      </w:r>
      <w:r>
        <w:br/>
      </w:r>
      <w:r>
        <w:rPr>
          <w:rStyle w:val="KeywordTok"/>
        </w:rPr>
        <w:t xml:space="preserve">struct</w:t>
      </w:r>
      <w:r>
        <w:rPr>
          <w:rStyle w:val="NormalTok"/>
        </w:rPr>
        <w:t xml:space="preserve"> A </w:t>
      </w:r>
      <w:r>
        <w:br/>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w:t>
      </w:r>
      <w:r>
        <w:br/>
      </w:r>
      <w:r>
        <w:br/>
      </w:r>
      <w:r>
        <w:rPr>
          <w:rStyle w:val="KeywordTok"/>
        </w:rPr>
        <w:t xml:space="preserve">using</w:t>
      </w:r>
      <w:r>
        <w:rPr>
          <w:rStyle w:val="NormalTok"/>
        </w:rPr>
        <w:t xml:space="preserve"> APtr = </w:t>
      </w:r>
      <w:r>
        <w:rPr>
          <w:rStyle w:val="BuiltInTok"/>
        </w:rPr>
        <w:t xml:space="preserve">std::</w:t>
      </w:r>
      <w:r>
        <w:rPr>
          <w:rStyle w:val="NormalTok"/>
        </w:rPr>
        <w:t xml:space="preserve">shared_ptr&lt;A&gt;;</w:t>
      </w:r>
      <w:r>
        <w:br/>
      </w:r>
      <w:r>
        <w:br/>
      </w:r>
      <w:r>
        <w:rPr>
          <w:rStyle w:val="DataTypeTok"/>
        </w:rPr>
        <w:t xml:space="preserve">bool</w:t>
      </w:r>
      <w:r>
        <w:rPr>
          <w:rStyle w:val="NormalTok"/>
        </w:rPr>
        <w:t xml:space="preserve"> </w:t>
      </w:r>
      <w:r>
        <w:rPr>
          <w:rStyle w:val="KeywordTok"/>
        </w:rPr>
        <w:t xml:space="preserve">operator</w:t>
      </w:r>
      <w:r>
        <w:rPr>
          <w:rStyle w:val="NormalTok"/>
        </w:rPr>
        <w:t xml:space="preserve">==(APtr </w:t>
      </w:r>
      <w:r>
        <w:rPr>
          <w:rStyle w:val="AttributeTok"/>
        </w:rPr>
        <w:t xml:space="preserve">const</w:t>
      </w:r>
      <w:r>
        <w:rPr>
          <w:rStyle w:val="NormalTok"/>
        </w:rPr>
        <w:t xml:space="preserve"> &amp; lhs, APtr </w:t>
      </w:r>
      <w:r>
        <w:rPr>
          <w:rStyle w:val="AttributeTok"/>
        </w:rPr>
        <w:t xml:space="preserve">const</w:t>
      </w:r>
      <w:r>
        <w:rPr>
          <w:rStyle w:val="NormalTok"/>
        </w:rPr>
        <w:t xml:space="preserve"> &amp; rhs)</w:t>
      </w:r>
      <w:r>
        <w:br/>
      </w:r>
      <w:r>
        <w:rPr>
          <w:rStyle w:val="NormalTok"/>
        </w:rPr>
        <w:t xml:space="preserve">{</w:t>
      </w:r>
      <w:r>
        <w:br/>
      </w:r>
      <w:r>
        <w:rPr>
          <w:rStyle w:val="NormalTok"/>
        </w:rPr>
        <w:t xml:space="preserve">    </w:t>
      </w:r>
      <w:r>
        <w:rPr>
          <w:rStyle w:val="ControlFlowTok"/>
        </w:rPr>
        <w:t xml:space="preserve">return</w:t>
      </w:r>
      <w:r>
        <w:rPr>
          <w:rStyle w:val="NormalTok"/>
        </w:rPr>
        <w:t xml:space="preserve"> lhs == rhs</w:t>
      </w:r>
      <w:r>
        <w:br/>
      </w:r>
      <w:r>
        <w:rPr>
          <w:rStyle w:val="NormalTok"/>
        </w:rPr>
        <w:t xml:space="preserve">    || (lhs != </w:t>
      </w:r>
      <w:r>
        <w:rPr>
          <w:rStyle w:val="KeywordTok"/>
        </w:rPr>
        <w:t xml:space="preserve">nullptr</w:t>
      </w:r>
      <w:r>
        <w:rPr>
          <w:rStyle w:val="NormalTok"/>
        </w:rPr>
        <w:t xml:space="preserve"> &amp;&amp; </w:t>
      </w:r>
      <w:r>
        <w:br/>
      </w:r>
      <w:r>
        <w:rPr>
          <w:rStyle w:val="NormalTok"/>
        </w:rPr>
        <w:t xml:space="preserve">        rhs != </w:t>
      </w:r>
      <w:r>
        <w:rPr>
          <w:rStyle w:val="KeywordTok"/>
        </w:rPr>
        <w:t xml:space="preserve">nullptr</w:t>
      </w:r>
      <w:r>
        <w:rPr>
          <w:rStyle w:val="NormalTok"/>
        </w:rPr>
        <w:t xml:space="preserve"> &amp;&amp;</w:t>
      </w:r>
      <w:r>
        <w:br/>
      </w:r>
      <w:r>
        <w:rPr>
          <w:rStyle w:val="NormalTok"/>
        </w:rPr>
        <w:t xml:space="preserve">        lhs-&gt;i == rhs-&gt;i);</w:t>
      </w:r>
      <w:r>
        <w:br/>
      </w:r>
      <w:r>
        <w:rPr>
          <w:rStyle w:val="NormalTok"/>
        </w:rPr>
        <w:t xml:space="preserve">}</w:t>
      </w:r>
      <w:r>
        <w:br/>
      </w:r>
      <w:r>
        <w:br/>
      </w:r>
      <w:r>
        <w:rPr>
          <w:rStyle w:val="DataTypeTok"/>
        </w:rPr>
        <w:t xml:space="preserve">void</w:t>
      </w:r>
      <w:r>
        <w:rPr>
          <w:rStyle w:val="NormalTok"/>
        </w:rPr>
        <w:t xml:space="preserve"> foo (APtr a)</w:t>
      </w:r>
      <w:r>
        <w:br/>
      </w:r>
      <w:r>
        <w:rPr>
          <w:rStyle w:val="NormalTok"/>
        </w:rPr>
        <w:t xml:space="preserve">{</w:t>
      </w:r>
      <w:r>
        <w:br/>
      </w:r>
      <w:r>
        <w:rPr>
          <w:rStyle w:val="NormalTok"/>
        </w:rPr>
        <w:t xml:space="preserve">    a == a;</w:t>
      </w:r>
      <w:r>
        <w:br/>
      </w:r>
      <w:r>
        <w:rPr>
          <w:rStyle w:val="NormalTok"/>
        </w:rPr>
        <w:t xml:space="preserve">    a != a;   </w:t>
      </w:r>
      <w:r>
        <w:rPr>
          <w:rStyle w:val="CommentTok"/>
        </w:rPr>
        <w:t xml:space="preserve">// Calls 'shared_ptr' ==, which is not </w:t>
      </w:r>
      <w:r>
        <w:br/>
      </w:r>
      <w:r>
        <w:rPr>
          <w:rStyle w:val="NormalTok"/>
        </w:rPr>
        <w:t xml:space="preserve">              </w:t>
      </w:r>
      <w:r>
        <w:rPr>
          <w:rStyle w:val="CommentTok"/>
        </w:rPr>
        <w:t xml:space="preserve">// equivalent to ! (a == a)</w:t>
      </w:r>
      <w:r>
        <w:br/>
      </w:r>
      <w:r>
        <w:rPr>
          <w:rStyle w:val="NormalTok"/>
        </w:rPr>
        <w:t xml:space="preserve">}</w:t>
      </w:r>
    </w:p>
    <w:p>
      <w:pPr>
        <w:pStyle w:val="FirstParagraph"/>
      </w:pPr>
      <w:r>
        <w:t xml:space="preserve">From C++20, a user declared three-way comparison operator is used by the compiler to synthesize the other required operators, whose behavior will be consistent with algebraic expectations.</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p>
      <w:pPr>
        <w:numPr>
          <w:ilvl w:val="0"/>
          <w:numId w:val="1061"/>
        </w:numPr>
      </w:pPr>
      <w:r>
        <w:t xml:space="preserve">Avoid declaring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w:t>
      </w:r>
      <w:r>
        <w:t xml:space="preserve">, instead prefer the declaration of a</w:t>
      </w:r>
      <w:r>
        <w:t xml:space="preserve"> </w:t>
      </w:r>
      <w:r>
        <w:rPr>
          <w:rStyle w:val="VerbatimChar"/>
        </w:rPr>
        <w:t xml:space="preserve">&lt;=&gt;</w:t>
      </w:r>
      <w:r>
        <w:t xml:space="preserve"> </w:t>
      </w:r>
      <w:r>
        <w:t xml:space="preserve">operator.</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37" w:name="X7b5801efcad7d4f25e284b0270c97edc564ec06"/>
    <w:p>
      <w:pPr>
        <w:pStyle w:val="Heading2"/>
      </w:pPr>
      <w:r>
        <w:t xml:space="preserve">6.36 Ignored Error Status and Unhandled Exceptions [OYB]</w:t>
      </w:r>
    </w:p>
    <w:bookmarkStart w:id="135"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5"/>
    <w:bookmarkStart w:id="136"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80"/>
        </w:numPr>
      </w:pPr>
      <w:r>
        <w:t xml:space="preserve">Avoid error handling based on global state.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8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6"/>
    <w:bookmarkEnd w:id="137"/>
    <w:bookmarkStart w:id="140" w:name="X3c61d4dde3e544e3427c66a2e5f6e053f7545a4"/>
    <w:p>
      <w:pPr>
        <w:pStyle w:val="Heading2"/>
      </w:pPr>
      <w:r>
        <w:t xml:space="preserve">6.37 Type-breaking Reinterpretation of Data [AMV]</w:t>
      </w:r>
    </w:p>
    <w:bookmarkStart w:id="138"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38"/>
    <w:bookmarkStart w:id="139"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39"/>
    <w:bookmarkEnd w:id="140"/>
    <w:bookmarkStart w:id="143" w:name="deep-vs.-shallow-copying-yan"/>
    <w:p>
      <w:pPr>
        <w:pStyle w:val="Heading2"/>
      </w:pPr>
      <w:r>
        <w:t xml:space="preserve">6.38 Deep vs. Shallow Copying [YAN]</w:t>
      </w:r>
    </w:p>
    <w:bookmarkStart w:id="141"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1"/>
    <w:bookmarkStart w:id="142"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2"/>
    <w:bookmarkEnd w:id="143"/>
    <w:bookmarkStart w:id="146" w:name="memory-leak-and-heap-fragmentation-xyl"/>
    <w:p>
      <w:pPr>
        <w:pStyle w:val="Heading2"/>
      </w:pPr>
      <w:r>
        <w:t xml:space="preserve">6.39 Memory Leak and Heap Fragmentation [XYL]</w:t>
      </w:r>
    </w:p>
    <w:bookmarkStart w:id="144"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4"/>
    <w:bookmarkStart w:id="145"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5"/>
    <w:bookmarkEnd w:id="146"/>
    <w:bookmarkStart w:id="149" w:name="SYM"/>
    <w:p>
      <w:pPr>
        <w:pStyle w:val="Heading2"/>
      </w:pPr>
      <w:r>
        <w:t xml:space="preserve">6.40 Templates and Generics [SYM]</w:t>
      </w:r>
    </w:p>
    <w:bookmarkStart w:id="147"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7"/>
    <w:bookmarkStart w:id="148"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48"/>
    <w:bookmarkEnd w:id="149"/>
    <w:bookmarkStart w:id="150" w:name="RIP"/>
    <w:p>
      <w:pPr>
        <w:pStyle w:val="Heading2"/>
      </w:pPr>
      <w:r>
        <w:t xml:space="preserve">6.41 Inheritance [RIP]</w:t>
      </w:r>
    </w:p>
    <w:bookmarkEnd w:id="150"/>
    <w:bookmarkStart w:id="151"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1"/>
    <w:bookmarkStart w:id="152"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2"/>
    <w:bookmarkStart w:id="155" w:name="BLP"/>
    <w:p>
      <w:pPr>
        <w:pStyle w:val="Heading2"/>
      </w:pPr>
      <w:r>
        <w:t xml:space="preserve">6.42 Violations of the Liskov Substitution Principle or the Contract Model [BLP]</w:t>
      </w:r>
    </w:p>
    <w:bookmarkStart w:id="153"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3"/>
    <w:bookmarkStart w:id="154"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4"/>
    <w:bookmarkEnd w:id="155"/>
    <w:bookmarkStart w:id="158" w:name="redispatching-pph"/>
    <w:p>
      <w:pPr>
        <w:pStyle w:val="Heading2"/>
      </w:pPr>
      <w:r>
        <w:t xml:space="preserve">6.43 Redispatching [PPH]</w:t>
      </w:r>
    </w:p>
    <w:bookmarkStart w:id="156"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6"/>
    <w:bookmarkStart w:id="157"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57"/>
    <w:bookmarkEnd w:id="158"/>
    <w:bookmarkStart w:id="161" w:name="BKK"/>
    <w:p>
      <w:pPr>
        <w:pStyle w:val="Heading2"/>
      </w:pPr>
      <w:r>
        <w:t xml:space="preserve">6.44 Polymorphic variables [BKK]</w:t>
      </w:r>
    </w:p>
    <w:bookmarkStart w:id="159"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59"/>
    <w:bookmarkStart w:id="160"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0"/>
    <w:bookmarkEnd w:id="161"/>
    <w:bookmarkStart w:id="162"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2"/>
    <w:bookmarkStart w:id="165" w:name="Xc417c172da80bb70cea1f9e7af9871a63840609"/>
    <w:p>
      <w:pPr>
        <w:pStyle w:val="Heading2"/>
      </w:pPr>
      <w:r>
        <w:t xml:space="preserve">6.46 Argument Passing to Library Functions [TRJ]</w:t>
      </w:r>
    </w:p>
    <w:bookmarkStart w:id="16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3"/>
    <w:bookmarkStart w:id="164"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4"/>
    <w:bookmarkEnd w:id="165"/>
    <w:bookmarkStart w:id="168" w:name="inter-language-calling-djs"/>
    <w:p>
      <w:pPr>
        <w:pStyle w:val="Heading2"/>
      </w:pPr>
      <w:r>
        <w:t xml:space="preserve">6.47 Inter-language Calling [DJS]</w:t>
      </w:r>
    </w:p>
    <w:bookmarkStart w:id="16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6"/>
    <w:bookmarkStart w:id="167"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7"/>
    <w:bookmarkEnd w:id="168"/>
    <w:bookmarkStart w:id="171" w:name="Xfd4a54be17d3eceb94ec5c5981ef893e36604c5"/>
    <w:p>
      <w:pPr>
        <w:pStyle w:val="Heading2"/>
      </w:pPr>
      <w:r>
        <w:t xml:space="preserve">6.48 Dynamically-linked Code and Self-modifying Code [NYY]</w:t>
      </w:r>
    </w:p>
    <w:bookmarkStart w:id="169"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69"/>
    <w:bookmarkStart w:id="170" w:name="guidance-to-language-users"/>
    <w:p>
      <w:pPr>
        <w:pStyle w:val="Heading3"/>
      </w:pPr>
      <w:r>
        <w:t xml:space="preserve">6.48.2 Guidance to language users</w:t>
      </w:r>
    </w:p>
    <w:p>
      <w:pPr>
        <w:pStyle w:val="FirstParagraph"/>
      </w:pPr>
      <w:r>
        <w:t xml:space="preserve">Follow the guidance of ISO/IEC TR 24772-1:2019 clause 6.48.5.</w:t>
      </w:r>
    </w:p>
    <w:bookmarkEnd w:id="170"/>
    <w:bookmarkEnd w:id="171"/>
    <w:bookmarkStart w:id="174" w:name="library-signature-nsq"/>
    <w:p>
      <w:pPr>
        <w:pStyle w:val="Heading2"/>
      </w:pPr>
      <w:r>
        <w:t xml:space="preserve">6.49 Library Signature [NSQ]</w:t>
      </w:r>
    </w:p>
    <w:bookmarkStart w:id="172"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2"/>
    <w:bookmarkStart w:id="173"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3"/>
    <w:bookmarkEnd w:id="174"/>
    <w:bookmarkStart w:id="177" w:name="X165926c342ab175b2667683b6cb7551fc7b18d8"/>
    <w:p>
      <w:pPr>
        <w:pStyle w:val="Heading2"/>
      </w:pPr>
      <w:r>
        <w:t xml:space="preserve">6.50. Unanticipated Exceptions from Library Routines [HJW]</w:t>
      </w:r>
    </w:p>
    <w:bookmarkStart w:id="17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5"/>
    <w:bookmarkStart w:id="176"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6"/>
    <w:bookmarkEnd w:id="177"/>
    <w:bookmarkStart w:id="180" w:name="NMP"/>
    <w:p>
      <w:pPr>
        <w:pStyle w:val="Heading2"/>
      </w:pPr>
      <w:r>
        <w:t xml:space="preserve">6.51 Pre-processor Directives [NMP]</w:t>
      </w:r>
    </w:p>
    <w:bookmarkStart w:id="17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78"/>
    <w:bookmarkStart w:id="179"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79"/>
    <w:bookmarkEnd w:id="180"/>
    <w:bookmarkStart w:id="183" w:name="Xe4ed1f6d7e7049a22cf11fb58e9b78561722b0b"/>
    <w:p>
      <w:pPr>
        <w:pStyle w:val="Heading2"/>
      </w:pPr>
      <w:r>
        <w:t xml:space="preserve">6.52 Suppression of Language-defined Run-time Checking [MXB]</w:t>
      </w:r>
    </w:p>
    <w:bookmarkStart w:id="18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1"/>
    <w:bookmarkStart w:id="182"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2"/>
    <w:bookmarkEnd w:id="183"/>
    <w:bookmarkStart w:id="186" w:name="X2e6df9becdc68c65fdb33865090fafdb8a33550"/>
    <w:p>
      <w:pPr>
        <w:pStyle w:val="Heading2"/>
      </w:pPr>
      <w:r>
        <w:t xml:space="preserve">6.53 Provision of Inherently Unsafe Operations [SKL]</w:t>
      </w:r>
    </w:p>
    <w:bookmarkStart w:id="184"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4"/>
    <w:bookmarkStart w:id="185"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5"/>
    <w:bookmarkEnd w:id="186"/>
    <w:bookmarkStart w:id="189" w:name="obscure-language-features-brs"/>
    <w:p>
      <w:pPr>
        <w:pStyle w:val="Heading2"/>
      </w:pPr>
      <w:r>
        <w:t xml:space="preserve">6.54 Obscure Language Features [BRS]</w:t>
      </w:r>
    </w:p>
    <w:bookmarkStart w:id="187"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7"/>
    <w:bookmarkStart w:id="188"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88"/>
    <w:bookmarkEnd w:id="189"/>
    <w:bookmarkStart w:id="192" w:name="EWF"/>
    <w:p>
      <w:pPr>
        <w:pStyle w:val="Heading2"/>
      </w:pPr>
      <w:r>
        <w:t xml:space="preserve">6.56 Undefined Behaviour [EWF]</w:t>
      </w:r>
    </w:p>
    <w:bookmarkStart w:id="19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0"/>
    <w:bookmarkStart w:id="191"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1"/>
    <w:bookmarkEnd w:id="192"/>
    <w:bookmarkStart w:id="195" w:name="implementationdefined-behaviour-fab"/>
    <w:p>
      <w:pPr>
        <w:pStyle w:val="Heading2"/>
      </w:pPr>
      <w:r>
        <w:t xml:space="preserve">6.57 Implementation–defined Behaviour [FAB]</w:t>
      </w:r>
    </w:p>
    <w:bookmarkStart w:id="19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3"/>
    <w:bookmarkStart w:id="194"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4"/>
    <w:bookmarkEnd w:id="195"/>
    <w:bookmarkStart w:id="198" w:name="deprecated-language-features-mem"/>
    <w:p>
      <w:pPr>
        <w:pStyle w:val="Heading2"/>
      </w:pPr>
      <w:r>
        <w:t xml:space="preserve">6.58 Deprecated Language Features [MEM]</w:t>
      </w:r>
    </w:p>
    <w:bookmarkStart w:id="19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6"/>
    <w:bookmarkStart w:id="197"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7"/>
    <w:bookmarkEnd w:id="198"/>
    <w:bookmarkStart w:id="201" w:name="concurrency-activation-cga"/>
    <w:p>
      <w:pPr>
        <w:pStyle w:val="Heading2"/>
      </w:pPr>
      <w:r>
        <w:t xml:space="preserve">6.59 Concurrency – Activation [CGA]</w:t>
      </w:r>
    </w:p>
    <w:bookmarkStart w:id="199"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199"/>
    <w:bookmarkStart w:id="200"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0"/>
    <w:bookmarkEnd w:id="201"/>
    <w:bookmarkStart w:id="203" w:name="concurrency-directed-termination-cgt"/>
    <w:p>
      <w:pPr>
        <w:pStyle w:val="Heading2"/>
      </w:pPr>
      <w:r>
        <w:t xml:space="preserve">6.60 Concurrency – Directed termination [CGT]</w:t>
      </w:r>
    </w:p>
    <w:bookmarkStart w:id="202"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2"/>
    <w:bookmarkEnd w:id="203"/>
    <w:bookmarkStart w:id="204" w:name="guidance-to-language-users"/>
    <w:p>
      <w:pPr>
        <w:pStyle w:val="Heading2"/>
      </w:pPr>
      <w:r>
        <w:t xml:space="preserve">6.60.2 Guidance to language users</w:t>
      </w:r>
    </w:p>
    <w:p>
      <w:pPr>
        <w:pStyle w:val="FirstParagraph"/>
      </w:pPr>
      <w:r>
        <w:t xml:space="preserve">Follow the guidance of 24772-1 Clause 6.59.5</w:t>
      </w:r>
    </w:p>
    <w:bookmarkEnd w:id="204"/>
    <w:bookmarkStart w:id="207" w:name="CGX"/>
    <w:p>
      <w:pPr>
        <w:pStyle w:val="Heading2"/>
      </w:pPr>
      <w:r>
        <w:t xml:space="preserve">6.61 Concurrent Data Access [CGX]</w:t>
      </w:r>
    </w:p>
    <w:bookmarkStart w:id="20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5"/>
    <w:bookmarkStart w:id="206"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p>
      <w:pPr>
        <w:numPr>
          <w:ilvl w:val="0"/>
          <w:numId w:val="1122"/>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6"/>
    <w:bookmarkEnd w:id="207"/>
    <w:bookmarkStart w:id="211" w:name="concurrency-premature-termination-cgs"/>
    <w:p>
      <w:pPr>
        <w:pStyle w:val="Heading2"/>
      </w:pPr>
      <w:r>
        <w:t xml:space="preserve">6.62 Concurrency – Premature Termination [CGS]</w:t>
      </w:r>
    </w:p>
    <w:bookmarkStart w:id="208" w:name="applicability-to-language"/>
    <w:p>
      <w:pPr>
        <w:pStyle w:val="Heading3"/>
      </w:pPr>
      <w:r>
        <w:t xml:space="preserve">6.62.1 Applicability to language</w:t>
      </w:r>
    </w:p>
    <w:bookmarkEnd w:id="208"/>
    <w:bookmarkStart w:id="20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09"/>
    <w:bookmarkStart w:id="210"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0"/>
    <w:bookmarkEnd w:id="211"/>
    <w:bookmarkStart w:id="233" w:name="CGM"/>
    <w:p>
      <w:pPr>
        <w:pStyle w:val="Heading2"/>
      </w:pPr>
      <w:r>
        <w:t xml:space="preserve">6.63 Protocol Lock Errors [CGM]</w:t>
      </w:r>
    </w:p>
    <w:bookmarkStart w:id="21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2"/>
    <w:bookmarkStart w:id="232"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1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1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1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2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2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2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2"/>
    <w:bookmarkEnd w:id="233"/>
    <w:bookmarkStart w:id="236" w:name="uncontrolled-format-string-shl"/>
    <w:p>
      <w:pPr>
        <w:pStyle w:val="Heading2"/>
      </w:pPr>
      <w:r>
        <w:t xml:space="preserve">6.64 Uncontrolled Format String [SHL]</w:t>
      </w:r>
    </w:p>
    <w:bookmarkStart w:id="23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4"/>
    <w:bookmarkStart w:id="235"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5"/>
    <w:bookmarkEnd w:id="236"/>
    <w:bookmarkEnd w:id="237"/>
    <w:bookmarkStart w:id="241" w:name="UJO"/>
    <w:p>
      <w:pPr>
        <w:pStyle w:val="Heading1"/>
      </w:pPr>
      <w:r>
        <w:t xml:space="preserve">6.65 Modifying constants [UJO]</w:t>
      </w:r>
    </w:p>
    <w:bookmarkStart w:id="239"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38" w:name="EWF"/>
      <w:r>
        <w:t xml:space="preserve">Undefined Behavior [EWF]</w:t>
      </w:r>
      <w:bookmarkEnd w:id="23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39"/>
    <w:bookmarkStart w:id="240"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0"/>
    <w:bookmarkEnd w:id="241"/>
    <w:bookmarkStart w:id="242"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2"/>
    <w:bookmarkStart w:id="244"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3"/>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4"/>
    <w:bookmarkStart w:id="258"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5"/>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6">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7">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8">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9">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0">
        <w:r>
          <w:rPr>
            <w:rStyle w:val="Hyperlink"/>
          </w:rPr>
          <w:t xml:space="preserve">http://myweb.lmu.edu/dondi/share/pl/type-checking-v02.pdf</w:t>
        </w:r>
      </w:hyperlink>
    </w:p>
    <w:p>
      <w:pPr>
        <w:pStyle w:val="Bibliography1"/>
      </w:pPr>
      <w:r>
        <w:t xml:space="preserve">[32] MISRA Limited. "</w:t>
      </w:r>
      <w:hyperlink r:id="rId251">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2">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3">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4">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5">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6">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7">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8"/>
    <w:bookmarkStart w:id="259" w:name="index"/>
    <w:p>
      <w:pPr>
        <w:pStyle w:val="Heading1"/>
      </w:pPr>
      <w:r>
        <w:t xml:space="preserve">Index</w:t>
      </w:r>
    </w:p>
    <w:p>
      <w:pPr>
        <w:pStyle w:val="Bibliography1"/>
      </w:pPr>
      <w:r>
        <w:t xml:space="preserve">LHS (left-hand side), 22</w:t>
      </w:r>
    </w:p>
    <w:bookmarkEnd w:id="2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4" Target="http://archive.gao.gov/t2pbat6/145960.pdf" TargetMode="External" /><Relationship Type="http://schemas.openxmlformats.org/officeDocument/2006/relationships/hyperlink" Id="rId252" Target="http://cwe.mitre.org/" TargetMode="External" /><Relationship Type="http://schemas.openxmlformats.org/officeDocument/2006/relationships/hyperlink" Id="rId248" Target="http://en.wikisource.org/wiki/Ariane_501_Inquiry_Board_report" TargetMode="External" /><Relationship Type="http://schemas.openxmlformats.org/officeDocument/2006/relationships/hyperlink" Id="rId246" Target="http://esamultimedia.esa.int/docs/esa-x-1819eng.pdf" TargetMode="External" /><Relationship Type="http://schemas.openxmlformats.org/officeDocument/2006/relationships/hyperlink" Id="rId250" Target="http://myweb.lmu.edu/dondi/share/pl/type-checking-v02.pdf" TargetMode="External" /><Relationship Type="http://schemas.openxmlformats.org/officeDocument/2006/relationships/hyperlink" Id="rId257" Target="http://www.adaic.org/docs/95style/95style.pdf" TargetMode="External" /><Relationship Type="http://schemas.openxmlformats.org/officeDocument/2006/relationships/hyperlink" Id="rId249" Target="http://www.cert.org/books/secure-coding" TargetMode="External" /><Relationship Type="http://schemas.openxmlformats.org/officeDocument/2006/relationships/hyperlink" Id="rId247" Target="http://www.embedded.com/1999/9907/9907feat2.htm" TargetMode="External" /><Relationship Type="http://schemas.openxmlformats.org/officeDocument/2006/relationships/hyperlink" Id="rId251" Target="http://www.misra.org.uk/" TargetMode="External" /><Relationship Type="http://schemas.openxmlformats.org/officeDocument/2006/relationships/hyperlink" Id="rId253" Target="http://www.nsc.liu.se/wg25/book" TargetMode="External" /><Relationship Type="http://schemas.openxmlformats.org/officeDocument/2006/relationships/hyperlink" Id="rId255" Target="http://www.siam.org/siamnews/general/patriot.htm" TargetMode="External" /><Relationship Type="http://schemas.openxmlformats.org/officeDocument/2006/relationships/hyperlink" Id="rId227" Target="https://docs.google.com/document/d/14E0BYqsH_d7fMKvXvaZWoNWtIC65cYBw0aZp4dlev0Q/edit#heading=h.13kr181fh926" TargetMode="External" /><Relationship Type="http://schemas.openxmlformats.org/officeDocument/2006/relationships/hyperlink" Id="rId214" Target="https://docs.google.com/document/d/14E0BYqsH_d7fMKvXvaZWoNWtIC65cYBw0aZp4dlev0Q/edit#heading=h.1kfv9jdgd8ib" TargetMode="External" /><Relationship Type="http://schemas.openxmlformats.org/officeDocument/2006/relationships/hyperlink" Id="rId224" Target="https://docs.google.com/document/d/14E0BYqsH_d7fMKvXvaZWoNWtIC65cYBw0aZp4dlev0Q/edit#heading=h.3icrgfn0r3ae" TargetMode="External" /><Relationship Type="http://schemas.openxmlformats.org/officeDocument/2006/relationships/hyperlink" Id="rId215" Target="https://docs.google.com/document/d/14E0BYqsH_d7fMKvXvaZWoNWtIC65cYBw0aZp4dlev0Q/edit#heading=h.729gvquxakq8" TargetMode="External" /><Relationship Type="http://schemas.openxmlformats.org/officeDocument/2006/relationships/hyperlink" Id="rId222" Target="https://docs.google.com/document/d/14E0BYqsH_d7fMKvXvaZWoNWtIC65cYBw0aZp4dlev0Q/edit#heading=h.7pf8azwmy8l4" TargetMode="External" /><Relationship Type="http://schemas.openxmlformats.org/officeDocument/2006/relationships/hyperlink" Id="rId216" Target="https://docs.google.com/document/d/14E0BYqsH_d7fMKvXvaZWoNWtIC65cYBw0aZp4dlev0Q/edit#heading=h.920crsa3sscx" TargetMode="External" /><Relationship Type="http://schemas.openxmlformats.org/officeDocument/2006/relationships/hyperlink" Id="rId230" Target="https://docs.google.com/document/d/14E0BYqsH_d7fMKvXvaZWoNWtIC65cYBw0aZp4dlev0Q/edit#heading=h.9syx86lze887" TargetMode="External" /><Relationship Type="http://schemas.openxmlformats.org/officeDocument/2006/relationships/hyperlink" Id="rId229" Target="https://docs.google.com/document/d/14E0BYqsH_d7fMKvXvaZWoNWtIC65cYBw0aZp4dlev0Q/edit#heading=h.ca8el9ehijae" TargetMode="External" /><Relationship Type="http://schemas.openxmlformats.org/officeDocument/2006/relationships/hyperlink" Id="rId218" Target="https://docs.google.com/document/d/14E0BYqsH_d7fMKvXvaZWoNWtIC65cYBw0aZp4dlev0Q/edit#heading=h.d6qklu5mi3fn" TargetMode="External" /><Relationship Type="http://schemas.openxmlformats.org/officeDocument/2006/relationships/hyperlink" Id="rId220" Target="https://docs.google.com/document/d/14E0BYqsH_d7fMKvXvaZWoNWtIC65cYBw0aZp4dlev0Q/edit#heading=h.einwxosnxvhf" TargetMode="External" /><Relationship Type="http://schemas.openxmlformats.org/officeDocument/2006/relationships/hyperlink" Id="rId225" Target="https://docs.google.com/document/d/14E0BYqsH_d7fMKvXvaZWoNWtIC65cYBw0aZp4dlev0Q/edit#heading=h.g0cdm0bk7l9l" TargetMode="External" /><Relationship Type="http://schemas.openxmlformats.org/officeDocument/2006/relationships/hyperlink" Id="rId231" Target="https://docs.google.com/document/d/14E0BYqsH_d7fMKvXvaZWoNWtIC65cYBw0aZp4dlev0Q/edit#heading=h.gg4jn12ygzi5" TargetMode="External" /><Relationship Type="http://schemas.openxmlformats.org/officeDocument/2006/relationships/hyperlink" Id="rId219" Target="https://docs.google.com/document/d/14E0BYqsH_d7fMKvXvaZWoNWtIC65cYBw0aZp4dlev0Q/edit#heading=h.isn3bwogdp97" TargetMode="External" /><Relationship Type="http://schemas.openxmlformats.org/officeDocument/2006/relationships/hyperlink" Id="rId213" Target="https://docs.google.com/document/d/14E0BYqsH_d7fMKvXvaZWoNWtIC65cYBw0aZp4dlev0Q/edit#heading=h.kj1vcao94oy1" TargetMode="External" /><Relationship Type="http://schemas.openxmlformats.org/officeDocument/2006/relationships/hyperlink" Id="rId226" Target="https://docs.google.com/document/d/14E0BYqsH_d7fMKvXvaZWoNWtIC65cYBw0aZp4dlev0Q/edit#heading=h.ul4y0p7eoih1" TargetMode="External" /><Relationship Type="http://schemas.openxmlformats.org/officeDocument/2006/relationships/hyperlink" Id="rId221" Target="https://docs.google.com/document/d/14E0BYqsH_d7fMKvXvaZWoNWtIC65cYBw0aZp4dlev0Q/edit#heading=h.vq776pxv4nn5" TargetMode="External" /><Relationship Type="http://schemas.openxmlformats.org/officeDocument/2006/relationships/hyperlink" Id="rId217" Target="https://docs.google.com/document/d/14E0BYqsH_d7fMKvXvaZWoNWtIC65cYBw0aZp4dlev0Q/edit#heading=h.xufkh9tsiuk8" TargetMode="External" /><Relationship Type="http://schemas.openxmlformats.org/officeDocument/2006/relationships/hyperlink" Id="rId228" Target="https://docs.google.com/document/d/14E0BYqsH_d7fMKvXvaZWoNWtIC65cYBw0aZp4dlev0Q/edit#heading=h.yt0hxah53p9e" TargetMode="External" /><Relationship Type="http://schemas.openxmlformats.org/officeDocument/2006/relationships/hyperlink" Id="rId223" Target="https://docs.google.com/document/d/14E0BYqsH_d7fMKvXvaZWoNWtIC65cYBw0aZp4dlev0Q/edit#heading=h.z9k66jbl65u6"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6"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2022-03-21T14:44:34Z</dcterms:created>
  <dcterms:modified xsi:type="dcterms:W3CDTF">2022-03-21T14:44:34Z</dcterms:modified>
</cp:coreProperties>
</file>

<file path=docProps/custom.xml><?xml version="1.0" encoding="utf-8"?>
<Properties xmlns="http://schemas.openxmlformats.org/officeDocument/2006/custom-properties" xmlns:vt="http://schemas.openxmlformats.org/officeDocument/2006/docPropsVTypes"/>
</file>