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VerbatimChar"/>
        </w:rPr>
        <w:t xml:space="preserve">bool</w:t>
      </w:r>
      <w:r>
        <w:t xml:space="preserve"> </w:t>
      </w:r>
      <w:r>
        <w:t xml:space="preserve">often indicate a missing comparison. Conversions from bool in arithmetic expression can obfuscate code.</w:t>
      </w:r>
      <w:r>
        <w:t xml:space="preserve"> </w:t>
      </w:r>
      <w:r>
        <w:t xml:space="preserve">For example, the following code relies on</w:t>
      </w:r>
      <w:r>
        <w:t xml:space="preserve"> </w:t>
      </w:r>
      <w:r>
        <w:rPr>
          <w:rStyle w:val="VerbatimChar"/>
        </w:rPr>
        <w:t xml:space="preserve">false</w:t>
      </w:r>
      <w:r>
        <w:t xml:space="preserve"> </w:t>
      </w:r>
      <w:r>
        <w:t xml:space="preserve">converting to/from zero and</w:t>
      </w:r>
      <w:r>
        <w:t xml:space="preserve"> </w:t>
      </w:r>
      <w:r>
        <w:rPr>
          <w:rStyle w:val="VerbatimChar"/>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in boolean contexts are idiomatic C++, however, some prefer explicit tests to show intent. For example,</w:t>
      </w:r>
      <w:r>
        <w:t xml:space="preserve"> </w:t>
      </w:r>
      <w:r>
        <w:rPr>
          <w:rStyle w:val="ControlFlowTok"/>
        </w:rPr>
        <w:t xml:space="preserve">if</w:t>
      </w:r>
      <w:r>
        <w:rPr>
          <w:rStyle w:val="NormalTok"/>
        </w:rPr>
        <w:t xml:space="preserve"> (p) *p = </w:t>
      </w:r>
      <w:r>
        <w:rPr>
          <w:rStyle w:val="DecValTok"/>
        </w:rPr>
        <w:t xml:space="preserve">42</w:t>
      </w:r>
      <w:r>
        <w:rPr>
          <w:rStyle w:val="NormalTok"/>
        </w:rPr>
        <w:t xml:space="preserve">;</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*p = </w:t>
      </w:r>
      <w:r>
        <w:rPr>
          <w:rStyle w:val="DecValTok"/>
        </w:rPr>
        <w:t xml:space="preserve">42</w:t>
      </w:r>
      <w:r>
        <w:rPr>
          <w:rStyle w:val="NormalTok"/>
        </w:rPr>
        <w:t xml:space="preserve">;</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like the following:</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 In addition to preventing implicit conversions, such strong type libraries also prevent unexpected operations.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to implement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w:t>
      </w:r>
      <w:r>
        <w:t xml:space="preserve"> </w:t>
      </w:r>
      <w:r>
        <w:rPr>
          <w:i/>
        </w:rPr>
        <w:t xml:space="preserve">strong types</w:t>
      </w:r>
      <w:r>
        <w:t xml:space="preserve"> </w:t>
      </w:r>
      <w:r>
        <w:t xml:space="preserve">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w:t>
      </w:r>
      <w:r>
        <w:t xml:space="preserve"> </w:t>
      </w:r>
      <w:r>
        <w:t xml:space="preserve">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SIDE NOTE: The this pointer in the constructor does not yet point to a fully constructed object (until the constructor returns). An example, might be best.</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w:t>
      </w:r>
      <w:r>
        <w:br/>
      </w:r>
      <w:r>
        <w:rPr>
          <w:rStyle w:val="VerbatimChar"/>
        </w:rPr>
        <w:t xml:space="preserve">teup about incomplete objects before or after their lifetime and related to translation units.[]{custom-style="annotation reference"}*[]{custom-style="annotation reference"}</w:t>
      </w:r>
      <w:r>
        <w:br/>
      </w:r>
      <w:r>
        <w:br/>
      </w:r>
      <w:r>
        <w:rPr>
          <w:rStyle w:val="VerbatimChar"/>
        </w:rPr>
        <w:t xml:space="preserve">// translation unit one.cpp...</w:t>
      </w:r>
      <w:r>
        <w:br/>
      </w:r>
      <w:r>
        <w:rPr>
          <w:rStyle w:val="VerbatimChar"/>
        </w:rPr>
        <w:t xml:space="preserve">struct A; // A's definition is incomplete</w:t>
      </w:r>
      <w:r>
        <w:br/>
      </w:r>
      <w:r>
        <w:rPr>
          <w:rStyle w:val="VerbatimChar"/>
        </w:rPr>
        <w:t xml:space="preserve">struct B; // B's definition is incomplete</w:t>
      </w:r>
      <w:r>
        <w:br/>
      </w:r>
      <w:r>
        <w:rPr>
          <w:rStyle w:val="VerbatimChar"/>
        </w:rPr>
        <w:t xml:space="preserve">extern B* foo(); // defined elsewhere</w:t>
      </w:r>
      <w:r>
        <w:br/>
      </w:r>
      <w:r>
        <w:br/>
      </w:r>
      <w:r>
        <w:rPr>
          <w:rStyle w:val="VerbatimChar"/>
        </w:rPr>
        <w:t xml:space="preserve">B* p = foo(); // okay</w:t>
      </w:r>
      <w:r>
        <w:br/>
      </w:r>
      <w:r>
        <w:rPr>
          <w:rStyle w:val="VerbatimChar"/>
        </w:rPr>
        <w:t xml:space="preserve">A* p2 = dynamic_cast&lt;A*&gt;(p); // compile-time error: dynamic_cast requries a complete type</w:t>
      </w:r>
      <w:r>
        <w:br/>
      </w:r>
      <w:r>
        <w:rPr>
          <w:rStyle w:val="VerbatimChar"/>
        </w:rPr>
        <w:t xml:space="preserve">A* p3 = static_cast&lt;A*&gt;(p); // compile-time error: static_cast effectively requires a complete type</w:t>
      </w:r>
      <w:r>
        <w:br/>
      </w:r>
      <w:r>
        <w:rPr>
          <w:rStyle w:val="VerbatimChar"/>
        </w:rPr>
        <w:t xml:space="preserve">A* p4 = reinterpret_cast&lt;A*&gt;(p); // possibly vulnerable</w:t>
      </w:r>
      <w:r>
        <w:br/>
      </w:r>
      <w:r>
        <w:rPr>
          <w:rStyle w:val="VerbatimChar"/>
        </w:rPr>
        <w:t xml:space="preserve">A* p5 = (A*)p; // C-style case, vulnerable</w:t>
      </w:r>
      <w:r>
        <w:br/>
      </w:r>
      <w:r>
        <w:br/>
      </w:r>
      <w:r>
        <w:rPr>
          <w:rStyle w:val="VerbatimChar"/>
        </w:rPr>
        <w:t xml:space="preserve">Presumably p4 is the issue to discuss? </w:t>
      </w:r>
      <w:r>
        <w:br/>
      </w:r>
      <w:r>
        <w:br/>
      </w:r>
      <w:r>
        <w:rPr>
          <w:rStyle w:val="VerbatimChar"/>
        </w:rPr>
        <w:t xml:space="preserve">What was the incomplete object lifetime issue wrt translation units because the only thing one can do outside a translation unit (with the pimpl idiom) is refer to the object as a pointer + reinterpret_cast.</w:t>
      </w:r>
      <w:r>
        <w:br/>
      </w:r>
      <w:r>
        <w:br/>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 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r>
        <w:t xml:space="preserve"> </w:t>
      </w:r>
      <w:r>
        <w:t xml:space="preserve">- is_pointer_interconvertible_base_of C++20 20.15.7 [meta.rel]</w:t>
      </w:r>
      <w:r>
        <w:t xml:space="preserve"> </w:t>
      </w:r>
      <w:r>
        <w:t xml:space="preserve">- is_pointer_interconvertible_with_class C++20 20.15.10</w:t>
      </w:r>
      <w:r>
        <w:t xml:space="preserve"> </w:t>
      </w:r>
      <w:r>
        <w:t xml:space="preserve">- is_corresponding_member C++20 20.15.10</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0"/>
        </w:numPr>
      </w:pPr>
      <w:r>
        <w:t xml:space="preserve">a and b are the same object,</w:t>
      </w:r>
    </w:p>
    <w:p>
      <w:pPr>
        <w:numPr>
          <w:ilvl w:val="0"/>
          <w:numId w:val="1030"/>
        </w:numPr>
      </w:pPr>
      <w:r>
        <w:t xml:space="preserve">either a or b is a standard-layout union object and the other is a</w:t>
      </w:r>
      <w:r>
        <w:t xml:space="preserve"> </w:t>
      </w:r>
      <w:r>
        <w:t xml:space="preserve">non-static data member of that object,</w:t>
      </w:r>
    </w:p>
    <w:p>
      <w:pPr>
        <w:numPr>
          <w:ilvl w:val="1"/>
          <w:numId w:val="1031"/>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0"/>
        </w:numPr>
      </w:pPr>
      <w:r>
        <w:t xml:space="preserve">either a or b is a standard-layout class object and the other is the</w:t>
      </w:r>
      <w:r>
        <w:t xml:space="preserve"> </w:t>
      </w:r>
      <w:r>
        <w:t xml:space="preserve">first non-static data member of that object,</w:t>
      </w:r>
    </w:p>
    <w:p>
      <w:pPr>
        <w:numPr>
          <w:ilvl w:val="1"/>
          <w:numId w:val="1032"/>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0"/>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3"/>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0"/>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4"/>
        </w:numPr>
      </w:pPr>
      <w:r>
        <w:t xml:space="preserve">Follow the advice provided in ISO/IEC TR 24772-1:2019 clause 6.11.5.</w:t>
      </w:r>
    </w:p>
    <w:p>
      <w:pPr>
        <w:numPr>
          <w:ilvl w:val="0"/>
          <w:numId w:val="1034"/>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4"/>
        </w:numPr>
      </w:pPr>
      <w:r>
        <w:t xml:space="preserve">When downcasting or crosscasting, prefer</w:t>
      </w:r>
      <w:r>
        <w:t xml:space="preserve"> </w:t>
      </w:r>
      <w:r>
        <w:rPr>
          <w:rStyle w:val="KeywordTok"/>
        </w:rPr>
        <w:t xml:space="preserve">dynamic_cast</w:t>
      </w:r>
      <w:r>
        <w:t xml:space="preserve"> </w:t>
      </w:r>
      <w:r>
        <w:t xml:space="preserve">and explicitly handle the</w:t>
      </w:r>
      <w:r>
        <w:t xml:space="preserve"> </w:t>
      </w:r>
      <w:r>
        <w:t xml:space="preserve">possible failure cases.</w:t>
      </w:r>
    </w:p>
    <w:p>
      <w:pPr>
        <w:numPr>
          <w:ilvl w:val="1"/>
          <w:numId w:val="1035"/>
        </w:numPr>
        <w:pStyle w:val="SourceCode"/>
      </w:pPr>
      <w:r>
        <w:rPr>
          <w:rStyle w:val="VerbatimChar"/>
        </w:rPr>
        <w:t xml:space="preserve">  *C++ Core guidelines C.146, 1.47 and 1.48*</w:t>
      </w:r>
    </w:p>
    <w:p>
      <w:pPr>
        <w:numPr>
          <w:ilvl w:val="0"/>
          <w:numId w:val="1034"/>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w:t>
      </w:r>
    </w:p>
    <w:p>
      <w:pPr>
        <w:pStyle w:val="SourceCode"/>
      </w:pPr>
      <w:r>
        <w:rPr>
          <w:rStyle w:val="VerbatimChar"/>
        </w:rPr>
        <w:t xml:space="preserve">&lt;!--</w:t>
      </w:r>
      <w:r>
        <w:br/>
      </w:r>
      <w:r>
        <w:rPr>
          <w:rStyle w:val="VerbatimChar"/>
        </w:rPr>
        <w:t xml:space="preserve">-   Use `new` and `delete` to allocate/deallocate memory, rather than</w:t>
      </w:r>
      <w:r>
        <w:br/>
      </w:r>
      <w:r>
        <w:rPr>
          <w:rStyle w:val="VerbatimChar"/>
        </w:rPr>
        <w:t xml:space="preserve">    `malloc()`/`free()`.</w:t>
      </w:r>
      <w:r>
        <w:br/>
      </w:r>
      <w:r>
        <w:br/>
      </w:r>
      <w:r>
        <w:rPr>
          <w:rStyle w:val="VerbatimChar"/>
        </w:rPr>
        <w:t xml:space="preserve">    -       EXP51-CPP. Do not delete an array through a pointer of the</w:t>
      </w:r>
      <w:r>
        <w:br/>
      </w:r>
      <w:r>
        <w:rPr>
          <w:rStyle w:val="VerbatimChar"/>
        </w:rPr>
        <w:t xml:space="preserve">        incorrect type (implied by 6.11)</w:t>
      </w:r>
      <w:r>
        <w:br/>
      </w:r>
      <w:r>
        <w:rPr>
          <w:rStyle w:val="VerbatimChar"/>
        </w:rPr>
        <w:t xml:space="preserve">    </w:t>
      </w:r>
      <w:r>
        <w:br/>
      </w:r>
      <w:r>
        <w:rPr>
          <w:rStyle w:val="VerbatimChar"/>
        </w:rPr>
        <w:t xml:space="preserve">    -       EXP57-CPP. Do not cast or delete pointers to incomplete classes</w:t>
      </w:r>
      <w:r>
        <w:br/>
      </w:r>
      <w:r>
        <w:rPr>
          <w:rStyle w:val="VerbatimChar"/>
        </w:rPr>
        <w:t xml:space="preserve">        (-\&gt; 6.11)</w:t>
      </w:r>
      <w:r>
        <w:br/>
      </w:r>
      <w:r>
        <w:rPr>
          <w:rStyle w:val="VerbatimChar"/>
        </w:rPr>
        <w:t xml:space="preserve">    </w:t>
      </w:r>
      <w:r>
        <w:br/>
      </w:r>
      <w:r>
        <w:rPr>
          <w:rStyle w:val="VerbatimChar"/>
        </w:rPr>
        <w:t xml:space="preserve">    -       EXP36-C. Do not cast pointers into more strictly aligned pointer</w:t>
      </w:r>
      <w:r>
        <w:br/>
      </w:r>
      <w:r>
        <w:rPr>
          <w:rStyle w:val="VerbatimChar"/>
        </w:rPr>
        <w:t xml:space="preserve">        types (-\&gt; 6.11)</w:t>
      </w:r>
      <w:r>
        <w:br/>
      </w:r>
      <w:r>
        <w:rPr>
          <w:rStyle w:val="VerbatimChar"/>
        </w:rPr>
        <w:t xml:space="preserve">    </w:t>
      </w:r>
      <w:r>
        <w:br/>
      </w:r>
      <w:r>
        <w:rPr>
          <w:rStyle w:val="VerbatimChar"/>
        </w:rPr>
        <w:t xml:space="preserve">    -   </w:t>
      </w:r>
      <w:r>
        <w:br/>
      </w:r>
      <w:r>
        <w:br/>
      </w:r>
      <w:r>
        <w:rPr>
          <w:rStyle w:val="VerbatimChar"/>
        </w:rPr>
        <w:t xml:space="preserve">    -       MISRA C++ 10-1-1 - Classes should not be derived from virtual</w:t>
      </w:r>
      <w:r>
        <w:br/>
      </w:r>
      <w:r>
        <w:rPr>
          <w:rStyle w:val="VerbatimChar"/>
        </w:rPr>
        <w:t xml:space="preserve">        bases.</w:t>
      </w:r>
      <w:r>
        <w:br/>
      </w:r>
      <w:r>
        <w:rPr>
          <w:rStyle w:val="VerbatimChar"/>
        </w:rPr>
        <w:t xml:space="preserve">    </w:t>
      </w:r>
      <w:r>
        <w:br/>
      </w:r>
      <w:r>
        <w:rPr>
          <w:rStyle w:val="VerbatimChar"/>
        </w:rPr>
        <w:t xml:space="preserve">--&gt;</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6"/>
        </w:numPr>
      </w:pPr>
      <w:r>
        <w:t xml:space="preserve">Follow the guidance of clause 6.8.2. with respect to ordinary pointer arithmetic of a pointer to object.</w:t>
      </w:r>
    </w:p>
    <w:p>
      <w:pPr>
        <w:numPr>
          <w:ilvl w:val="0"/>
          <w:numId w:val="1036"/>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6"/>
        </w:numPr>
      </w:pPr>
      <w:r>
        <w:t xml:space="preserve">Compare pointers of unknown realm with the standard library comparison function objects instead of relational operators.</w:t>
      </w:r>
    </w:p>
    <w:p>
      <w:pPr>
        <w:numPr>
          <w:ilvl w:val="0"/>
          <w:numId w:val="1036"/>
        </w:numPr>
      </w:pPr>
      <w:r>
        <w:t xml:space="preserve">Consider an outright ban on pointer arithmetic due to the</w:t>
      </w:r>
      <w:r>
        <w:t xml:space="preserve"> </w:t>
      </w:r>
      <w:r>
        <w:t xml:space="preserve">error-prone nature of pointer arithmetic.</w:t>
      </w:r>
    </w:p>
    <w:p>
      <w:pPr>
        <w:numPr>
          <w:ilvl w:val="0"/>
          <w:numId w:val="1036"/>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Consider using alternative tokens for the logical operators.</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Do not have conflicting side-effects in sub-expressions.</w:t>
      </w:r>
    </w:p>
    <w:p>
      <w:pPr>
        <w:numPr>
          <w:ilvl w:val="0"/>
          <w:numId w:val="1057"/>
        </w:numPr>
      </w:pPr>
      <w:r>
        <w:t xml:space="preserve">Follow the following C++ Core guidelines:</w:t>
      </w:r>
    </w:p>
    <w:p>
      <w:pPr>
        <w:numPr>
          <w:ilvl w:val="1"/>
          <w:numId w:val="1059"/>
        </w:numPr>
        <w:pStyle w:val="Compact"/>
      </w:pPr>
      <w:r>
        <w:t xml:space="preserve">ES 40 Avoid complicated expressions</w:t>
      </w:r>
    </w:p>
    <w:p>
      <w:pPr>
        <w:numPr>
          <w:ilvl w:val="1"/>
          <w:numId w:val="1059"/>
        </w:numPr>
        <w:pStyle w:val="Compact"/>
      </w:pPr>
      <w:r>
        <w:t xml:space="preserve">ES 41 If in doubt about operator precedence, parenthesize</w:t>
      </w:r>
    </w:p>
    <w:p>
      <w:pPr>
        <w:numPr>
          <w:ilvl w:val="1"/>
          <w:numId w:val="1059"/>
        </w:numPr>
        <w:pStyle w:val="Compact"/>
      </w:pPr>
      <w:r>
        <w:t xml:space="preserve">ES 44 Do not depend on order of evaluation</w:t>
      </w:r>
    </w:p>
    <w:p>
      <w:pPr>
        <w:numPr>
          <w:ilvl w:val="0"/>
          <w:numId w:val="1057"/>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60"/>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1"/>
        </w:numPr>
      </w:pPr>
      <w:r>
        <w:t xml:space="preserve">Apply the guidance provided in ISO/IEC TR 24772-1:2019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2"/>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3"/>
        </w:numPr>
      </w:pPr>
      <w:r>
        <w:t xml:space="preserve">Declare loop variables in the initializer of the loop statement</w:t>
      </w:r>
    </w:p>
    <w:p>
      <w:pPr>
        <w:numPr>
          <w:ilvl w:val="0"/>
          <w:numId w:val="1063"/>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4"/>
        </w:numPr>
      </w:pPr>
      <w:r>
        <w:t xml:space="preserve">Apply the guidance of ISO/IEC TR 24772-1:2019 clause 6.29.5.</w:t>
      </w:r>
    </w:p>
    <w:p>
      <w:pPr>
        <w:numPr>
          <w:ilvl w:val="0"/>
          <w:numId w:val="1064"/>
        </w:numPr>
      </w:pPr>
      <w:r>
        <w:t xml:space="preserve">Do not modify a loop control variable within a loop.</w:t>
      </w:r>
    </w:p>
    <w:p>
      <w:pPr>
        <w:numPr>
          <w:ilvl w:val="0"/>
          <w:numId w:val="1064"/>
        </w:numPr>
      </w:pPr>
      <w:r>
        <w:t xml:space="preserve">Use a range-for loop in preference to general loops.</w:t>
      </w:r>
    </w:p>
    <w:p>
      <w:pPr>
        <w:numPr>
          <w:ilvl w:val="0"/>
          <w:numId w:val="106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5"/>
        </w:numPr>
      </w:pPr>
      <w:r>
        <w:t xml:space="preserve">Range-based for loops</w:t>
      </w:r>
    </w:p>
    <w:p>
      <w:pPr>
        <w:numPr>
          <w:ilvl w:val="0"/>
          <w:numId w:val="1065"/>
        </w:numPr>
      </w:pPr>
      <w:r>
        <w:rPr>
          <w:rStyle w:val="NormalTok"/>
        </w:rPr>
        <w:t xml:space="preserve">std</w:t>
      </w:r>
      <w:r>
        <w:t xml:space="preserve"> </w:t>
      </w:r>
      <w:r>
        <w:t xml:space="preserve">algorithms</w:t>
      </w:r>
    </w:p>
    <w:p>
      <w:pPr>
        <w:numPr>
          <w:ilvl w:val="0"/>
          <w:numId w:val="1065"/>
        </w:numPr>
      </w:pPr>
      <w:r>
        <w:t xml:space="preserve">Iterator style loops terminated by</w:t>
      </w:r>
      <w:r>
        <w:t xml:space="preserve"> </w:t>
      </w:r>
      <w:r>
        <w:rPr>
          <w:rStyle w:val="NormalTok"/>
        </w:rPr>
        <w:t xml:space="preserve">!=</w:t>
      </w:r>
    </w:p>
    <w:p>
      <w:pPr>
        <w:numPr>
          <w:ilvl w:val="0"/>
          <w:numId w:val="1065"/>
        </w:numPr>
      </w:pPr>
      <w:r>
        <w:t xml:space="preserve">Container classes</w:t>
      </w:r>
    </w:p>
    <w:p>
      <w:pPr>
        <w:numPr>
          <w:ilvl w:val="0"/>
          <w:numId w:val="106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6"/>
        </w:numPr>
      </w:pPr>
      <w:r>
        <w:t xml:space="preserve">Follow the guidance of ISO/IEC TR 24772-1:2019 clause 6.30.5.</w:t>
      </w:r>
    </w:p>
    <w:p>
      <w:pPr>
        <w:numPr>
          <w:ilvl w:val="0"/>
          <w:numId w:val="1066"/>
        </w:numPr>
      </w:pPr>
      <w:r>
        <w:t xml:space="preserve">Use careful programming, testing of border conditions, and static</w:t>
      </w:r>
      <w:r>
        <w:t xml:space="preserve"> </w:t>
      </w:r>
      <w:r>
        <w:t xml:space="preserve">analysis tools to detect off-by-one errors in C++.</w:t>
      </w:r>
    </w:p>
    <w:p>
      <w:pPr>
        <w:numPr>
          <w:ilvl w:val="0"/>
          <w:numId w:val="106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7"/>
        </w:numPr>
      </w:pPr>
      <w:r>
        <w:t xml:space="preserve">Write clear and concise structured code to make code as</w:t>
      </w:r>
      <w:r>
        <w:t xml:space="preserve"> </w:t>
      </w:r>
      <w:r>
        <w:t xml:space="preserve">understandable as possible.</w:t>
      </w:r>
    </w:p>
    <w:p>
      <w:pPr>
        <w:numPr>
          <w:ilvl w:val="0"/>
          <w:numId w:val="1067"/>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8"/>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9"/>
        </w:numPr>
        <w:pStyle w:val="Compact"/>
      </w:pPr>
      <w:r>
        <w:t xml:space="preserve">without a qualification a member function can be called on rvalues and non-const lvalues, and</w:t>
      </w:r>
    </w:p>
    <w:p>
      <w:pPr>
        <w:numPr>
          <w:ilvl w:val="0"/>
          <w:numId w:val="1069"/>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70"/>
        </w:numPr>
      </w:pPr>
      <w:r>
        <w:t xml:space="preserve">Follow the advice of ISO/IEC TR 24772-1:2019 clause 6.32.5.</w:t>
      </w:r>
    </w:p>
    <w:p>
      <w:pPr>
        <w:numPr>
          <w:ilvl w:val="0"/>
          <w:numId w:val="1070"/>
        </w:numPr>
      </w:pPr>
      <w:r>
        <w:t xml:space="preserve">Prefer pass-by-value and pass-by-const-reference over other means of</w:t>
      </w:r>
      <w:r>
        <w:t xml:space="preserve"> </w:t>
      </w:r>
      <w:r>
        <w:t xml:space="preserve">parameter declaration.</w:t>
      </w:r>
    </w:p>
    <w:p>
      <w:pPr>
        <w:numPr>
          <w:ilvl w:val="0"/>
          <w:numId w:val="1070"/>
        </w:numPr>
      </w:pPr>
      <w:r>
        <w:t xml:space="preserve">Prefer reference parameters over corresponding pointer parameters.</w:t>
      </w:r>
    </w:p>
    <w:p>
      <w:pPr>
        <w:numPr>
          <w:ilvl w:val="0"/>
          <w:numId w:val="1070"/>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0"/>
        </w:numPr>
      </w:pPr>
      <w:r>
        <w:t xml:space="preserve">Always reassign a variable passed by rvalue-reference before subsequent use after the call.</w:t>
      </w:r>
    </w:p>
    <w:p>
      <w:pPr>
        <w:numPr>
          <w:ilvl w:val="0"/>
          <w:numId w:val="1070"/>
        </w:numPr>
      </w:pPr>
      <w:r>
        <w:t xml:space="preserve">Use forwarding reference parameters only,</w:t>
      </w:r>
      <w:r>
        <w:t xml:space="preserve"> </w:t>
      </w:r>
      <w:r>
        <w:t xml:space="preserve">if perfect forwarding is needed in the body of a function template or generic lambda.</w:t>
      </w:r>
    </w:p>
    <w:p>
      <w:pPr>
        <w:numPr>
          <w:ilvl w:val="0"/>
          <w:numId w:val="1070"/>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0"/>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0"/>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1"/>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1"/>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1"/>
        </w:numPr>
      </w:pPr>
      <w:r>
        <w:t xml:space="preserve">Shift operators used for input and output: the result always refers</w:t>
      </w:r>
      <w:r>
        <w:t xml:space="preserve"> </w:t>
      </w:r>
      <w:r>
        <w:t xml:space="preserve">to the left parameter.</w:t>
      </w:r>
    </w:p>
    <w:p>
      <w:pPr>
        <w:numPr>
          <w:ilvl w:val="1"/>
          <w:numId w:val="1071"/>
        </w:numPr>
      </w:pPr>
      <w:r>
        <w:t xml:space="preserve">Prefix increment and decrement operators: the result always refers</w:t>
      </w:r>
      <w:r>
        <w:t xml:space="preserve"> </w:t>
      </w:r>
      <w:r>
        <w:t xml:space="preserve">to the parameter.</w:t>
      </w:r>
    </w:p>
    <w:p>
      <w:pPr>
        <w:numPr>
          <w:ilvl w:val="0"/>
          <w:numId w:val="1070"/>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2"/>
        </w:numPr>
      </w:pPr>
      <w:r>
        <w:t xml:space="preserve">Do not returning the address or reference of a local variable as the result of a</w:t>
      </w:r>
      <w:r>
        <w:t xml:space="preserve"> </w:t>
      </w:r>
      <w:r>
        <w:t xml:space="preserve">function call.</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2"/>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7"/>
        </w:numPr>
      </w:pPr>
      <w:r>
        <w:t xml:space="preserve">Avoid error handling based on global state.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7"/>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7"/>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7"/>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7"/>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7"/>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cause object slicing</w:t>
      </w:r>
      <w:r>
        <w:t xml:space="preserve"> </w:t>
      </w:r>
      <w:r>
        <w:t xml:space="preserve">when a copy of a base class object is created from a derived class object.</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4"/>
        </w:numPr>
      </w:pPr>
      <w:r>
        <w:t xml:space="preserve">Follow the advice provided in ISO/IEC 24772-1 clause 6.44.5.</w:t>
      </w:r>
    </w:p>
    <w:p>
      <w:pPr>
        <w:numPr>
          <w:ilvl w:val="0"/>
          <w:numId w:val="110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4"/>
        </w:numPr>
      </w:pPr>
      <w:r>
        <w:t xml:space="preserve">Avoid designs relying on downcasts or crosscasts;</w:t>
      </w:r>
      <w:r>
        <w:t xml:space="preserve"> </w:t>
      </w:r>
      <w:r>
        <w:t xml:space="preserve">rely on proper virtual member functions in the base classes instead.</w:t>
      </w:r>
    </w:p>
    <w:p>
      <w:pPr>
        <w:numPr>
          <w:ilvl w:val="0"/>
          <w:numId w:val="1104"/>
        </w:numPr>
      </w:pPr>
      <w:r>
        <w:t xml:space="preserve">Avoid explicit upcast, rely on implicit conversion.</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6"/>
        </w:numPr>
      </w:pPr>
      <w:r>
        <w:t xml:space="preserve">Follow the guidelines of ISO/IEC TR 24772-1 clause 6.47.5.</w:t>
      </w:r>
    </w:p>
    <w:p>
      <w:pPr>
        <w:numPr>
          <w:ilvl w:val="0"/>
          <w:numId w:val="110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7"/>
        </w:numPr>
      </w:pPr>
      <w:r>
        <w:t xml:space="preserve">Follow the guidance contained in ISO/IEC TR 24772-1:2019 clause</w:t>
      </w:r>
      <w:r>
        <w:t xml:space="preserve"> </w:t>
      </w:r>
      <w:r>
        <w:t xml:space="preserve">6.47.5</w:t>
      </w:r>
    </w:p>
    <w:p>
      <w:pPr>
        <w:numPr>
          <w:ilvl w:val="0"/>
          <w:numId w:val="1107"/>
        </w:numPr>
      </w:pPr>
      <w:r>
        <w:t xml:space="preserve">Use standard layout types for the interoperable interfaces.</w:t>
      </w:r>
    </w:p>
    <w:p>
      <w:pPr>
        <w:numPr>
          <w:ilvl w:val="1"/>
          <w:numId w:val="110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7"/>
        </w:numPr>
      </w:pPr>
      <w:r>
        <w:t xml:space="preserve">Be aware that C++ exceptions are not usually compatible with</w:t>
      </w:r>
      <w:r>
        <w:t xml:space="preserve"> </w:t>
      </w:r>
      <w:r>
        <w:t xml:space="preserve">exceptions in other languages.</w:t>
      </w:r>
    </w:p>
    <w:p>
      <w:pPr>
        <w:numPr>
          <w:ilvl w:val="0"/>
          <w:numId w:val="110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9"/>
        </w:numPr>
      </w:pPr>
      <w:r>
        <w:t xml:space="preserve">Follow the guidance of ISO/IEC TR 24772-1:2019 clause 6.49.5.</w:t>
      </w:r>
    </w:p>
    <w:p>
      <w:pPr>
        <w:numPr>
          <w:ilvl w:val="0"/>
          <w:numId w:val="110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0"/>
        </w:numPr>
      </w:pPr>
      <w:r>
        <w:t xml:space="preserve">Follow the advice of clause 6.36.2 for catching and handling</w:t>
      </w:r>
      <w:r>
        <w:t xml:space="preserve"> </w:t>
      </w:r>
      <w:r>
        <w:t xml:space="preserve">exceptions.</w:t>
      </w:r>
    </w:p>
    <w:p>
      <w:pPr>
        <w:numPr>
          <w:ilvl w:val="0"/>
          <w:numId w:val="1110"/>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1"/>
        </w:numPr>
      </w:pPr>
      <w:r>
        <w:t xml:space="preserve">If a function-like macro must be used, ensure that its</w:t>
      </w:r>
      <w:r>
        <w:t xml:space="preserve"> </w:t>
      </w:r>
      <w:r>
        <w:t xml:space="preserve">parameters and body are parenthesized.</w:t>
      </w:r>
    </w:p>
    <w:p>
      <w:pPr>
        <w:numPr>
          <w:ilvl w:val="0"/>
          <w:numId w:val="1111"/>
        </w:numPr>
      </w:pPr>
      <w:r>
        <w:t xml:space="preserve">In a function-like macro, ensure that each argument is evaluated at</w:t>
      </w:r>
      <w:r>
        <w:t xml:space="preserve"> </w:t>
      </w:r>
      <w:r>
        <w:t xml:space="preserve">most once.</w:t>
      </w:r>
    </w:p>
    <w:p>
      <w:pPr>
        <w:numPr>
          <w:ilvl w:val="0"/>
          <w:numId w:val="111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2"/>
        </w:numPr>
      </w:pPr>
      <w:r>
        <w:t xml:space="preserve">Follow the guidelines of ISO/IEC TR 24772-1:2019 clause 6.53.5.</w:t>
      </w:r>
    </w:p>
    <w:p>
      <w:pPr>
        <w:numPr>
          <w:ilvl w:val="0"/>
          <w:numId w:val="1112"/>
        </w:numPr>
      </w:pPr>
      <w:r>
        <w:t xml:space="preserve">Enable checks that warn about unsafe operations.</w:t>
      </w:r>
    </w:p>
    <w:p>
      <w:pPr>
        <w:numPr>
          <w:ilvl w:val="0"/>
          <w:numId w:val="111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4"/>
        </w:numPr>
      </w:pPr>
      <w:r>
        <w:t xml:space="preserve">Follow the guidelines of ISO/IEC TR 24772-1:2019 clause 6.56.5.</w:t>
      </w:r>
    </w:p>
    <w:p>
      <w:pPr>
        <w:numPr>
          <w:ilvl w:val="0"/>
          <w:numId w:val="1114"/>
        </w:numPr>
      </w:pPr>
      <w:r>
        <w:t xml:space="preserve">Augment static analysis tool usage with runtime tools such as ASAN</w:t>
      </w:r>
      <w:r>
        <w:t xml:space="preserve"> </w:t>
      </w:r>
      <w:r>
        <w:t xml:space="preserve">(address sanitizer) and related tools.</w:t>
      </w:r>
    </w:p>
    <w:p>
      <w:pPr>
        <w:numPr>
          <w:ilvl w:val="0"/>
          <w:numId w:val="1114"/>
        </w:numPr>
      </w:pPr>
      <w:r>
        <w:t xml:space="preserve">Use static analysis tools to help identify occurrences of undefined</w:t>
      </w:r>
      <w:r>
        <w:t xml:space="preserve"> </w:t>
      </w:r>
      <w:r>
        <w:t xml:space="preserve">behaviour.</w:t>
      </w:r>
    </w:p>
    <w:p>
      <w:pPr>
        <w:numPr>
          <w:ilvl w:val="0"/>
          <w:numId w:val="111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5"/>
        </w:numPr>
      </w:pPr>
      <w:r>
        <w:t xml:space="preserve">Follow the guidelines of ISO/IEC TR 24772-1:2019 clause 6.57.5.</w:t>
      </w:r>
    </w:p>
    <w:p>
      <w:pPr>
        <w:numPr>
          <w:ilvl w:val="0"/>
          <w:numId w:val="111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5"/>
        </w:numPr>
      </w:pPr>
      <w:r>
        <w:t xml:space="preserve">Use multiple compilers/tools to increase your chance of identifying</w:t>
      </w:r>
      <w:r>
        <w:t xml:space="preserve"> </w:t>
      </w:r>
      <w:r>
        <w:t xml:space="preserve">constructs that have implementation-defined behaviours.</w:t>
      </w:r>
    </w:p>
    <w:p>
      <w:pPr>
        <w:numPr>
          <w:ilvl w:val="0"/>
          <w:numId w:val="111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6"/>
        </w:numPr>
      </w:pPr>
      <w:r>
        <w:t xml:space="preserve">Follow the guidelines of ISO/IEC TR 24772-1 clause 6.58.5.</w:t>
      </w:r>
    </w:p>
    <w:p>
      <w:pPr>
        <w:numPr>
          <w:ilvl w:val="0"/>
          <w:numId w:val="1116"/>
        </w:numPr>
      </w:pPr>
      <w:r>
        <w:t xml:space="preserve">Enable compiler options or static analysis tools that identify the</w:t>
      </w:r>
      <w:r>
        <w:t xml:space="preserve"> </w:t>
      </w:r>
      <w:r>
        <w:t xml:space="preserve">use of deprecated features.</w:t>
      </w:r>
    </w:p>
    <w:p>
      <w:pPr>
        <w:numPr>
          <w:ilvl w:val="0"/>
          <w:numId w:val="111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7"/>
        </w:numPr>
        <w:pStyle w:val="Compact"/>
      </w:pPr>
      <w:r>
        <w:t xml:space="preserve">6.61 Concurrent Data Access,</w:t>
      </w:r>
    </w:p>
    <w:p>
      <w:pPr>
        <w:numPr>
          <w:ilvl w:val="0"/>
          <w:numId w:val="1117"/>
        </w:numPr>
        <w:pStyle w:val="Compact"/>
      </w:pPr>
      <w:r>
        <w:t xml:space="preserve">6.14 and 6.33 dangling of data reference, if data is passed to the thread function as reference or pointer, instead of passing a copy.</w:t>
      </w:r>
    </w:p>
    <w:p>
      <w:pPr>
        <w:numPr>
          <w:ilvl w:val="0"/>
          <w:numId w:val="111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9"/>
        </w:numPr>
      </w:pPr>
      <w:r>
        <w:t xml:space="preserve">Follow the guidance of ISO/IEC TR 24772-1 clause 6.62.5.</w:t>
      </w:r>
    </w:p>
    <w:p>
      <w:pPr>
        <w:numPr>
          <w:ilvl w:val="0"/>
          <w:numId w:val="1119"/>
        </w:numPr>
      </w:pPr>
      <w:r>
        <w:t xml:space="preserve">Use mutexes, condition variables (convar) in preference to atomic</w:t>
      </w:r>
      <w:r>
        <w:t xml:space="preserve"> </w:t>
      </w:r>
      <w:r>
        <w:t xml:space="preserve">variables to protect data from simultaneous access.</w:t>
      </w:r>
    </w:p>
    <w:p>
      <w:pPr>
        <w:numPr>
          <w:ilvl w:val="0"/>
          <w:numId w:val="1119"/>
        </w:numPr>
      </w:pPr>
      <w:r>
        <w:t xml:space="preserve">Use volatile only for synchronizing abstract machine state from</w:t>
      </w:r>
      <w:r>
        <w:t xml:space="preserve"> </w:t>
      </w:r>
      <w:r>
        <w:t xml:space="preserve">memory.</w:t>
      </w:r>
    </w:p>
    <w:p>
      <w:pPr>
        <w:numPr>
          <w:ilvl w:val="0"/>
          <w:numId w:val="1119"/>
        </w:numPr>
      </w:pPr>
      <w:r>
        <w:t xml:space="preserve">Avoid the use of volatile for synchronizing access to shared memory</w:t>
      </w:r>
      <w:r>
        <w:t xml:space="preserve"> </w:t>
      </w:r>
      <w:r>
        <w:t xml:space="preserve">between threads (which needs mutex, condvar, or atomics)</w:t>
      </w:r>
    </w:p>
    <w:p>
      <w:pPr>
        <w:numPr>
          <w:ilvl w:val="1"/>
          <w:numId w:val="112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9"/>
        </w:numPr>
      </w:pPr>
      <w:r>
        <w:t xml:space="preserve">Avoid relaxed atomic operations whenever possible. Prefer the</w:t>
      </w:r>
      <w:r>
        <w:t xml:space="preserve"> </w:t>
      </w:r>
      <w:r>
        <w:t xml:space="preserve">sequentially consistent std::memory_order_seq_cst instead .</w:t>
      </w:r>
    </w:p>
    <w:p>
      <w:pPr>
        <w:numPr>
          <w:ilvl w:val="0"/>
          <w:numId w:val="1119"/>
        </w:numPr>
      </w:pPr>
      <w:r>
        <w:t xml:space="preserve">Use mutexes appropriately to protect accesses to non-atomic shared</w:t>
      </w:r>
      <w:r>
        <w:t xml:space="preserve"> </w:t>
      </w:r>
      <w:r>
        <w:t xml:space="preserve">objects.</w:t>
      </w:r>
    </w:p>
    <w:p>
      <w:pPr>
        <w:numPr>
          <w:ilvl w:val="0"/>
          <w:numId w:val="111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1"/>
        </w:numPr>
      </w:pPr>
      <w:r>
        <w:t xml:space="preserve">Follow the guidelines of TR 24772-1 clause 6.63.5.</w:t>
      </w:r>
    </w:p>
    <w:p>
      <w:pPr>
        <w:numPr>
          <w:ilvl w:val="0"/>
          <w:numId w:val="1121"/>
        </w:numPr>
      </w:pPr>
      <w:r>
        <w:t xml:space="preserve">Use low-level operating system primitives or other APIs where</w:t>
      </w:r>
      <w:r>
        <w:t xml:space="preserve"> </w:t>
      </w:r>
      <w:r>
        <w:t xml:space="preserve">available to check that a required thread is still active.</w:t>
      </w:r>
    </w:p>
    <w:p>
      <w:pPr>
        <w:numPr>
          <w:ilvl w:val="0"/>
          <w:numId w:val="1121"/>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2"/>
        </w:numPr>
      </w:pPr>
      <w:r>
        <w:t xml:space="preserve">Follow the guidelines of TR 24772-1 clause 6.63.5.</w:t>
      </w:r>
    </w:p>
    <w:p>
      <w:pPr>
        <w:numPr>
          <w:ilvl w:val="0"/>
          <w:numId w:val="112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2"/>
        </w:numPr>
      </w:pPr>
      <w:r>
        <w:t xml:space="preserve">Use higher level building blocks (such as TBB) in preference to …</w:t>
      </w:r>
    </w:p>
    <w:p>
      <w:pPr>
        <w:numPr>
          <w:ilvl w:val="0"/>
          <w:numId w:val="1122"/>
        </w:numPr>
      </w:pPr>
      <w:r>
        <w:t xml:space="preserve">Use the C++ Task mechanism in preference to threads …</w:t>
      </w:r>
    </w:p>
    <w:p>
      <w:pPr>
        <w:numPr>
          <w:ilvl w:val="0"/>
          <w:numId w:val="112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2"/>
        </w:numPr>
      </w:pPr>
      <w:r>
        <w:rPr>
          <w:i/>
          <w:b/>
        </w:rPr>
        <w:t xml:space="preserve">Do not use platform specific multi-threading facilities</w:t>
      </w:r>
    </w:p>
    <w:p>
      <w:pPr>
        <w:numPr>
          <w:ilvl w:val="0"/>
          <w:numId w:val="1122"/>
        </w:numPr>
      </w:pPr>
      <w:r>
        <w:rPr>
          <w:i/>
          <w:b/>
        </w:rPr>
        <w:t xml:space="preserve">A thread shall not access objects whose lifetime has expired</w:t>
      </w:r>
    </w:p>
    <w:p>
      <w:pPr>
        <w:numPr>
          <w:ilvl w:val="0"/>
          <w:numId w:val="112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2"/>
        </w:numPr>
      </w:pPr>
      <w:r>
        <w:t xml:space="preserve">0.10.2 [36] Source CCG Rule CP.101: Distrust your</w:t>
      </w:r>
      <w:r>
        <w:t xml:space="preserve"> </w:t>
      </w:r>
      <w:r>
        <w:t xml:space="preserve">hardware/compiler combination</w:t>
      </w:r>
    </w:p>
    <w:p>
      <w:pPr>
        <w:numPr>
          <w:ilvl w:val="0"/>
          <w:numId w:val="1122"/>
        </w:numPr>
      </w:pPr>
      <w:r>
        <w:t xml:space="preserve">0.10.3 [37] Source CCG Rule CP.102: Carefully study the literature</w:t>
      </w:r>
    </w:p>
    <w:p>
      <w:pPr>
        <w:numPr>
          <w:ilvl w:val="0"/>
          <w:numId w:val="112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3"/>
        </w:numPr>
      </w:pPr>
      <w:r>
        <w:t xml:space="preserve">Do not cast-away</w:t>
      </w:r>
      <w:r>
        <w:t xml:space="preserve"> </w:t>
      </w:r>
      <w:r>
        <w:rPr>
          <w:rStyle w:val="AttributeTok"/>
        </w:rPr>
        <w:t xml:space="preserve">const</w:t>
      </w:r>
      <w:r>
        <w:t xml:space="preserve">.</w:t>
      </w:r>
    </w:p>
    <w:p>
      <w:pPr>
        <w:numPr>
          <w:ilvl w:val="0"/>
          <w:numId w:val="112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4"/>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2022-05-30T16:07:55Z</dcterms:created>
  <dcterms:modified xsi:type="dcterms:W3CDTF">2022-05-30T16:07:55Z</dcterms:modified>
</cp:coreProperties>
</file>

<file path=docProps/custom.xml><?xml version="1.0" encoding="utf-8"?>
<Properties xmlns="http://schemas.openxmlformats.org/officeDocument/2006/custom-properties" xmlns:vt="http://schemas.openxmlformats.org/officeDocument/2006/docPropsVTypes"/>
</file>