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5"/>
    <w:bookmarkEnd w:id="66"/>
    <w:bookmarkStart w:id="69" w:name="pointer-arithmetic-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7"/>
    <w:bookmarkStart w:id="68"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40"/>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8"/>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8"/>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Consider using alternative tokens for the logical operators.</w:t>
      </w:r>
    </w:p>
    <w:p>
      <w:pPr>
        <w:numPr>
          <w:ilvl w:val="0"/>
          <w:numId w:val="1059"/>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9"/>
        </w:numPr>
      </w:pPr>
      <w:r>
        <w:t xml:space="preserve">Do not have conflicting side-effects in sub-expressions.</w:t>
      </w:r>
    </w:p>
    <w:p>
      <w:pPr>
        <w:numPr>
          <w:ilvl w:val="0"/>
          <w:numId w:val="1059"/>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p>
      <w:pPr>
        <w:numPr>
          <w:ilvl w:val="0"/>
          <w:numId w:val="1059"/>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4"/>
        </w:numPr>
      </w:pPr>
      <w:r>
        <w:t xml:space="preserve">Do not returning the address or reference of a local variable as the result of a</w:t>
      </w:r>
      <w:r>
        <w:t xml:space="preserve"> </w:t>
      </w:r>
      <w:r>
        <w:t xml:space="preserve">function call.</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4"/>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9"/>
        </w:numPr>
      </w:pPr>
      <w:r>
        <w:t xml:space="preserve">Avoid error handling based on global state.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9"/>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9"/>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9"/>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9"/>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p>
      <w:pPr>
        <w:numPr>
          <w:ilvl w:val="0"/>
          <w:numId w:val="112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2022-04-19T15:51:17Z</dcterms:created>
  <dcterms:modified xsi:type="dcterms:W3CDTF">2022-04-19T15:51:17Z</dcterms:modified>
</cp:coreProperties>
</file>

<file path=docProps/custom.xml><?xml version="1.0" encoding="utf-8"?>
<Properties xmlns="http://schemas.openxmlformats.org/officeDocument/2006/custom-properties" xmlns:vt="http://schemas.openxmlformats.org/officeDocument/2006/docPropsVTypes"/>
</file>