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so the compiler provides suitable mapping and manipulation operations.</w:t>
      </w:r>
      <w:r>
        <w:t xml:space="preserve"> </w:t>
      </w:r>
      <w:r>
        <w:t xml:space="preserve">A further complication is that accessing a bitfield can not easily performed atomically, because the non-participating bits of a memory location need to be read before the relevant bits can be mutated through masking and the whole word written again.</w:t>
      </w:r>
      <w:r>
        <w:t xml:space="preserve"> </w:t>
      </w:r>
      <w:r>
        <w:t xml:space="preserve">It is possible to simulate bitfields with a defined layout through library class types that implement the required masking operations. 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no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unsigend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bitmaks values employed in bit operations, it is advisable to put the corresponding named constants in an enumeration type with the appropriate underlying type for easier recall.</w:t>
      </w:r>
    </w:p>
    <w:p>
      <w:pPr>
        <w:pStyle w:val="BodyText"/>
      </w:pPr>
      <w:r>
        <w:t xml:space="preserve">While technically a bit shift of an integral value can be viewed as a multiplication or division by a power of two, it should not be used in arithmetic expression to implement such a multiplication.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w:t>
      </w:r>
      <w:r>
        <w:t xml:space="preserve"> </w:t>
      </w:r>
      <w:r>
        <w:rPr>
          <w:rStyle w:val="BuiltInTok"/>
        </w:rPr>
        <w:t xml:space="preserve">std::</w:t>
      </w:r>
      <w:r>
        <w:rPr>
          <w:rStyle w:val="NormalTok"/>
        </w:rPr>
        <w:t xml:space="preserve">bit_cast</w:t>
      </w:r>
      <w:r>
        <w:t xml:space="preserve"> </w:t>
      </w:r>
      <w:r>
        <w:t xml:space="preserve">can be used to reinterpret suitably sized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Padding bits or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 with a</w:t>
      </w:r>
      <w:r>
        <w:t xml:space="preserve"> </w:t>
      </w:r>
      <w:r>
        <w:rPr>
          <w:rStyle w:val="VerbatimChar"/>
        </w:rPr>
        <w:t xml:space="preserve">bit_cast</w:t>
      </w:r>
      <w:r>
        <w:t xml:space="preserve"> </w:t>
      </w:r>
      <w:r>
        <w:t xml:space="preserve">mechanism.</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mixing bitwise operations with arithmetic operations in the same expression.</w:t>
      </w:r>
    </w:p>
    <w:p>
      <w:pPr>
        <w:numPr>
          <w:ilvl w:val="0"/>
          <w:numId w:val="1011"/>
        </w:numPr>
      </w:pPr>
      <w:r>
        <w:t xml:space="preserve">Avoid the use of shift operations to implement multiplications or division by powers of two.</w:t>
      </w:r>
    </w:p>
    <w:p>
      <w:pPr>
        <w:numPr>
          <w:ilvl w:val="0"/>
          <w:numId w:val="1011"/>
        </w:numPr>
      </w:pPr>
      <w:r>
        <w:t xml:space="preserve">Use bitwise operations only with operands of unsigned integral types with known width or enums with such an underlying type.</w:t>
      </w:r>
    </w:p>
    <w:p>
      <w:pPr>
        <w:numPr>
          <w:ilvl w:val="0"/>
          <w:numId w:val="1011"/>
        </w:numPr>
      </w:pPr>
      <w:r>
        <w:t xml:space="preserve">When performing bitwise operations on operands of unsigned type that gets promoted to a signed integral type, cast the result to the corresponding unsigned type immediately.</w:t>
      </w:r>
    </w:p>
    <w:p>
      <w:pPr>
        <w:numPr>
          <w:ilvl w:val="0"/>
          <w:numId w:val="1011"/>
        </w:numPr>
      </w:pPr>
      <w:r>
        <w:t xml:space="preserve">Take extra care when computing the right-hand operand of a shift operation, so that its value is not greater than the number of bits the left-hand operand has. Use static analysis tools or other means to prove that the right hand operand of the shift is not out of bounds.</w:t>
      </w:r>
    </w:p>
    <w:p>
      <w:pPr>
        <w:numPr>
          <w:ilvl w:val="0"/>
          <w:numId w:val="1011"/>
        </w:numPr>
      </w:pPr>
      <w:r>
        <w:t xml:space="preserve">Prefer</w:t>
      </w:r>
      <w:r>
        <w:t xml:space="preserve"> </w:t>
      </w:r>
      <w:r>
        <w:rPr>
          <w:rStyle w:val="VerbatimChar"/>
        </w:rPr>
        <w:t xml:space="preserve">bit_cast</w:t>
      </w:r>
      <w:r>
        <w:t xml:space="preserve"> </w:t>
      </w:r>
      <w:r>
        <w:t xml:space="preserve">over</w:t>
      </w:r>
      <w:r>
        <w:t xml:space="preserve"> </w:t>
      </w:r>
      <w:r>
        <w:rPr>
          <w:rStyle w:val="VerbatimChar"/>
        </w:rPr>
        <w:t xml:space="preserve">reinterpret_cast</w:t>
      </w:r>
      <w:r>
        <w:t xml:space="preserve"> </w:t>
      </w:r>
      <w:r>
        <w:t xml:space="preserve">or other means to access the binary representation of an object.</w:t>
      </w:r>
    </w:p>
    <w:p>
      <w:pPr>
        <w:pStyle w:val="FirstParagraph"/>
      </w:pPr>
      <w:r>
        <w:t xml:space="preserve">CERT INT34-C</w:t>
      </w:r>
    </w:p>
    <w:p>
      <w:pPr>
        <w:numPr>
          <w:ilvl w:val="0"/>
          <w:numId w:val="1012"/>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2"/>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2"/>
        </w:numPr>
      </w:pPr>
      <w:r>
        <w:t xml:space="preserve">Do not create a bit-field of a signed type and size one.</w:t>
      </w:r>
    </w:p>
    <w:p>
      <w:pPr>
        <w:pStyle w:val="FirstParagraph"/>
      </w:pPr>
      <w:r>
        <w:t xml:space="preserve">See AUTOSAR A9-6-1</w:t>
      </w:r>
    </w:p>
    <w:p>
      <w:pPr>
        <w:numPr>
          <w:ilvl w:val="0"/>
          <w:numId w:val="1013"/>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3"/>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3"/>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4"/>
        </w:numPr>
      </w:pPr>
      <w:r>
        <w:t xml:space="preserve">Follow the general advice of ISO/IEC TR 24772-1:2019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5"/>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C++ 28.5.5</w:t>
      </w:r>
    </w:p>
    <w:p>
      <w:pPr>
        <w:numPr>
          <w:ilvl w:val="0"/>
          <w:numId w:val="1015"/>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5"/>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7"/>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8"/>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5"/>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9"/>
        </w:numPr>
        <w:pStyle w:val="Compact"/>
      </w:pPr>
      <w:r>
        <w:t xml:space="preserve">type conversion operator</w:t>
      </w:r>
    </w:p>
    <w:p>
      <w:pPr>
        <w:numPr>
          <w:ilvl w:val="1"/>
          <w:numId w:val="1020"/>
        </w:numPr>
        <w:pStyle w:val="Compact"/>
      </w:pPr>
      <w:r>
        <w:rPr>
          <w:rStyle w:val="KeywordTok"/>
        </w:rPr>
        <w:t xml:space="preserve">static_cast</w:t>
      </w:r>
      <w:r>
        <w:t xml:space="preserve">,</w:t>
      </w:r>
    </w:p>
    <w:p>
      <w:pPr>
        <w:numPr>
          <w:ilvl w:val="1"/>
          <w:numId w:val="1020"/>
        </w:numPr>
        <w:pStyle w:val="Compact"/>
      </w:pPr>
      <w:r>
        <w:rPr>
          <w:rStyle w:val="KeywordTok"/>
        </w:rPr>
        <w:t xml:space="preserve">const_cast</w:t>
      </w:r>
      <w:r>
        <w:t xml:space="preserve">,</w:t>
      </w:r>
    </w:p>
    <w:p>
      <w:pPr>
        <w:numPr>
          <w:ilvl w:val="1"/>
          <w:numId w:val="1020"/>
        </w:numPr>
        <w:pStyle w:val="Compact"/>
      </w:pPr>
      <w:r>
        <w:rPr>
          <w:rStyle w:val="KeywordTok"/>
        </w:rPr>
        <w:t xml:space="preserve">dynamic_cast</w:t>
      </w:r>
      <w:r>
        <w:t xml:space="preserve">,</w:t>
      </w:r>
    </w:p>
    <w:p>
      <w:pPr>
        <w:numPr>
          <w:ilvl w:val="1"/>
          <w:numId w:val="1020"/>
        </w:numPr>
        <w:pStyle w:val="Compact"/>
      </w:pPr>
      <w:r>
        <w:rPr>
          <w:rStyle w:val="KeywordTok"/>
        </w:rPr>
        <w:t xml:space="preserve">reinterpret_cast</w:t>
      </w:r>
      <w:r>
        <w:t xml:space="preserve">),</w:t>
      </w:r>
    </w:p>
    <w:p>
      <w:pPr>
        <w:numPr>
          <w:ilvl w:val="0"/>
          <w:numId w:val="1019"/>
        </w:numPr>
        <w:pStyle w:val="Compact"/>
      </w:pPr>
      <w:r>
        <w:t xml:space="preserve">constructor notation with</w:t>
      </w:r>
    </w:p>
    <w:p>
      <w:pPr>
        <w:numPr>
          <w:ilvl w:val="1"/>
          <w:numId w:val="1021"/>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1"/>
        </w:numPr>
        <w:pStyle w:val="Compact"/>
      </w:pPr>
      <w:r>
        <w:t xml:space="preserve">braces (e.g., int{</w:t>
      </w:r>
      <w:r>
        <w:t xml:space="preserve">‘</w:t>
      </w:r>
      <w:r>
        <w:t xml:space="preserve">a</w:t>
      </w:r>
      <w:r>
        <w:t xml:space="preserve">’</w:t>
      </w:r>
      <w:r>
        <w:t xml:space="preserve">}) which prevents narrowing conversions, or</w:t>
      </w:r>
    </w:p>
    <w:p>
      <w:pPr>
        <w:numPr>
          <w:ilvl w:val="0"/>
          <w:numId w:val="1019"/>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and type punning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2"/>
        </w:numPr>
      </w:pPr>
      <w:r>
        <w:t xml:space="preserve">Avoid widening the result of an arithmetic operation; prefer instead to widen the type of one or more of the operands</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2"/>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5"/>
        </w:numPr>
        <w:pStyle w:val="Compact"/>
      </w:pPr>
      <w:r>
        <w:t xml:space="preserve">wrong input range #1, e.g., passing unrelated iterators,</w:t>
      </w:r>
    </w:p>
    <w:p>
      <w:pPr>
        <w:numPr>
          <w:ilvl w:val="0"/>
          <w:numId w:val="1025"/>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6"/>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6"/>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6"/>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6"/>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6"/>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7"/>
        </w:numPr>
        <w:pStyle w:val="Compact"/>
      </w:pPr>
      <w:hyperlink r:id="rId50">
        <w:r>
          <w:rPr>
            <w:rStyle w:val="Hyperlink"/>
          </w:rPr>
          <w:t xml:space="preserve">SEI CTR50-CPP</w:t>
        </w:r>
      </w:hyperlink>
    </w:p>
    <w:p>
      <w:pPr>
        <w:numPr>
          <w:ilvl w:val="0"/>
          <w:numId w:val="1027"/>
        </w:numPr>
        <w:pStyle w:val="Compact"/>
      </w:pPr>
      <w:hyperlink r:id="rId51">
        <w:r>
          <w:rPr>
            <w:rStyle w:val="Hyperlink"/>
          </w:rPr>
          <w:t xml:space="preserve">SEI CTR53-CPP</w:t>
        </w:r>
      </w:hyperlink>
    </w:p>
    <w:p>
      <w:pPr>
        <w:numPr>
          <w:ilvl w:val="0"/>
          <w:numId w:val="1027"/>
        </w:numPr>
        <w:pStyle w:val="Compact"/>
      </w:pPr>
      <w:hyperlink r:id="rId52">
        <w:r>
          <w:rPr>
            <w:rStyle w:val="Hyperlink"/>
          </w:rPr>
          <w:t xml:space="preserve">SEI CTR55-CPP</w:t>
        </w:r>
      </w:hyperlink>
    </w:p>
    <w:p>
      <w:pPr>
        <w:numPr>
          <w:ilvl w:val="0"/>
          <w:numId w:val="1027"/>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8"/>
        </w:numPr>
      </w:pPr>
      <w:r>
        <w:t xml:space="preserve">Follow the advice provided in ISO/IEC 24772-1:2022 clause 6.8.5.</w:t>
      </w:r>
    </w:p>
    <w:p>
      <w:pPr>
        <w:numPr>
          <w:ilvl w:val="0"/>
          <w:numId w:val="1028"/>
        </w:numPr>
      </w:pPr>
      <w:r>
        <w:t xml:space="preserve">Avoid C-style arrays. If unavoidable, guidance for the use of C-style arrays is</w:t>
      </w:r>
      <w:r>
        <w:t xml:space="preserve"> </w:t>
      </w:r>
      <w:r>
        <w:t xml:space="preserve">provided in TR 24772-3 clause 6.8.2.</w:t>
      </w:r>
    </w:p>
    <w:p>
      <w:pPr>
        <w:numPr>
          <w:ilvl w:val="0"/>
          <w:numId w:val="1028"/>
        </w:numPr>
      </w:pPr>
      <w:r>
        <w:t xml:space="preserve">To model a fixed-size array, use a library class such as</w:t>
      </w:r>
      <w:r>
        <w:t xml:space="preserve"> </w:t>
      </w:r>
      <w:r>
        <w:rPr>
          <w:rStyle w:val="VerbatimChar"/>
        </w:rPr>
        <w:t xml:space="preserve">std::array</w:t>
      </w:r>
      <w:r>
        <w:t xml:space="preserve">.</w:t>
      </w:r>
    </w:p>
    <w:p>
      <w:pPr>
        <w:numPr>
          <w:ilvl w:val="0"/>
          <w:numId w:val="1028"/>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8"/>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8"/>
        </w:numPr>
      </w:pPr>
      <w:r>
        <w:t xml:space="preserve">Prefer using range-based or iterator-based algorithms, such as those of the standard</w:t>
      </w:r>
      <w:r>
        <w:t xml:space="preserve"> </w:t>
      </w:r>
      <w:r>
        <w:t xml:space="preserve">library, over pointer-manipulating or indexing loops.</w:t>
      </w:r>
    </w:p>
    <w:p>
      <w:pPr>
        <w:numPr>
          <w:ilvl w:val="0"/>
          <w:numId w:val="1028"/>
        </w:numPr>
      </w:pPr>
      <w:r>
        <w:t xml:space="preserve">Use the range-based for loop construct to iterate within the defined bounds of a range.</w:t>
      </w:r>
    </w:p>
    <w:p>
      <w:pPr>
        <w:numPr>
          <w:ilvl w:val="0"/>
          <w:numId w:val="1028"/>
        </w:numPr>
      </w:pPr>
      <w:r>
        <w:t xml:space="preserve">Ensure that ranges and iterators used by range-for or passed to algorithms are and remain valid.</w:t>
      </w:r>
    </w:p>
    <w:p>
      <w:pPr>
        <w:numPr>
          <w:ilvl w:val="0"/>
          <w:numId w:val="1028"/>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8"/>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9"/>
        </w:numPr>
      </w:pPr>
      <w:r>
        <w:t xml:space="preserve">Follow the advice provided in ISO/IEC 24772-1:2022 clause 6.9.5.</w:t>
      </w:r>
    </w:p>
    <w:p>
      <w:pPr>
        <w:numPr>
          <w:ilvl w:val="0"/>
          <w:numId w:val="1029"/>
        </w:numPr>
      </w:pPr>
      <w:r>
        <w:t xml:space="preserve">Follow the advice from clause</w:t>
      </w:r>
      <w:r>
        <w:t xml:space="preserve"> </w:t>
      </w:r>
      <w:hyperlink w:anchor="HCB">
        <w:r>
          <w:rPr>
            <w:rStyle w:val="Hyperlink"/>
          </w:rPr>
          <w:t xml:space="preserve">6.8.2</w:t>
        </w:r>
      </w:hyperlink>
      <w:r>
        <w:t xml:space="preserve">.</w:t>
      </w:r>
    </w:p>
    <w:p>
      <w:pPr>
        <w:numPr>
          <w:ilvl w:val="0"/>
          <w:numId w:val="1029"/>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9"/>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9"/>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30"/>
        </w:numPr>
      </w:pPr>
      <w:r>
        <w:t xml:space="preserve">Follow the advice provided in ISO/IEC 24772-1:2022 clause 6.10.5.</w:t>
      </w:r>
    </w:p>
    <w:p>
      <w:pPr>
        <w:numPr>
          <w:ilvl w:val="0"/>
          <w:numId w:val="1030"/>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0"/>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0"/>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30"/>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0"/>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0"/>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1"/>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1"/>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2"/>
        </w:numPr>
      </w:pPr>
      <w:r>
        <w:t xml:space="preserve">Follow the guidance of clause 6.8.2. with respect to ordinary pointer arithmetic of a pointer to object.</w:t>
      </w:r>
    </w:p>
    <w:p>
      <w:pPr>
        <w:numPr>
          <w:ilvl w:val="0"/>
          <w:numId w:val="1032"/>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2"/>
        </w:numPr>
      </w:pPr>
      <w:r>
        <w:t xml:space="preserve">Compare pointers of unknown realm with the standard library comparison function objects instead of relational operators.</w:t>
      </w:r>
    </w:p>
    <w:p>
      <w:pPr>
        <w:numPr>
          <w:ilvl w:val="0"/>
          <w:numId w:val="1032"/>
        </w:numPr>
      </w:pPr>
      <w:r>
        <w:t xml:space="preserve">Consider an outright ban on pointer arithmetic due to the</w:t>
      </w:r>
      <w:r>
        <w:t xml:space="preserve"> </w:t>
      </w:r>
      <w:r>
        <w:t xml:space="preserve">error-prone nature of pointer arithmetic.</w:t>
      </w:r>
    </w:p>
    <w:p>
      <w:pPr>
        <w:numPr>
          <w:ilvl w:val="0"/>
          <w:numId w:val="1032"/>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3"/>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3"/>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3"/>
        </w:numPr>
        <w:pStyle w:val="Compact"/>
      </w:pPr>
      <w:r>
        <w:t xml:space="preserve">what is the lifetime of the pointee?</w:t>
      </w:r>
    </w:p>
    <w:p>
      <w:pPr>
        <w:numPr>
          <w:ilvl w:val="0"/>
          <w:numId w:val="1033"/>
        </w:numPr>
        <w:pStyle w:val="Compact"/>
      </w:pPr>
      <w:r>
        <w:t xml:space="preserve">who has ownership of the pointee?</w:t>
      </w:r>
    </w:p>
    <w:p>
      <w:pPr>
        <w:numPr>
          <w:ilvl w:val="0"/>
          <w:numId w:val="1033"/>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4"/>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4"/>
        </w:numPr>
      </w:pPr>
      <w:r>
        <w:t xml:space="preserve">Use references to reduce the number of places where pointers are dereferenced.</w:t>
      </w:r>
    </w:p>
    <w:p>
      <w:pPr>
        <w:numPr>
          <w:ilvl w:val="0"/>
          <w:numId w:val="1034"/>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4"/>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4"/>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4"/>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7"/>
        </w:numPr>
        <w:pStyle w:val="Compact"/>
      </w:pPr>
      <w:r>
        <w:t xml:space="preserve">Follow the advice of ISO/IEC TR 24772-1:2019 clause 6.16 *Using Shift Operations for Multiplication and Division [PIK].</w:t>
      </w:r>
    </w:p>
    <w:p>
      <w:pPr>
        <w:numPr>
          <w:ilvl w:val="0"/>
          <w:numId w:val="1037"/>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8"/>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8"/>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9"/>
        </w:numPr>
      </w:pPr>
      <w:r>
        <w:t xml:space="preserve">Follow the advice of ISO/IEC 24772-1 clause 6.18.</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0"/>
        </w:numPr>
      </w:pPr>
      <w:r>
        <w:t xml:space="preserve">Follow the guidance of ISO/IEC TR 24772-1:2019 clause 6.19.5.</w:t>
      </w:r>
    </w:p>
    <w:p>
      <w:pPr>
        <w:numPr>
          <w:ilvl w:val="0"/>
          <w:numId w:val="1040"/>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1"/>
        </w:numPr>
      </w:pPr>
      <w:r>
        <w:t xml:space="preserve">Follow the guidance of ISO/IEC TR 24772-1:2019 clause 6.20,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5"/>
        </w:numPr>
      </w:pPr>
      <w:r>
        <w:t xml:space="preserve">Follow the guidance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7"/>
        </w:numPr>
        <w:pStyle w:val="Compact"/>
      </w:pPr>
      <w:r>
        <w:t xml:space="preserve">Follow the guidance provided in ISO 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Do not depend on the order of dynamic initialization of namespace-scope variables, unless the initialization order is guaranteed by the language.</w:t>
      </w:r>
    </w:p>
    <w:p>
      <w:pPr>
        <w:numPr>
          <w:ilvl w:val="0"/>
          <w:numId w:val="1047"/>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7"/>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9"/>
        </w:numPr>
      </w:pPr>
      <w:r>
        <w:t xml:space="preserve">Follow the guidance provided in ISO/IEC TR 24772-1:2019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1"/>
        </w:numPr>
      </w:pPr>
      <w:r>
        <w:t xml:space="preserve">Follow the guidance provided in ISO/IEC TR 24772-1:2019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7"/>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8"/>
        </w:numPr>
      </w:pPr>
      <w:r>
        <w:t xml:space="preserve">Apply the guidance provided in ISO/IEC TR 24772-1:2019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9"/>
        </w:numPr>
      </w:pPr>
      <w:r>
        <w:t xml:space="preserve">Follow the rules provided in ISO/IEC TR 24772-1:2019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3"/>
        </w:numPr>
      </w:pPr>
      <w:r>
        <w:t xml:space="preserve">Follow the guidance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4"/>
        </w:numPr>
      </w:pPr>
      <w:r>
        <w:t xml:space="preserve">Follow the guidance given in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w:t>
      </w:r>
    </w:p>
    <w:bookmarkEnd w:id="154"/>
    <w:bookmarkStart w:id="155" w:name="guidance-to-language-users"/>
    <w:p>
      <w:pPr>
        <w:pStyle w:val="Heading2"/>
      </w:pPr>
      <w:r>
        <w:t xml:space="preserve">6.41.2 Guidance to language users</w:t>
      </w:r>
    </w:p>
    <w:p>
      <w:pPr>
        <w:numPr>
          <w:ilvl w:val="0"/>
          <w:numId w:val="1084"/>
        </w:numPr>
      </w:pPr>
      <w:r>
        <w:t xml:space="preserve">Follow the guidance of ISO/IEC TR 24772-1:2019 clause 41.5.</w:t>
      </w:r>
    </w:p>
    <w:p>
      <w:pPr>
        <w:numPr>
          <w:ilvl w:val="0"/>
          <w:numId w:val="1084"/>
        </w:numPr>
      </w:pPr>
      <w:r>
        <w:t xml:space="preserve">Avoid the use of multiple inheritance with virtual member functions whenever possible. Multiple</w:t>
      </w:r>
      <w:r>
        <w:t xml:space="preserve"> </w:t>
      </w:r>
      <w:r>
        <w:rPr>
          <w:i/>
        </w:rPr>
        <w:t xml:space="preserve">mix-in empty bases</w:t>
      </w:r>
      <w:r>
        <w:t xml:space="preserve"> </w:t>
      </w:r>
      <w:r>
        <w:t xml:space="preserve">are typically fine.</w:t>
      </w:r>
    </w:p>
    <w:p>
      <w:pPr>
        <w:numPr>
          <w:ilvl w:val="0"/>
          <w:numId w:val="1084"/>
        </w:numPr>
      </w:pPr>
      <w:r>
        <w:t xml:space="preserve">Define members to be used only by derived classes as protected.</w:t>
      </w:r>
    </w:p>
    <w:p>
      <w:pPr>
        <w:numPr>
          <w:ilvl w:val="0"/>
          <w:numId w:val="1084"/>
        </w:numPr>
      </w:pPr>
      <w:r>
        <w:t xml:space="preserve">Define as private base-class’ data-members that must not be used directly by derived classes.</w:t>
      </w:r>
    </w:p>
    <w:p>
      <w:pPr>
        <w:numPr>
          <w:ilvl w:val="0"/>
          <w:numId w:val="1084"/>
        </w:numPr>
      </w:pPr>
      <w:r>
        <w:t xml:space="preserve">Keep inheritance hierarchies flat.</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1"/>
        </w:numPr>
      </w:pPr>
      <w:r>
        <w:t xml:space="preserve">Follow the advice provided in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2"/>
        </w:numPr>
      </w:pPr>
      <w:r>
        <w:t xml:space="preserve">Follow the guidelines of ISO/IEC TR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3"/>
        </w:numPr>
      </w:pPr>
      <w:r>
        <w:t xml:space="preserve">Follow the guidance contained in ISO/IEC TR 24772-1:2019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5"/>
        </w:numPr>
      </w:pPr>
      <w:r>
        <w:t xml:space="preserve">Follow the guidance of ISO/IEC TR 24772-1:2019 clause 6.49.5.</w:t>
      </w:r>
    </w:p>
    <w:p>
      <w:pPr>
        <w:numPr>
          <w:ilvl w:val="0"/>
          <w:numId w:val="1095"/>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6"/>
        </w:numPr>
      </w:pPr>
      <w:r>
        <w:t xml:space="preserve">Follow the advice of clause 6.36.2 for catching and handling</w:t>
      </w:r>
      <w:r>
        <w:t xml:space="preserve"> </w:t>
      </w:r>
      <w:r>
        <w:t xml:space="preserve">exceptions.</w:t>
      </w:r>
    </w:p>
    <w:p>
      <w:pPr>
        <w:numPr>
          <w:ilvl w:val="0"/>
          <w:numId w:val="1096"/>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7"/>
        </w:numPr>
      </w:pPr>
      <w:r>
        <w:t xml:space="preserve">If a function-like macro must be used, ensure that its</w:t>
      </w:r>
      <w:r>
        <w:t xml:space="preserve"> </w:t>
      </w:r>
      <w:r>
        <w:t xml:space="preserve">parameters and body are parenthesized.</w:t>
      </w:r>
    </w:p>
    <w:p>
      <w:pPr>
        <w:numPr>
          <w:ilvl w:val="0"/>
          <w:numId w:val="1097"/>
        </w:numPr>
      </w:pPr>
      <w:r>
        <w:t xml:space="preserve">In a function-like macro, ensure that each argument is evaluated at</w:t>
      </w:r>
      <w:r>
        <w:t xml:space="preserve"> </w:t>
      </w:r>
      <w:r>
        <w:t xml:space="preserve">most once.</w:t>
      </w:r>
    </w:p>
    <w:p>
      <w:pPr>
        <w:numPr>
          <w:ilvl w:val="0"/>
          <w:numId w:val="1097"/>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7"/>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7"/>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8"/>
        </w:numPr>
      </w:pPr>
      <w:r>
        <w:t xml:space="preserve">Follow the guidelines of ISO/IEC TR 24772-1:2019 clause 6.53.5.</w:t>
      </w:r>
    </w:p>
    <w:p>
      <w:pPr>
        <w:numPr>
          <w:ilvl w:val="0"/>
          <w:numId w:val="1098"/>
        </w:numPr>
      </w:pPr>
      <w:r>
        <w:t xml:space="preserve">Enable checks that warn about unsafe operations.</w:t>
      </w:r>
    </w:p>
    <w:p>
      <w:pPr>
        <w:numPr>
          <w:ilvl w:val="0"/>
          <w:numId w:val="1098"/>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9"/>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0"/>
        </w:numPr>
      </w:pPr>
      <w:r>
        <w:t xml:space="preserve">Follow the guidelines of ISO/IEC TR 24772-1:2019 clause 6.56.5.</w:t>
      </w:r>
    </w:p>
    <w:p>
      <w:pPr>
        <w:numPr>
          <w:ilvl w:val="0"/>
          <w:numId w:val="1100"/>
        </w:numPr>
      </w:pPr>
      <w:r>
        <w:t xml:space="preserve">Use static analysis tools to help identify occurrences of undefined</w:t>
      </w:r>
      <w:r>
        <w:t xml:space="preserve"> </w:t>
      </w:r>
      <w:r>
        <w:t xml:space="preserve">behaviour.</w:t>
      </w:r>
    </w:p>
    <w:p>
      <w:pPr>
        <w:numPr>
          <w:ilvl w:val="0"/>
          <w:numId w:val="1100"/>
        </w:numPr>
      </w:pPr>
      <w:r>
        <w:t xml:space="preserve">Augment static analysis tool usage with runtime tools such as ASAN</w:t>
      </w:r>
      <w:r>
        <w:t xml:space="preserve"> </w:t>
      </w:r>
      <w:r>
        <w:t xml:space="preserve">(address sanitizer) and related tools.</w:t>
      </w:r>
    </w:p>
    <w:p>
      <w:pPr>
        <w:numPr>
          <w:ilvl w:val="0"/>
          <w:numId w:val="1100"/>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0"/>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1"/>
        </w:numPr>
      </w:pPr>
      <w:r>
        <w:t xml:space="preserve">Follow the guidelines of ISO/IEC TR 24772-1:2019 clause 6.57.5.</w:t>
      </w:r>
    </w:p>
    <w:p>
      <w:pPr>
        <w:numPr>
          <w:ilvl w:val="0"/>
          <w:numId w:val="110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1"/>
        </w:numPr>
      </w:pPr>
      <w:r>
        <w:t xml:space="preserve">Use multiple compilers/tools to increase your chance of identifying</w:t>
      </w:r>
      <w:r>
        <w:t xml:space="preserve"> </w:t>
      </w:r>
      <w:r>
        <w:t xml:space="preserve">constructs that have implementation-defined behaviours.</w:t>
      </w:r>
    </w:p>
    <w:p>
      <w:pPr>
        <w:numPr>
          <w:ilvl w:val="0"/>
          <w:numId w:val="110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2"/>
        </w:numPr>
      </w:pPr>
      <w:r>
        <w:t xml:space="preserve">Follow the guidelines of ISO/IEC TR 24772-1 clause 6.58.5.</w:t>
      </w:r>
    </w:p>
    <w:p>
      <w:pPr>
        <w:numPr>
          <w:ilvl w:val="0"/>
          <w:numId w:val="1102"/>
        </w:numPr>
      </w:pPr>
      <w:r>
        <w:t xml:space="preserve">Enable compiler options or static analysis tools that identify the</w:t>
      </w:r>
      <w:r>
        <w:t xml:space="preserve"> </w:t>
      </w:r>
      <w:r>
        <w:t xml:space="preserve">use of deprecated features.</w:t>
      </w:r>
    </w:p>
    <w:p>
      <w:pPr>
        <w:numPr>
          <w:ilvl w:val="0"/>
          <w:numId w:val="110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3"/>
        </w:numPr>
        <w:pStyle w:val="Compact"/>
      </w:pPr>
      <w:r>
        <w:t xml:space="preserve">6.61 Concurrent Data Access,</w:t>
      </w:r>
    </w:p>
    <w:p>
      <w:pPr>
        <w:numPr>
          <w:ilvl w:val="0"/>
          <w:numId w:val="1103"/>
        </w:numPr>
        <w:pStyle w:val="Compact"/>
      </w:pPr>
      <w:r>
        <w:t xml:space="preserve">6.14 and 6.33 dangling of data reference, if data is passed to the thread function as reference or pointer, instead of passing a copy.</w:t>
      </w:r>
    </w:p>
    <w:p>
      <w:pPr>
        <w:numPr>
          <w:ilvl w:val="0"/>
          <w:numId w:val="1103"/>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4"/>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4"/>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4"/>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5"/>
        </w:numPr>
      </w:pPr>
      <w:r>
        <w:t xml:space="preserve">Follow the guidance of ISO/IEC TR 24772-1 clause 6.62.5.</w:t>
      </w:r>
    </w:p>
    <w:p>
      <w:pPr>
        <w:numPr>
          <w:ilvl w:val="0"/>
          <w:numId w:val="1105"/>
        </w:numPr>
      </w:pPr>
      <w:r>
        <w:t xml:space="preserve">Use mutexes, condition variables (convar) in preference to atomic</w:t>
      </w:r>
      <w:r>
        <w:t xml:space="preserve"> </w:t>
      </w:r>
      <w:r>
        <w:t xml:space="preserve">variables to protect data from simultaneous access.</w:t>
      </w:r>
    </w:p>
    <w:p>
      <w:pPr>
        <w:numPr>
          <w:ilvl w:val="0"/>
          <w:numId w:val="1105"/>
        </w:numPr>
      </w:pPr>
      <w:r>
        <w:t xml:space="preserve">Use volatile only for synchronizing abstract machine state from</w:t>
      </w:r>
      <w:r>
        <w:t xml:space="preserve"> </w:t>
      </w:r>
      <w:r>
        <w:t xml:space="preserve">memory.</w:t>
      </w:r>
    </w:p>
    <w:p>
      <w:pPr>
        <w:numPr>
          <w:ilvl w:val="0"/>
          <w:numId w:val="1105"/>
        </w:numPr>
      </w:pPr>
      <w:r>
        <w:t xml:space="preserve">Avoid the use of volatile for synchronizing access to shared memory</w:t>
      </w:r>
      <w:r>
        <w:t xml:space="preserve"> </w:t>
      </w:r>
      <w:r>
        <w:t xml:space="preserve">between threads (which needs mutex, condvar, or atomics)</w:t>
      </w:r>
    </w:p>
    <w:p>
      <w:pPr>
        <w:numPr>
          <w:ilvl w:val="1"/>
          <w:numId w:val="110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5"/>
        </w:numPr>
      </w:pPr>
      <w:r>
        <w:t xml:space="preserve">Avoid relaxed atomic operations whenever possible. Prefer the</w:t>
      </w:r>
      <w:r>
        <w:t xml:space="preserve"> </w:t>
      </w:r>
      <w:r>
        <w:t xml:space="preserve">sequentially consistent std::memory_order_seq_cst instead .</w:t>
      </w:r>
    </w:p>
    <w:p>
      <w:pPr>
        <w:numPr>
          <w:ilvl w:val="0"/>
          <w:numId w:val="1105"/>
        </w:numPr>
      </w:pPr>
      <w:r>
        <w:t xml:space="preserve">Use mutexes appropriately to protect accesses to non-atomic shared</w:t>
      </w:r>
      <w:r>
        <w:t xml:space="preserve"> </w:t>
      </w:r>
      <w:r>
        <w:t xml:space="preserve">objects.</w:t>
      </w:r>
    </w:p>
    <w:p>
      <w:pPr>
        <w:numPr>
          <w:ilvl w:val="0"/>
          <w:numId w:val="1105"/>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7"/>
        </w:numPr>
      </w:pPr>
      <w:r>
        <w:t xml:space="preserve">Follow the guidelines of TR 24772-1 clause 6.63.5.</w:t>
      </w:r>
    </w:p>
    <w:p>
      <w:pPr>
        <w:numPr>
          <w:ilvl w:val="0"/>
          <w:numId w:val="1107"/>
        </w:numPr>
      </w:pPr>
      <w:r>
        <w:t xml:space="preserve">Use low-level operating system primitives or other APIs where</w:t>
      </w:r>
      <w:r>
        <w:t xml:space="preserve"> </w:t>
      </w:r>
      <w:r>
        <w:t xml:space="preserve">available to check that a required thread is still active.</w:t>
      </w:r>
    </w:p>
    <w:p>
      <w:pPr>
        <w:numPr>
          <w:ilvl w:val="0"/>
          <w:numId w:val="1107"/>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8"/>
        </w:numPr>
      </w:pPr>
      <w:r>
        <w:t xml:space="preserve">Follow the guidelines of TR 24772-1 clause 6.63.5.</w:t>
      </w:r>
    </w:p>
    <w:p>
      <w:pPr>
        <w:numPr>
          <w:ilvl w:val="0"/>
          <w:numId w:val="110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8"/>
        </w:numPr>
      </w:pPr>
      <w:r>
        <w:t xml:space="preserve">Use higher level building blocks (such as TBB) in preference to …</w:t>
      </w:r>
    </w:p>
    <w:p>
      <w:pPr>
        <w:numPr>
          <w:ilvl w:val="0"/>
          <w:numId w:val="1108"/>
        </w:numPr>
      </w:pPr>
      <w:r>
        <w:t xml:space="preserve">Use the C++ Task mechanism in preference to threads …</w:t>
      </w:r>
    </w:p>
    <w:p>
      <w:pPr>
        <w:numPr>
          <w:ilvl w:val="0"/>
          <w:numId w:val="110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8"/>
        </w:numPr>
      </w:pPr>
      <w:r>
        <w:rPr>
          <w:i/>
          <w:b/>
        </w:rPr>
        <w:t xml:space="preserve">Do not use platform specific multi-threading facilities</w:t>
      </w:r>
    </w:p>
    <w:p>
      <w:pPr>
        <w:numPr>
          <w:ilvl w:val="0"/>
          <w:numId w:val="1108"/>
        </w:numPr>
      </w:pPr>
      <w:r>
        <w:rPr>
          <w:i/>
          <w:b/>
        </w:rPr>
        <w:t xml:space="preserve">A thread shall not access objects whose lifetime has expired</w:t>
      </w:r>
    </w:p>
    <w:p>
      <w:pPr>
        <w:numPr>
          <w:ilvl w:val="0"/>
          <w:numId w:val="1108"/>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8"/>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8"/>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8"/>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8"/>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8"/>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8"/>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8"/>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8"/>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8"/>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8"/>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8"/>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8"/>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8"/>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8"/>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8"/>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8"/>
        </w:numPr>
      </w:pPr>
      <w:r>
        <w:t xml:space="preserve">0.10.2 [36] Source CCG Rule CP.101: Distrust your</w:t>
      </w:r>
      <w:r>
        <w:t xml:space="preserve"> </w:t>
      </w:r>
      <w:r>
        <w:t xml:space="preserve">hardware/compiler combination</w:t>
      </w:r>
    </w:p>
    <w:p>
      <w:pPr>
        <w:numPr>
          <w:ilvl w:val="0"/>
          <w:numId w:val="1108"/>
        </w:numPr>
      </w:pPr>
      <w:r>
        <w:t xml:space="preserve">0.10.3 [37] Source CCG Rule CP.102: Carefully study the literature</w:t>
      </w:r>
    </w:p>
    <w:p>
      <w:pPr>
        <w:numPr>
          <w:ilvl w:val="0"/>
          <w:numId w:val="1108"/>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8"/>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8"/>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9"/>
        </w:numPr>
      </w:pPr>
      <w:r>
        <w:t xml:space="preserve">Do not cast-away</w:t>
      </w:r>
      <w:r>
        <w:t xml:space="preserve"> </w:t>
      </w:r>
      <w:r>
        <w:rPr>
          <w:rStyle w:val="AttributeTok"/>
        </w:rPr>
        <w:t xml:space="preserve">const</w:t>
      </w:r>
      <w:r>
        <w:t xml:space="preserve">.</w:t>
      </w:r>
    </w:p>
    <w:p>
      <w:pPr>
        <w:numPr>
          <w:ilvl w:val="0"/>
          <w:numId w:val="110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9"/>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9"/>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0"/>
        </w:numPr>
        <w:pStyle w:val="SourceCode"/>
      </w:pPr>
      <w:r>
        <w:rPr>
          <w:rStyle w:val="VerbatimChar"/>
        </w:rPr>
        <w:t xml:space="preserve">Defining an array type that does automatic bounds checking.</w:t>
      </w:r>
    </w:p>
    <w:p>
      <w:pPr>
        <w:numPr>
          <w:ilvl w:val="0"/>
          <w:numId w:val="111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0"/>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2022-11-14T15:20:46Z</dcterms:created>
  <dcterms:modified xsi:type="dcterms:W3CDTF">2022-11-14T15:20:46Z</dcterms:modified>
</cp:coreProperties>
</file>

<file path=docProps/custom.xml><?xml version="1.0" encoding="utf-8"?>
<Properties xmlns="http://schemas.openxmlformats.org/officeDocument/2006/custom-properties" xmlns:vt="http://schemas.openxmlformats.org/officeDocument/2006/docPropsVTypes"/>
</file>