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FirstParagraph"/>
      </w:pPr>
      <w:r>
        <w:t xml:space="preserve">(</w:t>
      </w:r>
      <w:r>
        <w:rPr>
          <w:i/>
        </w:rPr>
        <w:t xml:space="preserve">From Michael about "constraint Error</w:t>
      </w:r>
      <w:r>
        <w:t xml:space="preserve">)</w:t>
      </w:r>
    </w:p>
    <w:p>
      <w:pPr>
        <w:pStyle w:val="BodyText"/>
      </w:pPr>
      <w:r>
        <w:t xml:space="preserve">This was referring to the following case from Clive:</w:t>
      </w:r>
    </w:p>
    <w:p>
      <w:pPr>
        <w:pStyle w:val="BodyText"/>
      </w:pPr>
      <w:r>
        <w:rPr>
          <w:i/>
        </w:rPr>
        <w:t xml:space="preserve">The example I intended was int *i = malloc(10);</w:t>
      </w:r>
    </w:p>
    <w:p>
      <w:pPr>
        <w:pStyle w:val="BodyText"/>
      </w:pPr>
      <w:r>
        <w:rPr>
          <w:i/>
        </w:rPr>
        <w:t xml:space="preserve">The context was we wanted to say 'C++ doesn't allow implicit cast</w:t>
      </w:r>
      <w:r>
        <w:rPr>
          <w:i/>
        </w:rPr>
        <w:t xml:space="preserve"> </w:t>
      </w:r>
      <w:r>
        <w:rPr>
          <w:i/>
        </w:rPr>
        <w:t xml:space="preserve">from void* to any other pointer type' (which actually may be the best</w:t>
      </w:r>
      <w:r>
        <w:rPr>
          <w:i/>
        </w:rPr>
        <w:t xml:space="preserve"> </w:t>
      </w:r>
      <w:r>
        <w:rPr>
          <w:i/>
        </w:rPr>
        <w:t xml:space="preserve">way to express this).</w:t>
      </w:r>
    </w:p>
    <w:p>
      <w:pPr>
        <w:pStyle w:val="BodyText"/>
      </w:pPr>
      <w:r>
        <w:rPr>
          <w:i/>
        </w:rPr>
        <w:t xml:space="preserve">We were going with something along the lines of 'Attempting to</w:t>
      </w:r>
      <w:r>
        <w:rPr>
          <w:i/>
        </w:rPr>
        <w:t xml:space="preserve"> </w:t>
      </w:r>
      <w:r>
        <w:rPr>
          <w:i/>
        </w:rPr>
        <w:t xml:space="preserve">implicitly cast void* to any other pointer type is a constraint error'</w:t>
      </w:r>
      <w:r>
        <w:rPr>
          <w:i/>
        </w:rPr>
        <w:t xml:space="preserve"> </w:t>
      </w:r>
      <w:r>
        <w:rPr>
          <w:i/>
        </w:rPr>
        <w:t xml:space="preserve">- at which point I wondered if 'constraint error' was the appropriate</w:t>
      </w:r>
      <w:r>
        <w:rPr>
          <w:i/>
        </w:rPr>
        <w:t xml:space="preserve"> </w:t>
      </w:r>
      <w:r>
        <w:rPr>
          <w:i/>
        </w:rPr>
        <w:t xml:space="preserve">C++ term</w:t>
      </w:r>
    </w:p>
    <w:p>
      <w:pPr>
        <w:pStyle w:val="BodyText"/>
      </w:pPr>
      <w:r>
        <w:t xml:space="preserve">I don't think I ever heard of constraint error before. Range error yes</w:t>
      </w:r>
      <w:r>
        <w:t xml:space="preserve"> </w:t>
      </w:r>
      <w:r>
        <w:t xml:space="preserve">but this is not a range error. In this case, there isn't a name as</w:t>
      </w:r>
      <w:r>
        <w:t xml:space="preserve"> </w:t>
      </w:r>
      <w:r>
        <w:t xml:space="preserve">such. In section 4.10.2. It says a T* can be converted to a void*. It</w:t>
      </w:r>
      <w:r>
        <w:t xml:space="preserve"> </w:t>
      </w:r>
      <w:r>
        <w:t xml:space="preserve">leaves out the reverse, implying you must use a cast. We say it is not</w:t>
      </w:r>
      <w:r>
        <w:t xml:space="preserve"> </w:t>
      </w:r>
      <w:r>
        <w:t xml:space="preserve">well-formed.</w:t>
      </w:r>
    </w:p>
    <w:p>
      <w:pPr>
        <w:pStyle w:val="BodyText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BodyText"/>
      </w:pPr>
      <w:r>
        <w:t xml:space="preserve">Note: Consider C++ Core guidelines if completed.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numPr>
          <w:ilvl w:val="0"/>
          <w:numId w:val="1032"/>
        </w:numPr>
      </w:pPr>
      <w:r>
        <w:rPr>
          <w:strike/>
        </w:rPr>
        <w:t xml:space="preserve">For copies of fixed-sized arrays, perform range checking to</w:t>
      </w:r>
      <w:r>
        <w:rPr>
          <w:strike/>
        </w:rPr>
        <w:t xml:space="preserve"> </w:t>
      </w:r>
      <w:r>
        <w:rPr>
          <w:strike/>
        </w:rPr>
        <w:t xml:space="preserve">prevent out-of-bounds access on the target and the source arrays. In</w:t>
      </w:r>
      <w:r>
        <w:rPr>
          <w:strike/>
        </w:rPr>
        <w:t xml:space="preserve"> </w:t>
      </w:r>
      <w:r>
        <w:rPr>
          <w:strike/>
        </w:rPr>
        <w:t xml:space="preserve">the interest of speed and efficiency, range checking only needs to</w:t>
      </w:r>
      <w:r>
        <w:rPr>
          <w:strike/>
        </w:rPr>
        <w:t xml:space="preserve"> </w:t>
      </w:r>
      <w:r>
        <w:rPr>
          <w:strike/>
        </w:rPr>
        <w:t xml:space="preserve">be done when it cannot be statically shown that an access outside of</w:t>
      </w:r>
      <w:r>
        <w:rPr>
          <w:strike/>
        </w:rPr>
        <w:t xml:space="preserve"> </w:t>
      </w:r>
      <w:r>
        <w:rPr>
          <w:strike/>
        </w:rPr>
        <w:t xml:space="preserve">the arrays cannot occur.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FirstParagraph"/>
      </w:pPr>
      <w:r>
        <w:rPr>
          <w:i/>
        </w:rPr>
        <w:t xml:space="preserve">In this clause, all C++ references, in addition to pointers. The</w:t>
      </w:r>
      <w:r>
        <w:rPr>
          <w:i/>
        </w:rPr>
        <w:t xml:space="preserve"> </w:t>
      </w:r>
      <w:r>
        <w:rPr>
          <w:rStyle w:val="NormalTok"/>
        </w:rPr>
        <w:t xml:space="preserve">shared_ptr</w:t>
      </w:r>
      <w:r>
        <w:rPr>
          <w:i/>
        </w:rPr>
        <w:t xml:space="preserve"> </w:t>
      </w:r>
      <w:r>
        <w:rPr>
          <w:i/>
        </w:rPr>
        <w:t xml:space="preserve">casts</w:t>
      </w:r>
    </w:p>
    <w:p>
      <w:pPr>
        <w:pStyle w:val="BodyText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BodyText"/>
      </w:pPr>
      <w:r>
        <w:rPr>
          <w:i/>
        </w:rPr>
        <w:t xml:space="preserve">C++ Dynamic cast and the use of it during construction and destruction needs further exposition. The this pointer type can have surprising effects.</w:t>
      </w:r>
    </w:p>
    <w:p>
      <w:pPr>
        <w:pStyle w:val="BodyText"/>
      </w:pPr>
      <w:r>
        <w:rPr>
          <w:i/>
        </w:rPr>
        <w:t xml:space="preserve">AI</w:t>
      </w:r>
      <w:r>
        <w:t xml:space="preserve"> </w:t>
      </w:r>
      <w:r>
        <w:rPr>
          <w:i/>
        </w:rPr>
        <w:t xml:space="preserve">–</w:t>
      </w:r>
      <w:r>
        <w:t xml:space="preserve"> </w:t>
      </w:r>
      <w:r>
        <w:rPr>
          <w:i/>
        </w:rPr>
        <w:t xml:space="preserve">Paul, Richard to review</w:t>
      </w:r>
      <w:r>
        <w:t xml:space="preserve"> </w:t>
      </w:r>
      <w:r>
        <w:rPr>
          <w:i/>
        </w:rPr>
        <w:t xml:space="preserve">– Writeup about incomplete objects before or after their lifetime and related to translation units.</w:t>
      </w:r>
    </w:p>
    <w:p>
      <w:pPr>
        <w:pStyle w:val="BodyText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3"/>
        </w:numPr>
      </w:pPr>
      <w:r>
        <w:t xml:space="preserve">a and b are the same object,</w:t>
      </w:r>
    </w:p>
    <w:p>
      <w:pPr>
        <w:numPr>
          <w:ilvl w:val="0"/>
          <w:numId w:val="1033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4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3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3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3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7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7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7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7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7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8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7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7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1"/>
        </w:numPr>
      </w:pPr>
      <w:r>
        <w:t xml:space="preserve">Follow the guidance of clause 6.8.2.</w:t>
      </w:r>
    </w:p>
    <w:p>
      <w:pPr>
        <w:numPr>
          <w:ilvl w:val="0"/>
          <w:numId w:val="1041"/>
        </w:numPr>
      </w:pPr>
      <w:r>
        <w:t xml:space="preserve">Prefer standard algorithms to hand-written loops</w:t>
      </w:r>
    </w:p>
    <w:p>
      <w:pPr>
        <w:numPr>
          <w:ilvl w:val="1"/>
          <w:numId w:val="1042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1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1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1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1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3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3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3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3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BodyText"/>
      </w:pPr>
      <w:r>
        <w:rPr>
          <w:i/>
        </w:rPr>
        <w:t xml:space="preserve">Capture notion that std::make_shared does not guarantee</w:t>
      </w:r>
      <w:r>
        <w:t xml:space="preserve"> </w:t>
      </w:r>
      <w:r>
        <w:rPr>
          <w:i/>
        </w:rPr>
        <w:t xml:space="preserve">atomaticity</w:t>
      </w:r>
      <w:r>
        <w:t xml:space="preserve"> </w:t>
      </w:r>
      <w:r>
        <w:rPr>
          <w:i/>
        </w:rPr>
        <w:t xml:space="preserve">of the referenced object.</w:t>
      </w:r>
    </w:p>
    <w:p>
      <w:pPr>
        <w:pStyle w:val="BodyText"/>
      </w:pPr>
      <w:r>
        <w:t xml:space="preserve">std::span, std.vector and std.array::provide …</w:t>
      </w:r>
    </w:p>
    <w:p>
      <w:pPr>
        <w:pStyle w:val="BodyText"/>
      </w:pPr>
      <w:r>
        <w:t xml:space="preserve">std::span is more lightweight and permit resizing .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pStyle w:val="FirstParagraph"/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4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4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4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5"/>
        </w:numPr>
      </w:pPr>
      <w:r>
        <w:t xml:space="preserve">References</w:t>
      </w:r>
    </w:p>
    <w:p>
      <w:pPr>
        <w:numPr>
          <w:ilvl w:val="0"/>
          <w:numId w:val="1045"/>
        </w:numPr>
      </w:pPr>
      <w:r>
        <w:t xml:space="preserve">Pointers</w:t>
      </w:r>
    </w:p>
    <w:p>
      <w:pPr>
        <w:numPr>
          <w:ilvl w:val="0"/>
          <w:numId w:val="1045"/>
        </w:numPr>
      </w:pPr>
      <w:r>
        <w:t xml:space="preserve">Iterators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6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6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6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6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7"/>
        </w:numPr>
      </w:pPr>
      <w:r>
        <w:t xml:space="preserve">One can add names to a templates as part of specialization.</w:t>
      </w:r>
    </w:p>
    <w:p>
      <w:pPr>
        <w:numPr>
          <w:ilvl w:val="0"/>
          <w:numId w:val="1047"/>
        </w:numPr>
      </w:pPr>
      <w:r>
        <w:t xml:space="preserve">Example extending a hash function from std::</w:t>
      </w:r>
    </w:p>
    <w:p>
      <w:pPr>
        <w:numPr>
          <w:ilvl w:val="0"/>
          <w:numId w:val="1047"/>
        </w:numPr>
      </w:pPr>
      <w:r>
        <w:t xml:space="preserve">Also inline namespaces.</w:t>
      </w:r>
    </w:p>
    <w:p>
      <w:pPr>
        <w:numPr>
          <w:ilvl w:val="0"/>
          <w:numId w:val="1047"/>
        </w:numPr>
      </w:pPr>
      <w:r>
        <w:t xml:space="preserve">Also the use of underscores in symbol names.</w:t>
      </w:r>
    </w:p>
    <w:p>
      <w:pPr>
        <w:numPr>
          <w:ilvl w:val="0"/>
          <w:numId w:val="1047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48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48"/>
        </w:numPr>
      </w:pPr>
      <w:r>
        <w:t xml:space="preserve">Use names that are clear and non-confusing.</w:t>
      </w:r>
    </w:p>
    <w:p>
      <w:pPr>
        <w:numPr>
          <w:ilvl w:val="0"/>
          <w:numId w:val="1048"/>
        </w:numPr>
      </w:pPr>
      <w:r>
        <w:t xml:space="preserve">Use consistency in choosing names.</w:t>
      </w:r>
    </w:p>
    <w:p>
      <w:pPr>
        <w:numPr>
          <w:ilvl w:val="0"/>
          <w:numId w:val="1048"/>
        </w:numPr>
      </w:pPr>
      <w:r>
        <w:t xml:space="preserve">Keep the scope of names as small as reasonable.</w:t>
      </w:r>
    </w:p>
    <w:p>
      <w:pPr>
        <w:numPr>
          <w:ilvl w:val="0"/>
          <w:numId w:val="1048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48"/>
        </w:numPr>
      </w:pPr>
      <w:r>
        <w:t xml:space="preserve">Use longer names for longer-lived objects.</w:t>
      </w:r>
    </w:p>
    <w:p>
      <w:pPr>
        <w:numPr>
          <w:ilvl w:val="0"/>
          <w:numId w:val="1048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48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48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48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49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49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49"/>
        </w:numPr>
      </w:pPr>
      <w:r>
        <w:t xml:space="preserve">Contextual keywords such as module, final and override;</w:t>
      </w:r>
    </w:p>
    <w:p>
      <w:pPr>
        <w:numPr>
          <w:ilvl w:val="1"/>
          <w:numId w:val="1049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0"/>
        </w:numPr>
      </w:pPr>
      <w:r>
        <w:t xml:space="preserve">Avoid names for macros that are not all uppercase;</w:t>
      </w:r>
    </w:p>
    <w:p>
      <w:pPr>
        <w:numPr>
          <w:ilvl w:val="0"/>
          <w:numId w:val="1050"/>
        </w:numPr>
      </w:pPr>
      <w:r>
        <w:t xml:space="preserve">Avoid names that are all uppercase not used for macros;</w:t>
      </w:r>
    </w:p>
    <w:p>
      <w:pPr>
        <w:numPr>
          <w:ilvl w:val="0"/>
          <w:numId w:val="1051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2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2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3"/>
        </w:numPr>
      </w:pPr>
      <w:r>
        <w:t xml:space="preserve">Follow the guidance of ISO/IEC TR 24772-1:2019 clause 6.19.5.</w:t>
      </w:r>
    </w:p>
    <w:p>
      <w:pPr>
        <w:numPr>
          <w:ilvl w:val="0"/>
          <w:numId w:val="1053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4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4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4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4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4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4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4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6"/>
        </w:numPr>
      </w:pPr>
      <w:r>
        <w:t xml:space="preserve">Overloading, where clause 6.20 applies;</w:t>
      </w:r>
    </w:p>
    <w:p>
      <w:pPr>
        <w:numPr>
          <w:ilvl w:val="0"/>
          <w:numId w:val="1056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7"/>
        </w:numPr>
      </w:pPr>
      <w:r>
        <w:t xml:space="preserve">Follow the guidance of clauses 6.20.2 and 6.41.2 as applicable.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9"/>
        </w:numPr>
      </w:pPr>
      <w:r>
        <w:t xml:space="preserve">Follow the guidance provided in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2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3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3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3"/>
        </w:numPr>
      </w:pPr>
      <w:r>
        <w:t xml:space="preserve">Avoid overloading the following operators: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3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5"/>
        </w:numPr>
      </w:pPr>
      <w:r>
        <w:t xml:space="preserve">Write accesses to objects in that expression,</w:t>
      </w:r>
    </w:p>
    <w:p>
      <w:pPr>
        <w:numPr>
          <w:ilvl w:val="0"/>
          <w:numId w:val="1065"/>
        </w:numPr>
      </w:pPr>
      <w:r>
        <w:t xml:space="preserve">Reading a volatile object,</w:t>
      </w:r>
    </w:p>
    <w:p>
      <w:pPr>
        <w:numPr>
          <w:ilvl w:val="0"/>
          <w:numId w:val="1065"/>
        </w:numPr>
      </w:pPr>
      <w:r>
        <w:t xml:space="preserve">Calling a library I/O function, and</w:t>
      </w:r>
    </w:p>
    <w:p>
      <w:pPr>
        <w:numPr>
          <w:ilvl w:val="0"/>
          <w:numId w:val="1065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6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6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6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6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6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6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6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6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Unary minus on unsigned type (MISRA 5-3-2)</w:t>
      </w:r>
    </w:p>
    <w:p>
      <w:pPr>
        <w:numPr>
          <w:ilvl w:val="0"/>
          <w:numId w:val="1069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0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0"/>
        </w:numPr>
        <w:pStyle w:val="BlockText"/>
      </w:pPr>
      <w:r>
        <w:t xml:space="preserve">From Core guidelines: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0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2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2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3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4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4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4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5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6"/>
        </w:numPr>
      </w:pPr>
      <w:r>
        <w:t xml:space="preserve">Declare loop variables in the initializer of the loop statement</w:t>
      </w:r>
    </w:p>
    <w:p>
      <w:pPr>
        <w:numPr>
          <w:ilvl w:val="0"/>
          <w:numId w:val="1076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7"/>
        </w:numPr>
      </w:pPr>
      <w:r>
        <w:t xml:space="preserve">Apply the guidance of ISO/IEC TR 24772-1:2019 clause 6.29.5.</w:t>
      </w:r>
    </w:p>
    <w:p>
      <w:pPr>
        <w:numPr>
          <w:ilvl w:val="0"/>
          <w:numId w:val="1077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7"/>
        </w:numPr>
      </w:pPr>
      <w:r>
        <w:t xml:space="preserve">Use a range for loop in preference to general loops</w:t>
      </w:r>
    </w:p>
    <w:p>
      <w:pPr>
        <w:numPr>
          <w:ilvl w:val="0"/>
          <w:numId w:val="1077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7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8"/>
        </w:numPr>
      </w:pPr>
      <w:r>
        <w:t xml:space="preserve">Range-based for loops</w:t>
      </w:r>
    </w:p>
    <w:p>
      <w:pPr>
        <w:numPr>
          <w:ilvl w:val="0"/>
          <w:numId w:val="1078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8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8"/>
        </w:numPr>
      </w:pPr>
      <w:r>
        <w:t xml:space="preserve">Container classes</w:t>
      </w:r>
    </w:p>
    <w:p>
      <w:pPr>
        <w:numPr>
          <w:ilvl w:val="0"/>
          <w:numId w:val="1078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9"/>
        </w:numPr>
      </w:pPr>
      <w:r>
        <w:t xml:space="preserve">Follow the guidance of ISO/IEC TR 24772-1:2019 clause 6.30.5.</w:t>
      </w:r>
    </w:p>
    <w:p>
      <w:pPr>
        <w:numPr>
          <w:ilvl w:val="0"/>
          <w:numId w:val="1079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9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0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0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0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1"/>
        </w:numPr>
      </w:pPr>
      <w:r>
        <w:t xml:space="preserve">Follow the advice of ISO/IEC TR 24772-1:2019 clause 6.32.5.</w:t>
      </w:r>
    </w:p>
    <w:p>
      <w:pPr>
        <w:numPr>
          <w:ilvl w:val="0"/>
          <w:numId w:val="1081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1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2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2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2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2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3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4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6.34.5.</w:t>
      </w:r>
    </w:p>
    <w:p>
      <w:pPr>
        <w:numPr>
          <w:ilvl w:val="0"/>
          <w:numId w:val="1085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5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6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7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7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7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7"/>
        </w:numPr>
      </w:pPr>
      <w:r>
        <w:t xml:space="preserve">Avoid error handling based on global state.</w:t>
      </w:r>
    </w:p>
    <w:p>
      <w:pPr>
        <w:numPr>
          <w:ilvl w:val="0"/>
          <w:numId w:val="1087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7"/>
        </w:numPr>
      </w:pPr>
      <w:r>
        <w:t xml:space="preserve">Prefer throwing exceptions to returning error values.</w:t>
      </w:r>
    </w:p>
    <w:p>
      <w:pPr>
        <w:numPr>
          <w:ilvl w:val="0"/>
          <w:numId w:val="1087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7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7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7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7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7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8"/>
        </w:numPr>
      </w:pPr>
      <w:r>
        <w:t xml:space="preserve">Follow the guidelines of ISO/IEC TR 24772-1:2019 clause 6.38.5.</w:t>
      </w:r>
    </w:p>
    <w:p>
      <w:pPr>
        <w:numPr>
          <w:ilvl w:val="0"/>
          <w:numId w:val="1088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8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8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9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9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9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9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9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0"/>
        </w:numPr>
      </w:pPr>
      <w:r>
        <w:t xml:space="preserve">When an unhandled exception escapes its thread of execution</w:t>
      </w:r>
    </w:p>
    <w:p>
      <w:pPr>
        <w:numPr>
          <w:ilvl w:val="0"/>
          <w:numId w:val="1090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1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1"/>
        </w:numPr>
      </w:pPr>
      <w:r>
        <w:t xml:space="preserve">Follow C++ Core guidelines section R and CERT MEM51.</w:t>
      </w:r>
    </w:p>
    <w:p>
      <w:pPr>
        <w:numPr>
          <w:ilvl w:val="0"/>
          <w:numId w:val="1091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1"/>
        </w:numPr>
      </w:pPr>
      <w:r>
        <w:t xml:space="preserve">Use dynamic analysis tools to detect cycles.</w:t>
      </w:r>
    </w:p>
    <w:p>
      <w:pPr>
        <w:numPr>
          <w:ilvl w:val="0"/>
          <w:numId w:val="1091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1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1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2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2"/>
        </w:numPr>
      </w:pPr>
      <w:r>
        <w:t xml:space="preserve">They have no runtime overhead for inline operations; and</w:t>
      </w:r>
    </w:p>
    <w:p>
      <w:pPr>
        <w:numPr>
          <w:ilvl w:val="0"/>
          <w:numId w:val="1092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3"/>
        </w:numPr>
      </w:pPr>
      <w:r>
        <w:t xml:space="preserve">The program compiles and executes safely;</w:t>
      </w:r>
    </w:p>
    <w:p>
      <w:pPr>
        <w:numPr>
          <w:ilvl w:val="0"/>
          <w:numId w:val="1093"/>
        </w:numPr>
      </w:pPr>
      <w:r>
        <w:t xml:space="preserve">The program fails to compile; or</w:t>
      </w:r>
    </w:p>
    <w:p>
      <w:pPr>
        <w:numPr>
          <w:ilvl w:val="0"/>
          <w:numId w:val="1093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4"/>
        </w:numPr>
      </w:pPr>
      <w:r>
        <w:t xml:space="preserve">the first template argument must be a forward iterator.</w:t>
      </w:r>
    </w:p>
    <w:p>
      <w:pPr>
        <w:numPr>
          <w:ilvl w:val="0"/>
          <w:numId w:val="1094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5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5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5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6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5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5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5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7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8"/>
        </w:numPr>
      </w:pPr>
      <w:r>
        <w:t xml:space="preserve">For template specialization, declared the specialization:</w:t>
      </w:r>
    </w:p>
    <w:p>
      <w:pPr>
        <w:numPr>
          <w:ilvl w:val="1"/>
          <w:numId w:val="1099"/>
        </w:numPr>
      </w:pPr>
      <w:r>
        <w:t xml:space="preserve">In the same file as the primary template; or</w:t>
      </w:r>
    </w:p>
    <w:p>
      <w:pPr>
        <w:numPr>
          <w:ilvl w:val="1"/>
          <w:numId w:val="1099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8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0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0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0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0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0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6"/>
        </w:numPr>
      </w:pPr>
      <w:r>
        <w:t xml:space="preserve">Guidance: Keep inheritance hierarchies short</w:t>
      </w:r>
    </w:p>
    <w:p>
      <w:pPr>
        <w:numPr>
          <w:ilvl w:val="0"/>
          <w:numId w:val="1106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6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7"/>
        </w:numPr>
      </w:pPr>
      <w:r>
        <w:t xml:space="preserve">Follow the guidance of ISO/IEC TR 24772-1:2019 clause 41.5.</w:t>
      </w:r>
    </w:p>
    <w:p>
      <w:pPr>
        <w:numPr>
          <w:ilvl w:val="0"/>
          <w:numId w:val="1107"/>
        </w:numPr>
      </w:pPr>
      <w:r>
        <w:t xml:space="preserve">Avoid the use of multiple inheritance whenever possible.</w:t>
      </w:r>
    </w:p>
    <w:p>
      <w:pPr>
        <w:numPr>
          <w:ilvl w:val="0"/>
          <w:numId w:val="1107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7"/>
        </w:numPr>
      </w:pPr>
      <w:r>
        <w:t xml:space="preserve">Keep inheritance hierarchies short and narrow</w:t>
      </w:r>
    </w:p>
    <w:p>
      <w:pPr>
        <w:numPr>
          <w:ilvl w:val="0"/>
          <w:numId w:val="1107"/>
        </w:numPr>
      </w:pPr>
      <w:r>
        <w:t xml:space="preserve">Prefer non-virtual functions to virtual functions</w:t>
      </w:r>
    </w:p>
    <w:p>
      <w:pPr>
        <w:numPr>
          <w:ilvl w:val="0"/>
          <w:numId w:val="1107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7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7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7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7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7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7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7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7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7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8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8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8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8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8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8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9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9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0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0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0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0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1"/>
        </w:numPr>
      </w:pPr>
      <w:r>
        <w:t xml:space="preserve">are the only ones that can be performed implicitly</w:t>
      </w:r>
    </w:p>
    <w:p>
      <w:pPr>
        <w:numPr>
          <w:ilvl w:val="0"/>
          <w:numId w:val="1111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2"/>
        </w:numPr>
      </w:pPr>
      <w:r>
        <w:t xml:space="preserve">are explicit;</w:t>
      </w:r>
    </w:p>
    <w:p>
      <w:pPr>
        <w:numPr>
          <w:ilvl w:val="0"/>
          <w:numId w:val="1112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2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2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3"/>
        </w:numPr>
      </w:pPr>
      <w:r>
        <w:t xml:space="preserve">are explicit</w:t>
      </w:r>
    </w:p>
    <w:p>
      <w:pPr>
        <w:numPr>
          <w:ilvl w:val="0"/>
          <w:numId w:val="1113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3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4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4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4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4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4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4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5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6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7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8"/>
        </w:numPr>
      </w:pPr>
      <w:r>
        <w:t xml:space="preserve">Follow the guidelines of ISO/IEC TR 24772-1 clause 6.47.5.</w:t>
      </w:r>
    </w:p>
    <w:p>
      <w:pPr>
        <w:numPr>
          <w:ilvl w:val="0"/>
          <w:numId w:val="1118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8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9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9"/>
        </w:numPr>
      </w:pPr>
      <w:r>
        <w:t xml:space="preserve">Use standard layout types for the interoperable interfaces.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9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9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9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9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1"/>
        </w:numPr>
      </w:pPr>
      <w:r>
        <w:t xml:space="preserve">Follow the guidance of ISO/IEC TR 24772-1:2019 clause 6.49.5.</w:t>
      </w:r>
    </w:p>
    <w:p>
      <w:pPr>
        <w:numPr>
          <w:ilvl w:val="0"/>
          <w:numId w:val="1121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2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2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2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3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3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3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3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3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3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3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3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3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6.53.5.</w:t>
      </w:r>
    </w:p>
    <w:p>
      <w:pPr>
        <w:numPr>
          <w:ilvl w:val="0"/>
          <w:numId w:val="1124"/>
        </w:numPr>
      </w:pPr>
      <w:r>
        <w:t xml:space="preserve">Enable checks that warn about unsafe operations.</w:t>
      </w:r>
    </w:p>
    <w:p>
      <w:pPr>
        <w:numPr>
          <w:ilvl w:val="0"/>
          <w:numId w:val="1124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5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6"/>
        </w:numPr>
      </w:pPr>
      <w:r>
        <w:t xml:space="preserve">Follow the guidelines of ISO/IEC TR 24772-1:2019 clause 6.56.5.</w:t>
      </w:r>
    </w:p>
    <w:p>
      <w:pPr>
        <w:numPr>
          <w:ilvl w:val="0"/>
          <w:numId w:val="1126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6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6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6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7"/>
        </w:numPr>
      </w:pPr>
      <w:r>
        <w:t xml:space="preserve">Follow the guidelines of ISO/IEC TR 24772-1:2019 clause 6.57.5.</w:t>
      </w:r>
    </w:p>
    <w:p>
      <w:pPr>
        <w:numPr>
          <w:ilvl w:val="0"/>
          <w:numId w:val="1127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7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7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 clause 6.58.5.</w:t>
      </w:r>
    </w:p>
    <w:p>
      <w:pPr>
        <w:numPr>
          <w:ilvl w:val="0"/>
          <w:numId w:val="1128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8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9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9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9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0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0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0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1"/>
        </w:numPr>
      </w:pPr>
      <w:r>
        <w:t xml:space="preserve">Follow the guidance of ISO/IEC TR 24772-1 clause 6.62.5.</w:t>
      </w:r>
    </w:p>
    <w:p>
      <w:pPr>
        <w:numPr>
          <w:ilvl w:val="0"/>
          <w:numId w:val="1131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1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1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2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1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1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3"/>
        </w:numPr>
      </w:pPr>
      <w:r>
        <w:t xml:space="preserve">Follow the guidelines of TR 24772-1 clause 6.63.5.</w:t>
      </w:r>
    </w:p>
    <w:p>
      <w:pPr>
        <w:numPr>
          <w:ilvl w:val="0"/>
          <w:numId w:val="1133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3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4"/>
        </w:numPr>
      </w:pPr>
      <w:r>
        <w:t xml:space="preserve">Follow the guidelines of TR 24772-1 clause 6.63.5.</w:t>
      </w:r>
    </w:p>
    <w:p>
      <w:pPr>
        <w:numPr>
          <w:ilvl w:val="0"/>
          <w:numId w:val="1134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4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4"/>
        </w:numPr>
      </w:pPr>
      <w:r>
        <w:t xml:space="preserve">Use the C++ Task mechanism in preference to threads …</w:t>
      </w:r>
    </w:p>
    <w:p>
      <w:pPr>
        <w:numPr>
          <w:ilvl w:val="0"/>
          <w:numId w:val="1134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4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4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4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4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4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4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4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4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4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4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4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4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4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4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4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4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4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4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4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4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4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4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4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4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4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4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4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4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5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5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5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5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2021-06-29T03:32:01Z</dcterms:created>
  <dcterms:modified xsi:type="dcterms:W3CDTF">2021-06-29T03:32:01Z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