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guidance-to-language-users"/>
    <w:p>
      <w:pPr>
        <w:pStyle w:val="Heading3"/>
      </w:pPr>
      <w:r>
        <w:t xml:space="preserve">6.2.2 Guidance to language users</w:t>
      </w:r>
    </w:p>
    <w:p>
      <w:pPr>
        <w:numPr>
          <w:ilvl w:val="0"/>
          <w:numId w:val="1010"/>
        </w:numPr>
      </w:pPr>
      <w:r>
        <w:t xml:space="preserve">Follow the guidance contained in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2"/>
        </w:numPr>
      </w:pPr>
      <w:r>
        <w:t xml:space="preserve">Follow the general advice of ISO/IEC TR 24772-1:2019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0"/>
        </w:numPr>
      </w:pPr>
      <w:r>
        <w:t xml:space="preserve">Avoid casts and type punning (see C++ Core guidelines ES.48), treat every cast as a candidate 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0"/>
        </w:numPr>
      </w:pPr>
      <w:r>
        <w:t xml:space="preserve">Avoid widening the result of an arithmetic operation; prefer instead to widen the type of 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 using</w:t>
      </w:r>
      <w:r>
        <w:t xml:space="preserve"> </w:t>
      </w:r>
      <w:r>
        <w:rPr>
          <w:rStyle w:val="KeywordTok"/>
        </w:rPr>
        <w:t xml:space="preserve">auto</w:t>
      </w:r>
      <w:r>
        <w:t xml:space="preserve"> </w:t>
      </w:r>
      <w:r>
        <w:t xml:space="preserve">for the predefined types</w:t>
      </w:r>
      <w:r>
        <w:t xml:space="preserve"> </w:t>
      </w:r>
      <w:r>
        <w:t xml:space="preserve">it 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6"/>
        </w:numPr>
      </w:pPr>
      <w:r>
        <w:t xml:space="preserve">Follow the advice provided in ISO/IEC 24772-1:2022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7"/>
        </w:numPr>
      </w:pPr>
      <w:r>
        <w:t xml:space="preserve">Follow the advice provided in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28"/>
        </w:numPr>
      </w:pPr>
      <w:r>
        <w:t xml:space="preserve">Follow the advice provided in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 references when pointers are mentioned.</w:t>
      </w:r>
      <w:r>
        <w:t xml:space="preserve"> </w:t>
      </w:r>
      <w:r>
        <w:t xml:space="preserve">In places where references cannot be substituted the 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w:t>
      </w:r>
      <w:r>
        <w:t xml:space="preserve"> </w:t>
      </w:r>
      <w:r>
        <w:t xml:space="preserve">target type rather than the original type. The C++ standard defines most cases where that happens as undefined behavior.</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w:t>
      </w:r>
      <w:r>
        <w:t xml:space="preserve"> </w:t>
      </w:r>
      <w:r>
        <w:t xml:space="preserve">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is known, which is the case when the types declare virtual member functions. Within a constructor or destructor only the static type of the current class is relevant, because the lifetime of any derived class object hasn’t started or has already ended. 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guidance-to-language-users"/>
    <w:p>
      <w:pPr>
        <w:pStyle w:val="Heading3"/>
      </w:pPr>
      <w:r>
        <w:t xml:space="preserve">6.11.2 Guidance to language users</w:t>
      </w:r>
    </w:p>
    <w:p>
      <w:pPr>
        <w:numPr>
          <w:ilvl w:val="0"/>
          <w:numId w:val="1029"/>
        </w:numPr>
      </w:pPr>
      <w:r>
        <w:t xml:space="preserve">Follow the advice provided in ISO/IEC TR 24772-1:2019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 issued for such conversions</w:t>
      </w:r>
      <w:r>
        <w:t xml:space="preserve"> </w:t>
      </w:r>
      <w:r>
        <w:t xml:space="preserve">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0"/>
        </w:numPr>
      </w:pPr>
      <w:r>
        <w:t xml:space="preserve">Follow the guidance of clause 6.8.2. with respect to ordinary pointer arithmetic of 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0"/>
        </w:numPr>
      </w:pPr>
      <w:r>
        <w:t xml:space="preserve">Compare pointers of unknown realm with the standard library comparison function objects instead of 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35"/>
        </w:numPr>
        <w:pStyle w:val="Compact"/>
      </w:pPr>
      <w:r>
        <w:t xml:space="preserve">Follow the advice of ISO/IEC TR 24772-1:2019 clause 6.16 *Using Shift Operations for Multiplication and Division [PIK].</w:t>
      </w:r>
    </w:p>
    <w:p>
      <w:pPr>
        <w:numPr>
          <w:ilvl w:val="0"/>
          <w:numId w:val="1035"/>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37"/>
        </w:numPr>
      </w:pPr>
      <w:r>
        <w:t xml:space="preserve">Follow the advice of ISO/IEC 24772-1 clause 6.18.</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unused-variabl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4"/>
    <w:bookmarkStart w:id="85" w:name="guidance-to-language-users"/>
    <w:p>
      <w:pPr>
        <w:pStyle w:val="Heading3"/>
      </w:pPr>
      <w:r>
        <w:t xml:space="preserve">6.19.2 Guidance to language users</w:t>
      </w:r>
    </w:p>
    <w:p>
      <w:pPr>
        <w:numPr>
          <w:ilvl w:val="0"/>
          <w:numId w:val="1038"/>
        </w:numPr>
      </w:pPr>
      <w:r>
        <w:t xml:space="preserve">Follow the guidance of ISO/IEC TR 24772-1:2019 clause 6.19.5.</w:t>
      </w:r>
    </w:p>
    <w:p>
      <w:pPr>
        <w:numPr>
          <w:ilvl w:val="0"/>
          <w:numId w:val="1038"/>
        </w:numPr>
      </w:pPr>
      <w:r>
        <w:t xml:space="preserve">Resolve all compiler warnings for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of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guidance-to-language-users"/>
    <w:p>
      <w:pPr>
        <w:pStyle w:val="Heading3"/>
      </w:pPr>
      <w:r>
        <w:t xml:space="preserve">6.20.2 Guidance to language users</w:t>
      </w:r>
    </w:p>
    <w:p>
      <w:pPr>
        <w:numPr>
          <w:ilvl w:val="0"/>
          <w:numId w:val="1039"/>
        </w:numPr>
      </w:pPr>
      <w:r>
        <w:t xml:space="preserve">Follow the guidance of ISO/IEC TR 24772-1:2019 clause 6.20,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 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guidance-to-language-users"/>
    <w:p>
      <w:pPr>
        <w:pStyle w:val="Heading3"/>
      </w:pPr>
      <w:r>
        <w:t xml:space="preserve">6.21.2 Guidance to language users</w:t>
      </w:r>
    </w:p>
    <w:p>
      <w:pPr>
        <w:numPr>
          <w:ilvl w:val="0"/>
          <w:numId w:val="1043"/>
        </w:numPr>
      </w:pPr>
      <w:r>
        <w:t xml:space="preserve">Follow the guidance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w:t>
      </w:r>
      <w:r>
        <w:t xml:space="preserve"> </w:t>
      </w:r>
      <w:r>
        <w:t xml:space="preserve">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 equivalent, will have</w:t>
      </w:r>
      <w:r>
        <w:t xml:space="preserve"> </w:t>
      </w:r>
      <w:r>
        <w:t xml:space="preserve">an indeterminate value.</w:t>
      </w:r>
    </w:p>
    <w:p>
      <w:pPr>
        <w:pStyle w:val="BodyText"/>
      </w:pPr>
      <w:r>
        <w:t xml:space="preserve">An object that does not have a trivial type requires a constructor to be called in order for its 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 behavior, see</w:t>
      </w:r>
      <w:r>
        <w:t xml:space="preserve"> </w:t>
      </w:r>
      <w:r>
        <w:t xml:space="preserve">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w:t>
      </w:r>
      <w:r>
        <w:t xml:space="preserve"> </w:t>
      </w:r>
      <w:r>
        <w:t xml:space="preserve">expression that provides the initial value, permits the variable to be initialized when defined.</w:t>
      </w:r>
    </w:p>
    <w:p>
      <w:pPr>
        <w:pStyle w:val="BodyText"/>
      </w:pPr>
      <w:r>
        <w:t xml:space="preserve">Furthermore, a class with a user-defined constructor can choose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p>
    <w:p>
      <w:pPr>
        <w:pStyle w:val="BodyText"/>
      </w:pPr>
      <w:r>
        <w:t xml:space="preserve">In addition some of the rules of initialization in C++ are complicated. For example, there are the 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5"/>
        </w:numPr>
        <w:pStyle w:val="Compact"/>
      </w:pPr>
      <w:r>
        <w:t xml:space="preserve">Follow the guidance provided in ISO 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 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7"/>
        </w:numPr>
      </w:pPr>
      <w:r>
        <w:t xml:space="preserve">Follow the guidance provided in ISO/IEC TR 24772-1:2019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49"/>
        </w:numPr>
      </w:pPr>
      <w:r>
        <w:t xml:space="preserve">Follow the guidance provided in ISO/IEC TR 24772-1:2019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 are not part of the executable program.</w:t>
      </w:r>
      <w:r>
        <w:t xml:space="preserve"> </w:t>
      </w:r>
      <w:r>
        <w:t xml:space="preserve">But the mechanisms at compile time guarantee that the corresponding code never becomes part of the executable program.</w:t>
      </w:r>
      <w:r>
        <w:t xml:space="preserve"> </w:t>
      </w:r>
      <w:r>
        <w:t xml:space="preserve">However, a programmer might be unaware of all details with respect to the language mechnisms and thus make subtle errors leading to code selected for the executable program that was unintended.</w:t>
      </w:r>
    </w:p>
    <w:p>
      <w:pPr>
        <w:pStyle w:val="BodyText"/>
      </w:pPr>
      <w:r>
        <w:t xml:space="preserve">If there is code that was once needed or might be needed in the future, programmers might opt to comment or use preprocessor conditional compilation to exclude such parts.</w:t>
      </w:r>
      <w:r>
        <w:t xml:space="preserve"> </w:t>
      </w:r>
      <w:r>
        <w:t xml:space="preserve">The latter might even be confusing, because an intentionally undefined macro might be defined for a specific compilation outside of the program source text.</w:t>
      </w:r>
      <w:r>
        <w:t xml:space="preserve"> </w:t>
      </w:r>
      <w:r>
        <w:t xml:space="preserve">Modern version control systems are better places to keep unused code in a revision or branch and ressurect it if needed through a merge.</w:t>
      </w:r>
    </w:p>
    <w:bookmarkEnd w:id="107"/>
    <w:bookmarkStart w:id="108" w:name="guidance-to-language-users"/>
    <w:p>
      <w:pPr>
        <w:pStyle w:val="Heading3"/>
      </w:pPr>
      <w:r>
        <w:t xml:space="preserve">6.26.2 Guidance to language users</w:t>
      </w:r>
    </w:p>
    <w:p>
      <w:pPr>
        <w:numPr>
          <w:ilvl w:val="0"/>
          <w:numId w:val="1055"/>
        </w:numPr>
      </w:pPr>
      <w:r>
        <w:t xml:space="preserve">Follow the guidance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6"/>
        </w:numPr>
      </w:pPr>
      <w:r>
        <w:t xml:space="preserve">Apply the guidance provided in ISO/IEC TR 24772-1:2019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7"/>
        </w:numPr>
      </w:pPr>
      <w:r>
        <w:t xml:space="preserve">Follow the rules provided in ISO/IEC TR 24772-1:2019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58"/>
        </w:numPr>
      </w:pPr>
      <w:r>
        <w:t xml:space="preserve">Apply the guidance of ISO/IEC TR 24772-1:2019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0"/>
        </w:numPr>
      </w:pPr>
      <w:r>
        <w:t xml:space="preserve">Follow the guidance of ISO/IEC TR 24772-1:2019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guidance-to-language-users"/>
    <w:p>
      <w:pPr>
        <w:pStyle w:val="Heading3"/>
      </w:pPr>
      <w:r>
        <w:t xml:space="preserve">6.31.2 Guidance to language users</w:t>
      </w:r>
    </w:p>
    <w:p>
      <w:pPr>
        <w:numPr>
          <w:ilvl w:val="0"/>
          <w:numId w:val="1061"/>
        </w:numPr>
      </w:pPr>
      <w:r>
        <w:t xml:space="preserve">Follow the guidance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3"/>
        </w:numPr>
      </w:pPr>
      <w:r>
        <w:t xml:space="preserve">Follow the advice of ISO/IEC TR 24772-1:2019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68"/>
        </w:numPr>
      </w:pPr>
      <w:r>
        <w:t xml:space="preserve">Follow the guidelines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recursion-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5"/>
    <w:bookmarkStart w:id="136" w:name="guidance-to-language-users"/>
    <w:p>
      <w:pPr>
        <w:pStyle w:val="Heading3"/>
      </w:pPr>
      <w:r>
        <w:t xml:space="preserve">6.35.2 Guidance to language users</w:t>
      </w:r>
    </w:p>
    <w:p>
      <w:pPr>
        <w:numPr>
          <w:ilvl w:val="0"/>
          <w:numId w:val="1069"/>
        </w:numPr>
        <w:pStyle w:val="Compact"/>
      </w:pPr>
      <w:r>
        <w:t xml:space="preserve">Apply the guidance described in TR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0"/>
        </w:numPr>
      </w:pPr>
      <w:r>
        <w:t xml:space="preserve">Follow the mitigation mechanisms of subclause 6.36.5 of ISO/IEC TR</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1"/>
        </w:numPr>
      </w:pPr>
      <w:r>
        <w:t xml:space="preserve">Follow the guidelines of ISO/IEC TR 24772-1:2019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guidance-to-language-users"/>
    <w:p>
      <w:pPr>
        <w:pStyle w:val="Heading3"/>
      </w:pPr>
      <w:r>
        <w:t xml:space="preserve">6.38.2 Guidance to language users</w:t>
      </w:r>
    </w:p>
    <w:p>
      <w:pPr>
        <w:numPr>
          <w:ilvl w:val="0"/>
          <w:numId w:val="1072"/>
        </w:numPr>
      </w:pPr>
      <w:r>
        <w:t xml:space="preserve">Follow the guidance given in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7"/>
        </w:numPr>
      </w:pPr>
      <w:r>
        <w:t xml:space="preserve">Follow the guidance contained in ISO/IEC TR 24772-1:2019,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guidance-to-language-users"/>
    <w:p>
      <w:pPr>
        <w:pStyle w:val="Heading2"/>
      </w:pPr>
      <w:r>
        <w:t xml:space="preserve">6.41.2 Guidance to language users</w:t>
      </w:r>
    </w:p>
    <w:p>
      <w:pPr>
        <w:numPr>
          <w:ilvl w:val="0"/>
          <w:numId w:val="1082"/>
        </w:numPr>
      </w:pPr>
      <w:r>
        <w:t xml:space="preserve">Follow the guidance of ISO/IEC TR 24772-1:2019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89"/>
        </w:numPr>
      </w:pPr>
      <w:r>
        <w:t xml:space="preserve">Follow the advice provided in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X55bd296e10415834c88a31dc7bdb369008ebbff"/>
    <w:p>
      <w:pPr>
        <w:pStyle w:val="Heading3"/>
      </w:pPr>
      <w:r>
        <w:t xml:space="preserve">6.45.2 Avoiding the vulnerability or mitigating its effects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guidance-to-language-users"/>
    <w:p>
      <w:pPr>
        <w:pStyle w:val="Heading3"/>
      </w:pPr>
      <w:r>
        <w:t xml:space="preserve">6.46.2 Guidance to language users</w:t>
      </w:r>
    </w:p>
    <w:p>
      <w:pPr>
        <w:numPr>
          <w:ilvl w:val="0"/>
          <w:numId w:val="1090"/>
        </w:numPr>
      </w:pPr>
      <w:r>
        <w:t xml:space="preserve">Follow the guidelines of ISO/IEC TR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guidance-to-language-users"/>
    <w:p>
      <w:pPr>
        <w:pStyle w:val="Heading3"/>
      </w:pPr>
      <w:r>
        <w:t xml:space="preserve">6.47.2 Guidance to language users</w:t>
      </w:r>
    </w:p>
    <w:p>
      <w:pPr>
        <w:numPr>
          <w:ilvl w:val="0"/>
          <w:numId w:val="1091"/>
        </w:numPr>
      </w:pPr>
      <w:r>
        <w:t xml:space="preserve">Follow the guidance contained in ISO/IEC TR 24772-1:2019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Xfd4a54be17d3eceb94ec5c5981ef893e36604c5"/>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4"/>
    <w:bookmarkStart w:id="175" w:name="guidance-to-language-users"/>
    <w:p>
      <w:pPr>
        <w:pStyle w:val="Heading3"/>
      </w:pPr>
      <w:r>
        <w:t xml:space="preserve">6.48.2 Guidance to language users</w:t>
      </w:r>
    </w:p>
    <w:p>
      <w:pPr>
        <w:pStyle w:val="FirstParagraph"/>
      </w:pPr>
      <w:r>
        <w:t xml:space="preserve">Follow the guidance of ISO/IEC TR 24772-1:2019 clause 6.48.5.</w:t>
      </w:r>
    </w:p>
    <w:bookmarkEnd w:id="175"/>
    <w:bookmarkEnd w:id="176"/>
    <w:bookmarkStart w:id="179" w:name="library-signatur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guidance-to-language-users"/>
    <w:p>
      <w:pPr>
        <w:pStyle w:val="Heading3"/>
      </w:pPr>
      <w:r>
        <w:t xml:space="preserve">6.49.2 Guidance to language users</w:t>
      </w:r>
    </w:p>
    <w:p>
      <w:pPr>
        <w:pStyle w:val="FirstParagraph"/>
      </w:pPr>
      <w:r>
        <w:t xml:space="preserve">From Part 1, 6.49.5</w:t>
      </w:r>
    </w:p>
    <w:p>
      <w:pPr>
        <w:numPr>
          <w:ilvl w:val="0"/>
          <w:numId w:val="1093"/>
        </w:numPr>
      </w:pPr>
      <w:r>
        <w:t xml:space="preserve">Follow the guidance of ISO/IEC TR 24772-1:2019 clause 6.49.5.</w:t>
      </w:r>
    </w:p>
    <w:p>
      <w:pPr>
        <w:numPr>
          <w:ilvl w:val="0"/>
          <w:numId w:val="1093"/>
        </w:numPr>
      </w:pPr>
      <w:r>
        <w:t xml:space="preserve">Follow the advice of clause 6.47.2 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guidance-to-language-users"/>
    <w:p>
      <w:pPr>
        <w:pStyle w:val="Heading3"/>
      </w:pPr>
      <w:r>
        <w:t xml:space="preserve">6.50.2 Guidance to language users</w:t>
      </w:r>
    </w:p>
    <w:p>
      <w:pPr>
        <w:numPr>
          <w:ilvl w:val="0"/>
          <w:numId w:val="1094"/>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4"/>
        </w:numPr>
      </w:pPr>
      <w:r>
        <w:t xml:space="preserve">Follow the advice of clause 6.36.2 for catching and handling</w:t>
      </w:r>
      <w:r>
        <w:t xml:space="preserve"> </w:t>
      </w:r>
      <w:r>
        <w:t xml:space="preserve">exceptions.</w:t>
      </w:r>
    </w:p>
    <w:p>
      <w:pPr>
        <w:numPr>
          <w:ilvl w:val="0"/>
          <w:numId w:val="1094"/>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guidance-to-language-users"/>
    <w:p>
      <w:pPr>
        <w:pStyle w:val="Heading3"/>
      </w:pPr>
      <w:r>
        <w:t xml:space="preserve">6.51.2 Guidance to language users</w:t>
      </w:r>
    </w:p>
    <w:p>
      <w:pPr>
        <w:numPr>
          <w:ilvl w:val="0"/>
          <w:numId w:val="1095"/>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5"/>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5"/>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5"/>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5"/>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5"/>
        </w:numPr>
      </w:pPr>
      <w:r>
        <w:t xml:space="preserve">If a function-like macro must be used, ensure that its</w:t>
      </w:r>
      <w:r>
        <w:t xml:space="preserve"> </w:t>
      </w:r>
      <w:r>
        <w:t xml:space="preserve">parameters and body are parenthesized.</w:t>
      </w:r>
    </w:p>
    <w:p>
      <w:pPr>
        <w:numPr>
          <w:ilvl w:val="0"/>
          <w:numId w:val="1095"/>
        </w:numPr>
      </w:pPr>
      <w:r>
        <w:t xml:space="preserve">In a function-like macro, ensure that each argument is evaluated at</w:t>
      </w:r>
      <w:r>
        <w:t xml:space="preserve"> </w:t>
      </w:r>
      <w:r>
        <w:t xml:space="preserve">most once.</w:t>
      </w:r>
    </w:p>
    <w:p>
      <w:pPr>
        <w:numPr>
          <w:ilvl w:val="0"/>
          <w:numId w:val="1095"/>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5"/>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5"/>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096"/>
        </w:numPr>
      </w:pPr>
      <w:r>
        <w:t xml:space="preserve">Follow the guidelines of ISO/IEC TR 24772-1:2019 clause 6.53.5.</w:t>
      </w:r>
    </w:p>
    <w:p>
      <w:pPr>
        <w:numPr>
          <w:ilvl w:val="0"/>
          <w:numId w:val="1096"/>
        </w:numPr>
      </w:pPr>
      <w:r>
        <w:t xml:space="preserve">Enable checks that warn about unsafe operations.</w:t>
      </w:r>
    </w:p>
    <w:p>
      <w:pPr>
        <w:numPr>
          <w:ilvl w:val="0"/>
          <w:numId w:val="1096"/>
        </w:numPr>
      </w:pPr>
      <w:r>
        <w:t xml:space="preserve">Use static analysis tools to detect unsafe constructs.</w:t>
      </w:r>
    </w:p>
    <w:bookmarkEnd w:id="190"/>
    <w:bookmarkEnd w:id="191"/>
    <w:bookmarkStart w:id="194" w:name="obscure-language-features-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2"/>
    <w:bookmarkStart w:id="193" w:name="guidance-to-language-users"/>
    <w:p>
      <w:pPr>
        <w:pStyle w:val="Heading3"/>
      </w:pPr>
      <w:r>
        <w:t xml:space="preserve">6.54.2 Guidance to language users</w:t>
      </w:r>
    </w:p>
    <w:p>
      <w:pPr>
        <w:numPr>
          <w:ilvl w:val="0"/>
          <w:numId w:val="1097"/>
        </w:numPr>
        <w:pStyle w:val="Compact"/>
      </w:pPr>
      <w:r>
        <w:t xml:space="preserve">Follow the guidelines of ISO/IEC TR 24772-1:2019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098"/>
        </w:numPr>
      </w:pPr>
      <w:r>
        <w:t xml:space="preserve">Follow the guidelines of ISO/IEC TR 24772-1:2019 clause 6.56.5.</w:t>
      </w:r>
    </w:p>
    <w:p>
      <w:pPr>
        <w:numPr>
          <w:ilvl w:val="0"/>
          <w:numId w:val="1098"/>
        </w:numPr>
      </w:pPr>
      <w:r>
        <w:t xml:space="preserve">Use static analysis tools to help identify occurrences of undefined</w:t>
      </w:r>
      <w:r>
        <w:t xml:space="preserve"> </w:t>
      </w:r>
      <w:r>
        <w:t xml:space="preserve">behaviour.</w:t>
      </w:r>
    </w:p>
    <w:p>
      <w:pPr>
        <w:numPr>
          <w:ilvl w:val="0"/>
          <w:numId w:val="1098"/>
        </w:numPr>
      </w:pPr>
      <w:r>
        <w:t xml:space="preserve">Augment static analysis tool usage with runtime tools such as ASAN</w:t>
      </w:r>
      <w:r>
        <w:t xml:space="preserve"> </w:t>
      </w:r>
      <w:r>
        <w:t xml:space="preserve">(address sanitizer) and related tools.</w:t>
      </w:r>
    </w:p>
    <w:p>
      <w:pPr>
        <w:numPr>
          <w:ilvl w:val="0"/>
          <w:numId w:val="1098"/>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8"/>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099"/>
        </w:numPr>
      </w:pPr>
      <w:r>
        <w:t xml:space="preserve">Follow the guidelines of ISO/IEC TR 24772-1:2019 clause 6.57.5.</w:t>
      </w:r>
    </w:p>
    <w:p>
      <w:pPr>
        <w:numPr>
          <w:ilvl w:val="0"/>
          <w:numId w:val="1099"/>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099"/>
        </w:numPr>
      </w:pPr>
      <w:r>
        <w:t xml:space="preserve">Use multiple compilers/tools to increase your chance of identifying</w:t>
      </w:r>
      <w:r>
        <w:t xml:space="preserve"> </w:t>
      </w:r>
      <w:r>
        <w:t xml:space="preserve">constructs that have implementation-defined behaviours.</w:t>
      </w:r>
    </w:p>
    <w:p>
      <w:pPr>
        <w:numPr>
          <w:ilvl w:val="0"/>
          <w:numId w:val="1099"/>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0"/>
        </w:numPr>
      </w:pPr>
      <w:r>
        <w:t xml:space="preserve">Follow the guidelines of ISO/IEC TR 24772-1 clause 6.58.5.</w:t>
      </w:r>
    </w:p>
    <w:p>
      <w:pPr>
        <w:numPr>
          <w:ilvl w:val="0"/>
          <w:numId w:val="1100"/>
        </w:numPr>
      </w:pPr>
      <w:r>
        <w:t xml:space="preserve">Enable compiler options or static analysis tools that identify the</w:t>
      </w:r>
      <w:r>
        <w:t xml:space="preserve"> </w:t>
      </w:r>
      <w:r>
        <w:t xml:space="preserve">use of deprecated features.</w:t>
      </w:r>
    </w:p>
    <w:p>
      <w:pPr>
        <w:numPr>
          <w:ilvl w:val="0"/>
          <w:numId w:val="1100"/>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1"/>
        </w:numPr>
        <w:pStyle w:val="Compact"/>
      </w:pPr>
      <w:r>
        <w:t xml:space="preserve">6.61 Concurrent Data Access,</w:t>
      </w:r>
    </w:p>
    <w:p>
      <w:pPr>
        <w:numPr>
          <w:ilvl w:val="0"/>
          <w:numId w:val="1101"/>
        </w:numPr>
        <w:pStyle w:val="Compact"/>
      </w:pPr>
      <w:r>
        <w:t xml:space="preserve">6.14 and 6.33 dangling of data reference, if data is passed to the thread function as reference or pointer, instead of passing a copy.</w:t>
      </w:r>
    </w:p>
    <w:p>
      <w:pPr>
        <w:numPr>
          <w:ilvl w:val="0"/>
          <w:numId w:val="1101"/>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2"/>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2"/>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2"/>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3"/>
        </w:numPr>
      </w:pPr>
      <w:r>
        <w:t xml:space="preserve">Follow the guidance of ISO/IEC TR 24772-1 clause 6.62.5.</w:t>
      </w:r>
    </w:p>
    <w:p>
      <w:pPr>
        <w:numPr>
          <w:ilvl w:val="0"/>
          <w:numId w:val="1103"/>
        </w:numPr>
      </w:pPr>
      <w:r>
        <w:t xml:space="preserve">Use mutexes, condition variables (convar) in preference to atomic</w:t>
      </w:r>
      <w:r>
        <w:t xml:space="preserve"> </w:t>
      </w:r>
      <w:r>
        <w:t xml:space="preserve">variables to protect data from simultaneous access.</w:t>
      </w:r>
    </w:p>
    <w:p>
      <w:pPr>
        <w:numPr>
          <w:ilvl w:val="0"/>
          <w:numId w:val="1103"/>
        </w:numPr>
      </w:pPr>
      <w:r>
        <w:t xml:space="preserve">Use volatile only for synchronizing abstract machine state from</w:t>
      </w:r>
      <w:r>
        <w:t xml:space="preserve"> </w:t>
      </w:r>
      <w:r>
        <w:t xml:space="preserve">memory.</w:t>
      </w:r>
    </w:p>
    <w:p>
      <w:pPr>
        <w:numPr>
          <w:ilvl w:val="0"/>
          <w:numId w:val="1103"/>
        </w:numPr>
      </w:pPr>
      <w:r>
        <w:t xml:space="preserve">Avoid the use of volatile for synchronizing access to shared memory</w:t>
      </w:r>
      <w:r>
        <w:t xml:space="preserve"> </w:t>
      </w:r>
      <w:r>
        <w:t xml:space="preserve">between threads (which needs mutex, condvar, or atomics)</w:t>
      </w:r>
    </w:p>
    <w:p>
      <w:pPr>
        <w:numPr>
          <w:ilvl w:val="1"/>
          <w:numId w:val="1104"/>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3"/>
        </w:numPr>
      </w:pPr>
      <w:r>
        <w:t xml:space="preserve">Avoid relaxed atomic operations whenever possible. Prefer the</w:t>
      </w:r>
      <w:r>
        <w:t xml:space="preserve"> </w:t>
      </w:r>
      <w:r>
        <w:t xml:space="preserve">sequentially consistent std::memory_order_seq_cst instead .</w:t>
      </w:r>
    </w:p>
    <w:p>
      <w:pPr>
        <w:numPr>
          <w:ilvl w:val="0"/>
          <w:numId w:val="1103"/>
        </w:numPr>
      </w:pPr>
      <w:r>
        <w:t xml:space="preserve">Use mutexes appropriately to protect accesses to non-atomic shared</w:t>
      </w:r>
      <w:r>
        <w:t xml:space="preserve"> </w:t>
      </w:r>
      <w:r>
        <w:t xml:space="preserve">objects.</w:t>
      </w:r>
    </w:p>
    <w:p>
      <w:pPr>
        <w:numPr>
          <w:ilvl w:val="0"/>
          <w:numId w:val="1103"/>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5"/>
        </w:numPr>
      </w:pPr>
      <w:r>
        <w:t xml:space="preserve">Follow the guidelines of TR 24772-1 clause 6.63.5.</w:t>
      </w:r>
    </w:p>
    <w:p>
      <w:pPr>
        <w:numPr>
          <w:ilvl w:val="0"/>
          <w:numId w:val="1105"/>
        </w:numPr>
      </w:pPr>
      <w:r>
        <w:t xml:space="preserve">Use low-level operating system primitives or other APIs where</w:t>
      </w:r>
      <w:r>
        <w:t xml:space="preserve"> </w:t>
      </w:r>
      <w:r>
        <w:t xml:space="preserve">available to check that a required thread is still active.</w:t>
      </w:r>
    </w:p>
    <w:p>
      <w:pPr>
        <w:numPr>
          <w:ilvl w:val="0"/>
          <w:numId w:val="1105"/>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6"/>
        </w:numPr>
      </w:pPr>
      <w:r>
        <w:t xml:space="preserve">Follow the guidelines of TR 24772-1 clause 6.63.5.</w:t>
      </w:r>
    </w:p>
    <w:p>
      <w:pPr>
        <w:numPr>
          <w:ilvl w:val="0"/>
          <w:numId w:val="1106"/>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6"/>
        </w:numPr>
      </w:pPr>
      <w:r>
        <w:t xml:space="preserve">Use higher level building blocks (such as TBB) in preference to …</w:t>
      </w:r>
    </w:p>
    <w:p>
      <w:pPr>
        <w:numPr>
          <w:ilvl w:val="0"/>
          <w:numId w:val="1106"/>
        </w:numPr>
      </w:pPr>
      <w:r>
        <w:t xml:space="preserve">Use the C++ Task mechanism in preference to threads …</w:t>
      </w:r>
    </w:p>
    <w:p>
      <w:pPr>
        <w:numPr>
          <w:ilvl w:val="0"/>
          <w:numId w:val="1106"/>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6"/>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6"/>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6"/>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6"/>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6"/>
        </w:numPr>
      </w:pPr>
      <w:r>
        <w:rPr>
          <w:i/>
          <w:b/>
        </w:rPr>
        <w:t xml:space="preserve">Do not use platform specific multi-threading facilities</w:t>
      </w:r>
    </w:p>
    <w:p>
      <w:pPr>
        <w:numPr>
          <w:ilvl w:val="0"/>
          <w:numId w:val="1106"/>
        </w:numPr>
      </w:pPr>
      <w:r>
        <w:rPr>
          <w:i/>
          <w:b/>
        </w:rPr>
        <w:t xml:space="preserve">A thread shall not access objects whose lifetime has expired</w:t>
      </w:r>
    </w:p>
    <w:p>
      <w:pPr>
        <w:numPr>
          <w:ilvl w:val="0"/>
          <w:numId w:val="1106"/>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6"/>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6"/>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6"/>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6"/>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6"/>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6"/>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6"/>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6"/>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6"/>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6"/>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6"/>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6"/>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6"/>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6"/>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6"/>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6"/>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6"/>
        </w:numPr>
      </w:pPr>
      <w:r>
        <w:t xml:space="preserve">0.10.2 [36] Source CCG Rule CP.101: Distrust your</w:t>
      </w:r>
      <w:r>
        <w:t xml:space="preserve"> </w:t>
      </w:r>
      <w:r>
        <w:t xml:space="preserve">hardware/compiler combination</w:t>
      </w:r>
    </w:p>
    <w:p>
      <w:pPr>
        <w:numPr>
          <w:ilvl w:val="0"/>
          <w:numId w:val="1106"/>
        </w:numPr>
      </w:pPr>
      <w:r>
        <w:t xml:space="preserve">0.10.3 [37] Source CCG Rule CP.102: Carefully study the literature</w:t>
      </w:r>
    </w:p>
    <w:p>
      <w:pPr>
        <w:numPr>
          <w:ilvl w:val="0"/>
          <w:numId w:val="1106"/>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6"/>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6"/>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7"/>
        </w:numPr>
      </w:pPr>
      <w:r>
        <w:t xml:space="preserve">Do not cast-away</w:t>
      </w:r>
      <w:r>
        <w:t xml:space="preserve"> </w:t>
      </w:r>
      <w:r>
        <w:rPr>
          <w:rStyle w:val="AttributeTok"/>
        </w:rPr>
        <w:t xml:space="preserve">const</w:t>
      </w:r>
      <w:r>
        <w:t xml:space="preserve">.</w:t>
      </w:r>
    </w:p>
    <w:p>
      <w:pPr>
        <w:numPr>
          <w:ilvl w:val="0"/>
          <w:numId w:val="1107"/>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7"/>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7"/>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7"/>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8"/>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8"/>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8"/>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8"/>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8"/>
        </w:numPr>
        <w:pStyle w:val="SourceCode"/>
      </w:pPr>
      <w:r>
        <w:rPr>
          <w:rStyle w:val="VerbatimChar"/>
        </w:rPr>
        <w:t xml:space="preserve">Defining an array type that does automatic bounds checking.</w:t>
      </w:r>
    </w:p>
    <w:p>
      <w:pPr>
        <w:numPr>
          <w:ilvl w:val="0"/>
          <w:numId w:val="1108"/>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8"/>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8"/>
        </w:numPr>
        <w:pStyle w:val="SourceCode"/>
      </w:pPr>
      <w:r>
        <w:rPr>
          <w:rStyle w:val="VerbatimChar"/>
        </w:rPr>
        <w:t xml:space="preserve">Defining an array type that does automatic bounds checking.</w:t>
      </w:r>
    </w:p>
    <w:p>
      <w:pPr>
        <w:numPr>
          <w:ilvl w:val="0"/>
          <w:numId w:val="1108"/>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8"/>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8"/>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8"/>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8"/>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8"/>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8"/>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8"/>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8"/>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8"/>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8"/>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8"/>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8"/>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8"/>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2022-11-28T16:22:40Z</dcterms:created>
  <dcterms:modified xsi:type="dcterms:W3CDTF">2022-11-28T16:22:40Z</dcterms:modified>
</cp:coreProperties>
</file>

<file path=docProps/custom.xml><?xml version="1.0" encoding="utf-8"?>
<Properties xmlns="http://schemas.openxmlformats.org/officeDocument/2006/custom-properties" xmlns:vt="http://schemas.openxmlformats.org/officeDocument/2006/docPropsVTypes"/>
</file>