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w:t>
      </w:r>
      <w:r>
        <w:t xml:space="preserve"> </w:t>
      </w:r>
      <w:r>
        <w:rPr>
          <w:i/>
        </w:rPr>
        <w:t xml:space="preserve">pointer-like</w:t>
      </w:r>
      <w:r>
        <w:t xml:space="preserve"> </w:t>
      </w:r>
      <w:r>
        <w:t xml:space="preserve">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Any attempt to access an object outside</w:t>
      </w:r>
      <w:r>
        <w:t xml:space="preserve"> </w:t>
      </w:r>
      <w:r>
        <w:t xml:space="preserve">of its lifetime through a</w:t>
      </w:r>
      <w:r>
        <w:t xml:space="preserve"> </w:t>
      </w:r>
      <w:r>
        <w:rPr>
          <w:i/>
        </w:rPr>
        <w:t xml:space="preserve">pointer-like</w:t>
      </w:r>
      <w:r>
        <w:t xml:space="preserve"> </w:t>
      </w:r>
      <w:r>
        <w:t xml:space="preserve">object is</w:t>
      </w:r>
      <w:r>
        <w:t xml:space="preserve"> </w:t>
      </w:r>
      <w:r>
        <w:rPr>
          <w:i/>
        </w:rPr>
        <w:t xml:space="preserve">undefined behaviour</w:t>
      </w:r>
      <w:r>
        <w:t xml:space="preserve"> </w:t>
      </w:r>
      <w:r>
        <w:t xml:space="preserve">(see</w:t>
      </w:r>
      <w:r>
        <w:t xml:space="preserve"> </w:t>
      </w:r>
      <w:hyperlink w:anchor="EWF">
        <w:r>
          <w:rPr>
            <w:rStyle w:val="Hyperlink"/>
          </w:rPr>
          <w:t xml:space="preserve">EWF</w:t>
        </w:r>
      </w:hyperlink>
      <w:r>
        <w:t xml:space="preserve">).</w:t>
      </w:r>
      <w:r>
        <w:t xml:space="preserve"> </w:t>
      </w:r>
      <w:r>
        <w:t xml:space="preserve">In addition, user-defined class types can be</w:t>
      </w:r>
      <w:r>
        <w:t xml:space="preserve"> </w:t>
      </w:r>
      <w:r>
        <w:rPr>
          <w:i/>
        </w:rPr>
        <w:t xml:space="preserve">pointer-like</w:t>
      </w:r>
      <w:r>
        <w:t xml:space="preserve"> </w:t>
      </w:r>
      <w:r>
        <w:t xml:space="preserve">types, if a subobject is of</w:t>
      </w:r>
      <w:r>
        <w:t xml:space="preserve"> </w:t>
      </w:r>
      <w:r>
        <w:rPr>
          <w:i/>
        </w:rPr>
        <w:t xml:space="preserve">pointer-like</w:t>
      </w:r>
      <w:r>
        <w:t xml:space="preserve"> </w:t>
      </w:r>
      <w:r>
        <w:t xml:space="preserve">type and it refers to an object (</w:t>
      </w:r>
      <w:r>
        <w:rPr>
          <w:i/>
        </w:rPr>
        <w:t xml:space="preserve">target</w:t>
      </w:r>
      <w:r>
        <w:t xml:space="preserve">) whose lifetime is different from and not managed</w:t>
      </w:r>
      <w:r>
        <w:t xml:space="preserve"> </w:t>
      </w:r>
      <w:r>
        <w:t xml:space="preserve">by the current object.</w:t>
      </w:r>
    </w:p>
    <w:p>
      <w:pPr>
        <w:pStyle w:val="BodyText"/>
      </w:pPr>
      <w:r>
        <w:t xml:space="preserve">If the lifetime of a</w:t>
      </w:r>
      <w:r>
        <w:t xml:space="preserve"> </w:t>
      </w:r>
      <w:r>
        <w:rPr>
          <w:i/>
        </w:rPr>
        <w:t xml:space="preserve">pointer-like</w:t>
      </w:r>
      <w:r>
        <w:t xml:space="preserve"> </w:t>
      </w:r>
      <w:r>
        <w:t xml:space="preserve">object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object.</w:t>
      </w:r>
      <w:r>
        <w:t xml:space="preserve"> </w:t>
      </w:r>
      <w:r>
        <w:t xml:space="preserve">This is the primary C++ strategy for avoiding vulnerabilities of dangling</w:t>
      </w:r>
      <w:r>
        <w:t xml:space="preserve"> </w:t>
      </w:r>
      <w:r>
        <w:rPr>
          <w:i/>
        </w:rPr>
        <w:t xml:space="preserve">pointer-like</w:t>
      </w:r>
      <w:r>
        <w:t xml:space="preserve"> </w:t>
      </w:r>
      <w:r>
        <w:t xml:space="preserve">objects.</w:t>
      </w:r>
      <w:r>
        <w:t xml:space="preserve"> </w:t>
      </w:r>
      <w:r>
        <w:t xml:space="preserve">For example, an argument to a</w:t>
      </w:r>
      <w:r>
        <w:t xml:space="preserve"> </w:t>
      </w:r>
      <w:r>
        <w:rPr>
          <w:i/>
        </w:rPr>
        <w:t xml:space="preserve">pointer-like</w:t>
      </w:r>
      <w:r>
        <w:t xml:space="preserve"> </w:t>
      </w:r>
      <w:r>
        <w:t xml:space="preserve">function parameter has a longer lifetime than the</w:t>
      </w:r>
      <w:r>
        <w:t xml:space="preserve"> </w:t>
      </w:r>
      <w:r>
        <w:rPr>
          <w:i/>
        </w:rPr>
        <w:t xml:space="preserve">pointer-like</w:t>
      </w:r>
      <w:r>
        <w:t xml:space="preserve"> </w:t>
      </w:r>
      <w:r>
        <w:t xml:space="preserve">parameter object.</w:t>
      </w:r>
      <w:r>
        <w:t xml:space="preserve"> </w:t>
      </w:r>
      <w:r>
        <w:t xml:space="preserve">This lifetime guarantee does not apply if</w:t>
      </w:r>
      <w:r>
        <w:t xml:space="preserve"> </w:t>
      </w:r>
      <w:r>
        <w:t xml:space="preserve">* the target is ended explicitly by the called function (taking ownership of the target) or a concurrently executing operation</w:t>
      </w:r>
      <w:r>
        <w:t xml:space="preserve"> </w:t>
      </w:r>
      <w:r>
        <w:t xml:space="preserve">* or if copies of the pointer-like parameter objects outlive the function call, for example, as the return value, or in a coroutine or thread frame.</w:t>
      </w:r>
    </w:p>
    <w:p>
      <w:pPr>
        <w:pStyle w:val="BodyText"/>
      </w:pPr>
      <w:r>
        <w:rPr>
          <w:b/>
        </w:rPr>
        <w:t xml:space="preserve">TODO: put this also in 6.33</w:t>
      </w:r>
      <w:r>
        <w:rPr>
          <w:b/>
        </w:rPr>
        <w:t xml:space="preserve"> </w:t>
      </w:r>
      <w:r>
        <w:rPr>
          <w:b/>
        </w:rPr>
        <w:t xml:space="preserve">TODO: HANDLE types are pointer-like</w:t>
      </w:r>
    </w:p>
    <w:p>
      <w:pPr>
        <w:pStyle w:val="BodyText"/>
      </w:pPr>
      <w:r>
        <w:t xml:space="preserve">For example, using a</w:t>
      </w:r>
      <w:r>
        <w:t xml:space="preserve"> </w:t>
      </w:r>
      <w:r>
        <w:rPr>
          <w:i/>
        </w:rPr>
        <w:t xml:space="preserve">pointer-like</w:t>
      </w:r>
      <w:r>
        <w:t xml:space="preserve"> </w:t>
      </w:r>
      <w:r>
        <w:t xml:space="preserve">type as a function</w:t>
      </w:r>
      <w:r>
        <w:t xml:space="preserve"> </w:t>
      </w:r>
      <w:r>
        <w:t xml:space="preserve">parameter and passing an argument that refers to an object (</w:t>
      </w:r>
      <w:r>
        <w:rPr>
          <w:i/>
        </w:rPr>
        <w:t xml:space="preserve">target</w:t>
      </w:r>
      <w:r>
        <w:t xml:space="preserve">)</w:t>
      </w:r>
      <w:r>
        <w:t xml:space="preserve"> </w:t>
      </w:r>
      <w:r>
        <w:t xml:space="preserve">in the scope of the function call,</w:t>
      </w:r>
      <w:r>
        <w:t xml:space="preserve"> </w:t>
      </w:r>
      <w:r>
        <w:t xml:space="preserve">and the function does not take ownership of the</w:t>
      </w:r>
      <w:r>
        <w:t xml:space="preserve"> </w:t>
      </w:r>
      <w:r>
        <w:rPr>
          <w:i/>
        </w:rPr>
        <w:t xml:space="preserve">target</w:t>
      </w:r>
      <w:r>
        <w:t xml:space="preserve"> </w:t>
      </w:r>
      <w:r>
        <w:t xml:space="preserve">(for example, by deleting the</w:t>
      </w:r>
      <w:r>
        <w:t xml:space="preserve"> </w:t>
      </w:r>
      <w:r>
        <w:rPr>
          <w:i/>
        </w:rPr>
        <w:t xml:space="preserve">target</w:t>
      </w:r>
      <w:r>
        <w:t xml:space="preserve">),</w:t>
      </w:r>
      <w:r>
        <w:t xml:space="preserve"> </w:t>
      </w:r>
      <w:r>
        <w:t xml:space="preserve">then the language guarantees that the lifetime of the</w:t>
      </w:r>
      <w:r>
        <w:t xml:space="preserve"> </w:t>
      </w:r>
      <w:r>
        <w:rPr>
          <w:i/>
        </w:rPr>
        <w:t xml:space="preserve">target</w:t>
      </w:r>
      <w:r>
        <w:t xml:space="preserve"> </w:t>
      </w:r>
      <w:r>
        <w:t xml:space="preserve">is longer than the lifetime of the parameter,</w:t>
      </w:r>
      <w:r>
        <w:t xml:space="preserve"> </w:t>
      </w:r>
      <w:r>
        <w:t xml:space="preserve">even if the</w:t>
      </w:r>
      <w:r>
        <w:t xml:space="preserve"> </w:t>
      </w:r>
      <w:r>
        <w:rPr>
          <w:i/>
        </w:rPr>
        <w:t xml:space="preserve">target</w:t>
      </w:r>
      <w:r>
        <w:t xml:space="preserve"> </w:t>
      </w:r>
      <w:r>
        <w:t xml:space="preserve">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p>
      <w:pPr>
        <w:pStyle w:val="BodyText"/>
      </w:pPr>
      <w:r>
        <w:t xml:space="preserve">HANDLE types are pointer-like</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6"/>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2023-04-18T07:21:01Z</dcterms:created>
  <dcterms:modified xsi:type="dcterms:W3CDTF">2023-04-18T07:21:01Z</dcterms:modified>
</cp:coreProperties>
</file>

<file path=docProps/custom.xml><?xml version="1.0" encoding="utf-8"?>
<Properties xmlns="http://schemas.openxmlformats.org/officeDocument/2006/custom-properties" xmlns:vt="http://schemas.openxmlformats.org/officeDocument/2006/docPropsVTypes"/>
</file>