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numPr>
          <w:ilvl w:val="0"/>
          <w:numId w:val="1072"/>
        </w:numPr>
        <w:pStyle w:val="Compact"/>
      </w:pPr>
      <w:r>
        <w:t xml:space="preserve">Use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numPr>
          <w:ilvl w:val="0"/>
          <w:numId w:val="1073"/>
        </w:numPr>
      </w:pPr>
      <w:r>
        <w:t xml:space="preserve">Use the avoidance mechanisms of subclause 6.36.5 of ISO/IEC</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numPr>
          <w:ilvl w:val="0"/>
          <w:numId w:val="1074"/>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4"/>
        </w:numPr>
      </w:pPr>
      <w:r>
        <w:t xml:space="preserve">Avoid casts that reinterpret data values.</w:t>
      </w:r>
    </w:p>
    <w:p>
      <w:pPr>
        <w:numPr>
          <w:ilvl w:val="0"/>
          <w:numId w:val="1074"/>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4"/>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4"/>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4"/>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numPr>
          <w:ilvl w:val="0"/>
          <w:numId w:val="1075"/>
        </w:numPr>
      </w:pPr>
      <w:r>
        <w:t xml:space="preserve">Use the avoidance mechanisms of ISO/IEC 24772-1 clause 6.38.5.</w:t>
      </w:r>
    </w:p>
    <w:p>
      <w:pPr>
        <w:numPr>
          <w:ilvl w:val="0"/>
          <w:numId w:val="1075"/>
        </w:numPr>
      </w:pPr>
      <w:r>
        <w:t xml:space="preserve">Prefer to use and create value types.</w:t>
      </w:r>
    </w:p>
    <w:p>
      <w:pPr>
        <w:numPr>
          <w:ilvl w:val="0"/>
          <w:numId w:val="1075"/>
        </w:numPr>
      </w:pPr>
      <w:r>
        <w:t xml:space="preserve">Consider relationship types only when the lifetime of the referent can be ensured, and</w:t>
      </w:r>
    </w:p>
    <w:p>
      <w:pPr>
        <w:numPr>
          <w:ilvl w:val="1"/>
          <w:numId w:val="1076"/>
        </w:numPr>
        <w:pStyle w:val="Compact"/>
      </w:pPr>
      <w:r>
        <w:t xml:space="preserve">when reference semantics is required, e.g., for side effects, or</w:t>
      </w:r>
    </w:p>
    <w:p>
      <w:pPr>
        <w:numPr>
          <w:ilvl w:val="1"/>
          <w:numId w:val="1076"/>
        </w:numPr>
        <w:pStyle w:val="Compact"/>
      </w:pPr>
      <w:r>
        <w:t xml:space="preserve">when copying is prohibitively expensive.</w:t>
      </w:r>
    </w:p>
    <w:p>
      <w:pPr>
        <w:numPr>
          <w:ilvl w:val="0"/>
          <w:numId w:val="1075"/>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5"/>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5"/>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numPr>
          <w:ilvl w:val="0"/>
          <w:numId w:val="1077"/>
        </w:numPr>
      </w:pPr>
      <w:r>
        <w:t xml:space="preserve">Prefer containers like those in the standard library over any other form of memory management.</w:t>
      </w:r>
    </w:p>
    <w:p>
      <w:pPr>
        <w:numPr>
          <w:ilvl w:val="0"/>
          <w:numId w:val="1077"/>
        </w:numPr>
      </w:pPr>
      <w:r>
        <w:t xml:space="preserve">Use smart pointers and their factory functions to allocate and manage heap memory.</w:t>
      </w:r>
    </w:p>
    <w:p>
      <w:pPr>
        <w:numPr>
          <w:ilvl w:val="0"/>
          <w:numId w:val="1077"/>
        </w:numPr>
      </w:pPr>
      <w:r>
        <w:t xml:space="preserve">For heap fragmentation issues, use special memory resource objects with appropriate allocation strategies.</w:t>
      </w:r>
    </w:p>
    <w:p>
      <w:pPr>
        <w:numPr>
          <w:ilvl w:val="0"/>
          <w:numId w:val="1077"/>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7"/>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7"/>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9"/>
        </w:numPr>
      </w:pPr>
      <w:r>
        <w:t xml:space="preserve">Use the avoidance mechanisms of ISO/IEC 24772-1 subclause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3"/>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3"/>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4"/>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5"/>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5"/>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5"/>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5"/>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5"/>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6"/>
        </w:numPr>
      </w:pPr>
      <w:r>
        <w:t xml:space="preserve">Use the avoidance mechanisms of ISO/IEC 24772-1 clause 41.5.</w:t>
      </w:r>
    </w:p>
    <w:p>
      <w:pPr>
        <w:numPr>
          <w:ilvl w:val="0"/>
          <w:numId w:val="1086"/>
        </w:numPr>
      </w:pPr>
      <w:r>
        <w:t xml:space="preserve">Except for</w:t>
      </w:r>
      <w:r>
        <w:t xml:space="preserve"> </w:t>
      </w:r>
      <w:r>
        <w:rPr>
          <w:i/>
        </w:rPr>
        <w:t xml:space="preserve">mix-in empty bases</w:t>
      </w:r>
      <w:r>
        <w:t xml:space="preserve"> </w:t>
      </w:r>
      <w:r>
        <w:t xml:space="preserve">avoid multiple inheritance.</w:t>
      </w:r>
    </w:p>
    <w:p>
      <w:pPr>
        <w:numPr>
          <w:ilvl w:val="0"/>
          <w:numId w:val="1086"/>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6"/>
        </w:numPr>
      </w:pPr>
      <w:r>
        <w:t xml:space="preserve">Prefer composition over inheritance, in general keep inheritance hierarchies shallow.</w:t>
      </w:r>
    </w:p>
    <w:p>
      <w:pPr>
        <w:numPr>
          <w:ilvl w:val="0"/>
          <w:numId w:val="1086"/>
        </w:numPr>
      </w:pPr>
      <w:r>
        <w:t xml:space="preserve">Restrict the use of virtual member functions to situations where unbounded run-time polymorphism is beneficial.</w:t>
      </w:r>
    </w:p>
    <w:p>
      <w:pPr>
        <w:numPr>
          <w:ilvl w:val="0"/>
          <w:numId w:val="1086"/>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6"/>
        </w:numPr>
      </w:pPr>
      <w:r>
        <w:t xml:space="preserve">Ensure re-compilation of all derived classes when a base class changes.</w:t>
      </w:r>
    </w:p>
    <w:p>
      <w:pPr>
        <w:numPr>
          <w:ilvl w:val="0"/>
          <w:numId w:val="1086"/>
        </w:numPr>
      </w:pPr>
      <w:r>
        <w:t xml:space="preserve">Consider using fully-qualified names to address members of a base class.</w:t>
      </w:r>
    </w:p>
    <w:p>
      <w:pPr>
        <w:numPr>
          <w:ilvl w:val="0"/>
          <w:numId w:val="1086"/>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6"/>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3"/>
        </w:numPr>
      </w:pPr>
      <w:r>
        <w:t xml:space="preserve">Use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4"/>
        </w:numPr>
      </w:pPr>
      <w:r>
        <w:t xml:space="preserve">Use the avoidance mechanisms of ISO/IEC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5"/>
        </w:numPr>
      </w:pPr>
      <w:r>
        <w:t xml:space="preserve">Use the avoidance mechanisms of ISO/IEC 24772-1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7"/>
        </w:numPr>
      </w:pPr>
      <w:r>
        <w:t xml:space="preserve">Use the avoidance mechanisms of ISO/IEC 24772-1 clause 6.48.5.</w:t>
      </w:r>
    </w:p>
    <w:p>
      <w:pPr>
        <w:numPr>
          <w:ilvl w:val="0"/>
          <w:numId w:val="1097"/>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8"/>
        </w:numPr>
      </w:pPr>
      <w:r>
        <w:t xml:space="preserve">Use the avoidance mechanisms of ISO/IEC 24772-1 clause 6.49.5.</w:t>
      </w:r>
    </w:p>
    <w:p>
      <w:pPr>
        <w:numPr>
          <w:ilvl w:val="0"/>
          <w:numId w:val="1098"/>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Use the avoidance mechanisms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1"/>
        </w:numPr>
      </w:pPr>
      <w:r>
        <w:t xml:space="preserve">Use the avoidance mechanisms of ISO/IEC 24772-1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2"/>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3"/>
        </w:numPr>
      </w:pPr>
      <w:r>
        <w:t xml:space="preserve">Use the avoidance mechanisms of ISO/IEC 24772-1 clause 6.56.5.</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4"/>
        </w:numPr>
      </w:pPr>
      <w:r>
        <w:t xml:space="preserve">Use the avoidance mechanisms of ISO/IEC 24772-1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5"/>
        </w:numPr>
      </w:pPr>
      <w:r>
        <w:t xml:space="preserve">Use the avoidance mechanisms of ISO/IEC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6"/>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6"/>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7"/>
        </w:numPr>
      </w:pPr>
      <w:r>
        <w:t xml:space="preserve">Use the avoidance mechanisms of ISO/IEC 24772-1 clause 6.60.5.</w:t>
      </w:r>
    </w:p>
    <w:p>
      <w:pPr>
        <w:numPr>
          <w:ilvl w:val="0"/>
          <w:numId w:val="1107"/>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8"/>
        </w:numPr>
      </w:pPr>
      <w:r>
        <w:t xml:space="preserve">Use the avoidance mechanisms of ISO/IEC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8"/>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10"/>
        </w:numPr>
      </w:pPr>
      <w:r>
        <w:t xml:space="preserve">Use the avoidance mechanisms of ISO/IEC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1"/>
        </w:numPr>
      </w:pPr>
      <w:r>
        <w:t xml:space="preserve">Use the avoidance mechanisms of ISO/IEC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2"/>
        </w:numPr>
      </w:pPr>
      <w:r>
        <w:t xml:space="preserve">Avoid the C library facilities provided by</w:t>
      </w:r>
      <w:r>
        <w:t xml:space="preserve"> </w:t>
      </w:r>
      <w:r>
        <w:rPr>
          <w:rStyle w:val="VerbatimChar"/>
          <w:b/>
        </w:rPr>
        <w:t xml:space="preserve">&lt;cstdio&gt;</w:t>
      </w:r>
      <w:r>
        <w:t xml:space="preserve">.</w:t>
      </w:r>
    </w:p>
    <w:p>
      <w:pPr>
        <w:numPr>
          <w:ilvl w:val="0"/>
          <w:numId w:val="1112"/>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2"/>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3"/>
        </w:numPr>
      </w:pPr>
      <w:r>
        <w:t xml:space="preserve">Use the avoidance mechanisms of ISO/IEC 24772-1 clause 6.65.5: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2023-09-11T14:27:47Z</dcterms:created>
  <dcterms:modified xsi:type="dcterms:W3CDTF">2023-09-11T14:27:47Z</dcterms:modified>
</cp:coreProperties>
</file>

<file path=docProps/custom.xml><?xml version="1.0" encoding="utf-8"?>
<Properties xmlns="http://schemas.openxmlformats.org/officeDocument/2006/custom-properties" xmlns:vt="http://schemas.openxmlformats.org/officeDocument/2006/docPropsVTypes"/>
</file>