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6"/>
        </w:numPr>
      </w:pPr>
      <w:r>
        <w:t xml:space="preserve">Follow the advice provided in ISO/IEC 24772-1:2022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7"/>
        </w:numPr>
      </w:pPr>
      <w:r>
        <w:t xml:space="preserve">Follow the advice provided in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8"/>
        </w:numPr>
      </w:pPr>
      <w:r>
        <w:t xml:space="preserve">Follow the advice provided in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29"/>
        </w:numPr>
      </w:pPr>
      <w:r>
        <w:t xml:space="preserve">Follow the advice provided in ISO/IEC TR 24772-1:2019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0"/>
        </w:numPr>
      </w:pPr>
      <w:r>
        <w:t xml:space="preserve">Follow the guidance of clause 6.8.2. with respect to ordinary pointer arithmetic of 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0"/>
        </w:numPr>
      </w:pPr>
      <w:r>
        <w:t xml:space="preserve">Compare pointers of unknown realm with the standard library comparison function objects instead of 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5"/>
        </w:numPr>
        <w:pStyle w:val="Compact"/>
      </w:pPr>
      <w:r>
        <w:t xml:space="preserve">Follow the advice of ISO/IEC TR 24772-1:2019 clause 6.16 *Using Shift Operations for Multiplication and Division [PIK].</w:t>
      </w:r>
    </w:p>
    <w:p>
      <w:pPr>
        <w:numPr>
          <w:ilvl w:val="0"/>
          <w:numId w:val="1035"/>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7"/>
        </w:numPr>
      </w:pPr>
      <w:r>
        <w:t xml:space="preserve">Follow the advice of ISO/IEC 24772-1 clause 6.18.</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guidance-to-language-users"/>
    <w:p>
      <w:pPr>
        <w:pStyle w:val="Heading3"/>
      </w:pPr>
      <w:r>
        <w:t xml:space="preserve">6.19.2 Guidance to language users</w:t>
      </w:r>
    </w:p>
    <w:p>
      <w:pPr>
        <w:numPr>
          <w:ilvl w:val="0"/>
          <w:numId w:val="1038"/>
        </w:numPr>
      </w:pPr>
      <w:r>
        <w:t xml:space="preserve">Follow the guidance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39"/>
        </w:numPr>
      </w:pPr>
      <w:r>
        <w:t xml:space="preserve">Follow the guidance of ISO/IEC TR 24772-1:2019 clause 6.20,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guidance-to-language-users"/>
    <w:p>
      <w:pPr>
        <w:pStyle w:val="Heading3"/>
      </w:pPr>
      <w:r>
        <w:t xml:space="preserve">6.21.2 Guidance to language users</w:t>
      </w:r>
    </w:p>
    <w:p>
      <w:pPr>
        <w:numPr>
          <w:ilvl w:val="0"/>
          <w:numId w:val="1043"/>
        </w:numPr>
      </w:pPr>
      <w:r>
        <w:t xml:space="preserve">Follow the guidance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5"/>
        </w:numPr>
        <w:pStyle w:val="Compact"/>
      </w:pPr>
      <w:r>
        <w:t xml:space="preserve">Follow the guidance provided in ISO 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 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7"/>
        </w:numPr>
      </w:pPr>
      <w:r>
        <w:t xml:space="preserve">Follow the guidance provided in ISO/IEC TR 24772-1:2019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49"/>
        </w:numPr>
      </w:pPr>
      <w:r>
        <w:t xml:space="preserve">Follow the guidance provided in ISO/IEC TR 24772-1:2019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 are not part of the executable program.</w:t>
      </w:r>
      <w:r>
        <w:t xml:space="preserve"> </w:t>
      </w:r>
      <w:r>
        <w:t xml:space="preserve">But the mechanisms at compile time guarantee that the corresponding code never becomes part of the executable program.</w:t>
      </w:r>
      <w:r>
        <w:t xml:space="preserve"> </w:t>
      </w:r>
      <w:r>
        <w:t xml:space="preserve">However, a programmer might be unaware of all details with respect to the language mechnisms and thus make subtle errors leading to code selected for the executable program that was unintended.</w:t>
      </w:r>
    </w:p>
    <w:p>
      <w:pPr>
        <w:pStyle w:val="BodyText"/>
      </w:pPr>
      <w:r>
        <w:t xml:space="preserve">If there is code that was once needed or might be needed in the future, programmers might opt to comment or use preprocessor conditional compilation to exclude such parts.</w:t>
      </w:r>
      <w:r>
        <w:t xml:space="preserve"> </w:t>
      </w:r>
      <w:r>
        <w:t xml:space="preserve">The latter might even be confusing, because an intentionally undefined macro might be defined for a specific compilation outside of the program source text.</w:t>
      </w:r>
      <w:r>
        <w:t xml:space="preserve"> </w:t>
      </w:r>
      <w:r>
        <w:t xml:space="preserve">Modern version control systems are better places to keep unused code in a revision or branch and ressurect it if needed through a merge.</w:t>
      </w:r>
    </w:p>
    <w:bookmarkEnd w:id="107"/>
    <w:bookmarkStart w:id="108" w:name="guidance-to-language-users"/>
    <w:p>
      <w:pPr>
        <w:pStyle w:val="Heading3"/>
      </w:pPr>
      <w:r>
        <w:t xml:space="preserve">6.26.2 Guidance to language users</w:t>
      </w:r>
    </w:p>
    <w:p>
      <w:pPr>
        <w:numPr>
          <w:ilvl w:val="0"/>
          <w:numId w:val="1055"/>
        </w:numPr>
      </w:pPr>
      <w:r>
        <w:t xml:space="preserve">Follow the guidance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6"/>
        </w:numPr>
      </w:pPr>
      <w:r>
        <w:t xml:space="preserve">Apply the guidance provided in ISO/IEC TR 24772-1:2019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7"/>
        </w:numPr>
      </w:pPr>
      <w:r>
        <w:t xml:space="preserve">Follow the rules provided in ISO/IEC TR 24772-1:2019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8"/>
        </w:numPr>
      </w:pPr>
      <w:r>
        <w:t xml:space="preserve">Apply the guidance of ISO/IEC TR 24772-1:2019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0"/>
        </w:numPr>
      </w:pPr>
      <w:r>
        <w:t xml:space="preserve">Follow the guidance of ISO/IEC TR 24772-1:2019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1"/>
        </w:numPr>
      </w:pPr>
      <w:r>
        <w:t xml:space="preserve">Follow the guidance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3"/>
        </w:numPr>
      </w:pPr>
      <w:r>
        <w:t xml:space="preserve">Follow the advice of ISO/IEC TR 24772-1:2019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8"/>
        </w:numPr>
      </w:pPr>
      <w:r>
        <w:t xml:space="preserve">Follow the guidelines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guidance-to-language-users"/>
    <w:p>
      <w:pPr>
        <w:pStyle w:val="Heading3"/>
      </w:pPr>
      <w:r>
        <w:t xml:space="preserve">6.35.2 Guidance to language users</w:t>
      </w:r>
    </w:p>
    <w:p>
      <w:pPr>
        <w:numPr>
          <w:ilvl w:val="0"/>
          <w:numId w:val="1069"/>
        </w:numPr>
        <w:pStyle w:val="Compact"/>
      </w:pPr>
      <w:r>
        <w:t xml:space="preserve">Apply the guidance described in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0"/>
        </w:numPr>
      </w:pPr>
      <w:r>
        <w:t xml:space="preserve">Follow the mitigation mechanisms of subclause 6.36.5 of ISO/IEC TR</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1"/>
        </w:numPr>
      </w:pPr>
      <w:r>
        <w:t xml:space="preserve">Follow the guidelines of ISO/IEC TR 24772-1:2019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2"/>
        </w:numPr>
      </w:pPr>
      <w:r>
        <w:t xml:space="preserve">Follow the guidance given in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guidance-to-language-users"/>
    <w:p>
      <w:pPr>
        <w:pStyle w:val="Heading2"/>
      </w:pPr>
      <w:r>
        <w:t xml:space="preserve">6.41.2 Guidance to language users</w:t>
      </w:r>
    </w:p>
    <w:p>
      <w:pPr>
        <w:numPr>
          <w:ilvl w:val="0"/>
          <w:numId w:val="1082"/>
        </w:numPr>
      </w:pPr>
      <w:r>
        <w:t xml:space="preserve">Follow the guidance of ISO/IEC TR 24772-1:2019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9"/>
        </w:numPr>
      </w:pPr>
      <w:r>
        <w:t xml:space="preserve">Follow the advice provided in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numPr>
          <w:ilvl w:val="0"/>
          <w:numId w:val="1094"/>
        </w:numPr>
      </w:pPr>
      <w:r>
        <w:t xml:space="preserve">Follow the advice of ISO/IEC 24772-1 clause 6.49.5.</w:t>
      </w:r>
    </w:p>
    <w:p>
      <w:pPr>
        <w:numPr>
          <w:ilvl w:val="0"/>
          <w:numId w:val="1094"/>
        </w:numPr>
      </w:pPr>
      <w:r>
        <w:t xml:space="preserve">Follow the advice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2022-11-30T03:53:09Z</dcterms:created>
  <dcterms:modified xsi:type="dcterms:W3CDTF">2022-11-30T03:53:09Z</dcterms:modified>
</cp:coreProperties>
</file>

<file path=docProps/custom.xml><?xml version="1.0" encoding="utf-8"?>
<Properties xmlns="http://schemas.openxmlformats.org/officeDocument/2006/custom-properties" xmlns:vt="http://schemas.openxmlformats.org/officeDocument/2006/docPropsVTypes"/>
</file>