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5"/>
        </w:numPr>
        <w:pStyle w:val="Compact"/>
      </w:pPr>
      <w:r>
        <w:t xml:space="preserve">without a qualification a member function can be called on rvalues and non-const lvalues, and</w:t>
      </w:r>
    </w:p>
    <w:p>
      <w:pPr>
        <w:numPr>
          <w:ilvl w:val="0"/>
          <w:numId w:val="106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6"/>
        </w:numPr>
      </w:pPr>
      <w:r>
        <w:t xml:space="preserve">Follow the advice of ISO/IEC TR 24772-1:2019 clause 6.32.5.</w:t>
      </w:r>
    </w:p>
    <w:p>
      <w:pPr>
        <w:numPr>
          <w:ilvl w:val="0"/>
          <w:numId w:val="1066"/>
        </w:numPr>
      </w:pPr>
      <w:r>
        <w:t xml:space="preserve">Prefer pass-by-value and pass-by-const-reference over other means of</w:t>
      </w:r>
      <w:r>
        <w:t xml:space="preserve"> </w:t>
      </w:r>
      <w:r>
        <w:t xml:space="preserve">parameter declaration.</w:t>
      </w:r>
    </w:p>
    <w:p>
      <w:pPr>
        <w:numPr>
          <w:ilvl w:val="0"/>
          <w:numId w:val="1066"/>
        </w:numPr>
      </w:pPr>
      <w:r>
        <w:t xml:space="preserve">Prefer reference parameters over corresponding pointer parameters.</w:t>
      </w:r>
    </w:p>
    <w:p>
      <w:pPr>
        <w:numPr>
          <w:ilvl w:val="0"/>
          <w:numId w:val="106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6"/>
        </w:numPr>
      </w:pPr>
      <w:r>
        <w:t xml:space="preserve">Always reassign a variable passed by rvalue-reference before subsequent use after the call.</w:t>
      </w:r>
    </w:p>
    <w:p>
      <w:pPr>
        <w:numPr>
          <w:ilvl w:val="0"/>
          <w:numId w:val="1066"/>
        </w:numPr>
      </w:pPr>
      <w:r>
        <w:t xml:space="preserve">Use forwarding reference parameters only,</w:t>
      </w:r>
      <w:r>
        <w:t xml:space="preserve"> </w:t>
      </w:r>
      <w:r>
        <w:t xml:space="preserve">if perfect forwarding is needed in the body of a function template or generic lambda.</w:t>
      </w:r>
    </w:p>
    <w:p>
      <w:pPr>
        <w:numPr>
          <w:ilvl w:val="0"/>
          <w:numId w:val="106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7"/>
        </w:numPr>
      </w:pPr>
      <w:r>
        <w:t xml:space="preserve">Shift operators used for input and output: the result always refers</w:t>
      </w:r>
      <w:r>
        <w:t xml:space="preserve"> </w:t>
      </w:r>
      <w:r>
        <w:t xml:space="preserve">to the left parameter.</w:t>
      </w:r>
    </w:p>
    <w:p>
      <w:pPr>
        <w:numPr>
          <w:ilvl w:val="1"/>
          <w:numId w:val="1067"/>
        </w:numPr>
      </w:pPr>
      <w:r>
        <w:t xml:space="preserve">Prefix increment and decrement operators: the result always refers</w:t>
      </w:r>
      <w:r>
        <w:t xml:space="preserve"> </w:t>
      </w:r>
      <w:r>
        <w:t xml:space="preserve">to the parameter.</w:t>
      </w:r>
    </w:p>
    <w:p>
      <w:pPr>
        <w:numPr>
          <w:ilvl w:val="0"/>
          <w:numId w:val="1066"/>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1"/>
        </w:numPr>
      </w:pPr>
      <w:r>
        <w:t xml:space="preserve">Follow the guidelines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2"/>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3"/>
        </w:numPr>
      </w:pPr>
      <w:r>
        <w:t xml:space="preserve">Follow the mitigation mechanisms of subclause 6.36.5 of ISO/IEC TR</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4"/>
        </w:numPr>
      </w:pPr>
      <w:r>
        <w:t xml:space="preserve">Follow the guidelines of ISO/IEC TR 24772-1:2019 clause 6.38.5.</w:t>
      </w:r>
    </w:p>
    <w:p>
      <w:pPr>
        <w:numPr>
          <w:ilvl w:val="0"/>
          <w:numId w:val="1074"/>
        </w:numPr>
      </w:pPr>
      <w:r>
        <w:t xml:space="preserve">When using unions, implement an explicit discriminant and check its</w:t>
      </w:r>
      <w:r>
        <w:t xml:space="preserve"> </w:t>
      </w:r>
      <w:r>
        <w:t xml:space="preserve">value before accessing the data in the union.</w:t>
      </w:r>
    </w:p>
    <w:p>
      <w:pPr>
        <w:numPr>
          <w:ilvl w:val="0"/>
          <w:numId w:val="107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5"/>
        </w:numPr>
      </w:pPr>
      <w:r>
        <w:t xml:space="preserve">Avoid the use of raw pointers with the copy operation and (finish or</w:t>
      </w:r>
      <w:r>
        <w:t xml:space="preserve"> </w:t>
      </w:r>
      <w:r>
        <w:t xml:space="preserve">delete)</w:t>
      </w:r>
    </w:p>
    <w:p>
      <w:pPr>
        <w:numPr>
          <w:ilvl w:val="0"/>
          <w:numId w:val="1075"/>
        </w:numPr>
      </w:pPr>
      <w:r>
        <w:t xml:space="preserve">Follow the guidance of C++ core guidelines C.20, C.22, C.32, C.67</w:t>
      </w:r>
    </w:p>
    <w:p>
      <w:pPr>
        <w:numPr>
          <w:ilvl w:val="0"/>
          <w:numId w:val="107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2"/>
        </w:numPr>
        <w:pStyle w:val="SourceCode"/>
      </w:pPr>
      <w:r>
        <w:rPr>
          <w:rStyle w:val="VerbatimChar"/>
        </w:rPr>
        <w:t xml:space="preserve">  reduce the use of inheritance</w:t>
      </w:r>
    </w:p>
    <w:p>
      <w:pPr>
        <w:numPr>
          <w:ilvl w:val="0"/>
          <w:numId w:val="108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7"/>
        </w:numPr>
      </w:pPr>
      <w:r>
        <w:t xml:space="preserve">Guidance: Keep inheritance hierarchies short</w:t>
      </w:r>
    </w:p>
    <w:p>
      <w:pPr>
        <w:numPr>
          <w:ilvl w:val="0"/>
          <w:numId w:val="1087"/>
        </w:numPr>
      </w:pPr>
      <w:r>
        <w:t xml:space="preserve">Guidance: Qualify the program to invoke member functions in explicit</w:t>
      </w:r>
      <w:r>
        <w:t xml:space="preserve"> </w:t>
      </w:r>
      <w:r>
        <w:t xml:space="preserve">parent classes.</w:t>
      </w:r>
    </w:p>
    <w:p>
      <w:pPr>
        <w:numPr>
          <w:ilvl w:val="0"/>
          <w:numId w:val="108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8"/>
        </w:numPr>
      </w:pPr>
      <w:r>
        <w:t xml:space="preserve">Follow the guidance of ISO/IEC TR 24772-1:2019 clause 41.5.</w:t>
      </w:r>
    </w:p>
    <w:p>
      <w:pPr>
        <w:numPr>
          <w:ilvl w:val="0"/>
          <w:numId w:val="1088"/>
        </w:numPr>
      </w:pPr>
      <w:r>
        <w:t xml:space="preserve">Avoid the use of multiple inheritance whenever possible.</w:t>
      </w:r>
    </w:p>
    <w:p>
      <w:pPr>
        <w:numPr>
          <w:ilvl w:val="0"/>
          <w:numId w:val="1088"/>
        </w:numPr>
      </w:pPr>
      <w:r>
        <w:t xml:space="preserve">Avoid access to data components when getting and setting functions</w:t>
      </w:r>
      <w:r>
        <w:t xml:space="preserve"> </w:t>
      </w:r>
      <w:r>
        <w:t xml:space="preserve">are available for them.</w:t>
      </w:r>
    </w:p>
    <w:p>
      <w:pPr>
        <w:numPr>
          <w:ilvl w:val="0"/>
          <w:numId w:val="1088"/>
        </w:numPr>
      </w:pPr>
      <w:r>
        <w:t xml:space="preserve">Keep inheritance hierarchies short and narrow</w:t>
      </w:r>
    </w:p>
    <w:p>
      <w:pPr>
        <w:numPr>
          <w:ilvl w:val="0"/>
          <w:numId w:val="1088"/>
        </w:numPr>
      </w:pPr>
      <w:r>
        <w:t xml:space="preserve">Prefer non-virtual functions to virtual functions</w:t>
      </w:r>
    </w:p>
    <w:p>
      <w:pPr>
        <w:numPr>
          <w:ilvl w:val="0"/>
          <w:numId w:val="108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8"/>
        </w:numPr>
      </w:pPr>
      <w:r>
        <w:t xml:space="preserve">If any class invariant depends upon a value of a data member, then</w:t>
      </w:r>
      <w:r>
        <w:t xml:space="preserve"> </w:t>
      </w:r>
      <w:r>
        <w:t xml:space="preserve">make that member private</w:t>
      </w:r>
    </w:p>
    <w:p>
      <w:pPr>
        <w:numPr>
          <w:ilvl w:val="0"/>
          <w:numId w:val="1088"/>
        </w:numPr>
      </w:pPr>
      <w:r>
        <w:t xml:space="preserve">Make data members private and provide a public interface to access</w:t>
      </w:r>
      <w:r>
        <w:t xml:space="preserve"> </w:t>
      </w:r>
      <w:r>
        <w:t xml:space="preserve">them that preserves class invariants</w:t>
      </w:r>
    </w:p>
    <w:p>
      <w:pPr>
        <w:numPr>
          <w:ilvl w:val="0"/>
          <w:numId w:val="1088"/>
        </w:numPr>
      </w:pPr>
      <w:r>
        <w:t xml:space="preserve">Provide complete documentation of all encapsulated data, and how</w:t>
      </w:r>
      <w:r>
        <w:t xml:space="preserve"> </w:t>
      </w:r>
      <w:r>
        <w:t xml:space="preserve">each method affects that data for each object in the hierarchy.</w:t>
      </w:r>
    </w:p>
    <w:p>
      <w:pPr>
        <w:numPr>
          <w:ilvl w:val="0"/>
          <w:numId w:val="108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8"/>
        </w:numPr>
      </w:pPr>
      <w:r>
        <w:t xml:space="preserve">Provide a member function that provides versioning information for</w:t>
      </w:r>
      <w:r>
        <w:t xml:space="preserve"> </w:t>
      </w:r>
      <w:r>
        <w:t xml:space="preserve">each class.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5"/>
        </w:numPr>
      </w:pPr>
      <w:r>
        <w:t xml:space="preserve">Follow the advice provided in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7"/>
        </w:numPr>
      </w:pPr>
      <w:r>
        <w:t xml:space="preserve">Follow the guidelines of ISO/IEC TR 24772-1 clause 6.47.5.</w:t>
      </w:r>
    </w:p>
    <w:p>
      <w:pPr>
        <w:numPr>
          <w:ilvl w:val="0"/>
          <w:numId w:val="109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8"/>
        </w:numPr>
      </w:pPr>
      <w:r>
        <w:t xml:space="preserve">Follow the guidance contained in ISO/IEC TR 24772-1:2019 clause</w:t>
      </w:r>
      <w:r>
        <w:t xml:space="preserve"> </w:t>
      </w:r>
      <w:r>
        <w:t xml:space="preserve">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0"/>
        </w:numPr>
      </w:pPr>
      <w:r>
        <w:t xml:space="preserve">Follow the guidance of ISO/IEC TR 24772-1:2019 clause 6.49.5.</w:t>
      </w:r>
    </w:p>
    <w:p>
      <w:pPr>
        <w:numPr>
          <w:ilvl w:val="0"/>
          <w:numId w:val="110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1"/>
        </w:numPr>
      </w:pPr>
      <w:r>
        <w:t xml:space="preserve">Follow the advice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3"/>
        </w:numPr>
      </w:pPr>
      <w:r>
        <w:t xml:space="preserve">Follow the guidelines of ISO/IEC TR 24772-1:2019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5"/>
        </w:numPr>
      </w:pPr>
      <w:r>
        <w:t xml:space="preserve">Follow the guidelines of ISO/IEC TR 24772-1:2019 clause 6.56.5.</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6"/>
        </w:numPr>
      </w:pPr>
      <w:r>
        <w:t xml:space="preserve">Follow the guidelines of ISO/IEC TR 24772-1:2019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7"/>
        </w:numPr>
      </w:pPr>
      <w:r>
        <w:t xml:space="preserve">Follow the guidelines of ISO/IEC TR 24772-1 clause 6.58.5.</w:t>
      </w:r>
    </w:p>
    <w:p>
      <w:pPr>
        <w:numPr>
          <w:ilvl w:val="0"/>
          <w:numId w:val="1107"/>
        </w:numPr>
      </w:pPr>
      <w:r>
        <w:t xml:space="preserve">Enable compiler options or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8"/>
        </w:numPr>
        <w:pStyle w:val="Compact"/>
      </w:pPr>
      <w:r>
        <w:t xml:space="preserve">6.61 Concurrent Data Access,</w:t>
      </w:r>
    </w:p>
    <w:p>
      <w:pPr>
        <w:numPr>
          <w:ilvl w:val="0"/>
          <w:numId w:val="1108"/>
        </w:numPr>
        <w:pStyle w:val="Compact"/>
      </w:pPr>
      <w:r>
        <w:t xml:space="preserve">6.14 and 6.33 dangling of data reference, if data is passed to the thread function as reference or pointer, instead of passing a copy.</w:t>
      </w:r>
    </w:p>
    <w:p>
      <w:pPr>
        <w:numPr>
          <w:ilvl w:val="0"/>
          <w:numId w:val="110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0"/>
        </w:numPr>
      </w:pPr>
      <w:r>
        <w:t xml:space="preserve">Follow the guidance of ISO/IEC TR 24772-1 clause 6.62.5.</w:t>
      </w:r>
    </w:p>
    <w:p>
      <w:pPr>
        <w:numPr>
          <w:ilvl w:val="0"/>
          <w:numId w:val="1110"/>
        </w:numPr>
      </w:pPr>
      <w:r>
        <w:t xml:space="preserve">Use mutexes, condition variables (convar)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2"/>
        </w:numPr>
      </w:pPr>
      <w:r>
        <w:t xml:space="preserve">Follow the guidelines of TR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3"/>
        </w:numPr>
      </w:pPr>
      <w:r>
        <w:t xml:space="preserve">Follow the guidelines of TR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2022-09-18T03:34:07Z</dcterms:created>
  <dcterms:modified xsi:type="dcterms:W3CDTF">2022-09-18T03:34:07Z</dcterms:modified>
</cp:coreProperties>
</file>

<file path=docProps/custom.xml><?xml version="1.0" encoding="utf-8"?>
<Properties xmlns="http://schemas.openxmlformats.org/officeDocument/2006/custom-properties" xmlns:vt="http://schemas.openxmlformats.org/officeDocument/2006/docPropsVTypes"/>
</file>