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br/>
      </w:r>
      <w:r>
        <w:rPr>
          <w:rStyle w:val="NormalTok"/>
        </w:rPr>
        <w:t xml:space="preserve">    };</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mmentTok"/>
        </w:rPr>
        <w:t xml:space="preserve">// ADL required to make this work</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br/>
      </w:r>
      <w:r>
        <w:rPr>
          <w:rStyle w:val="NormalTok"/>
        </w:rPr>
        <w:t xml:space="preserve">    Y::println(</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w:t>
      </w:r>
      <w:r>
        <w:br/>
      </w:r>
      <w:r>
        <w:rPr>
          <w:rStyle w:val="NormalTok"/>
        </w:rPr>
        <w:t xml:space="preserve">    Y::println(a); </w:t>
      </w:r>
      <w:r>
        <w:rPr>
          <w:rStyle w:val="CommentTok"/>
        </w:rPr>
        <w:t xml:space="preserve">// Surprise happens!</w:t>
      </w:r>
      <w:r>
        <w:br/>
      </w:r>
      <w:r>
        <w:rPr>
          <w:rStyle w:val="NormalTok"/>
        </w:rPr>
        <w:t xml:space="preserve">    Y::println(</w:t>
      </w:r>
      <w:r>
        <w:rPr>
          <w:rStyle w:val="DecValTok"/>
        </w:rPr>
        <w:t xml:space="preserve">42</w:t>
      </w:r>
      <w:r>
        <w:rPr>
          <w:rStyle w:val="BuiltInTok"/>
        </w:rPr>
        <w:t xml:space="preserve">u</w:t>
      </w:r>
      <w:r>
        <w:rPr>
          <w:rStyle w:val="NormalTok"/>
        </w:rPr>
        <w:t xml:space="preserve">);</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Limit the visibility of overloaded operators or functions for class types</w:t>
      </w:r>
      <w:r>
        <w:t xml:space="preserve"> </w:t>
      </w:r>
      <w:r>
        <w:t xml:space="preserve">by defining them as</w:t>
      </w:r>
      <w:r>
        <w:t xml:space="preserve"> </w:t>
      </w:r>
      <w:r>
        <w:rPr>
          <w:i/>
        </w:rPr>
        <w:t xml:space="preserve">hidden friends</w:t>
      </w:r>
      <w:r>
        <w:t xml:space="preserve">.</w:t>
      </w:r>
      <w:r>
        <w:t xml:space="preserve"> </w:t>
      </w:r>
      <w:r>
        <w:t xml:space="preserve">This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p>
      <w:pPr>
        <w:numPr>
          <w:ilvl w:val="0"/>
          <w:numId w:val="1056"/>
        </w:numPr>
      </w:pPr>
      <w:r>
        <w:t xml:space="preserve">Overloaded operators that are not class members and cannot be provided as</w:t>
      </w:r>
      <w:r>
        <w:t xml:space="preserve"> </w:t>
      </w:r>
      <w:r>
        <w:rPr>
          <w:i/>
        </w:rPr>
        <w:t xml:space="preserve">hidden friends</w:t>
      </w:r>
      <w:r>
        <w:t xml:space="preserve"> </w:t>
      </w:r>
      <w:r>
        <w:t xml:space="preserve">should be put together with their argument type in a namespace that is not the global namespace.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2021-02-17T14:46:59Z</dcterms:created>
  <dcterms:modified xsi:type="dcterms:W3CDTF">2021-02-17T14:46:59Z</dcterms:modified>
</cp:coreProperties>
</file>

<file path=docProps/custom.xml><?xml version="1.0" encoding="utf-8"?>
<Properties xmlns="http://schemas.openxmlformats.org/officeDocument/2006/custom-properties" xmlns:vt="http://schemas.openxmlformats.org/officeDocument/2006/docPropsVTypes"/>
</file>