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7"/>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one implicit conversion being favoured over another.</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w:t>
      </w:r>
    </w:p>
    <w:p>
      <w:pPr>
        <w:pStyle w:val="BodyText"/>
      </w:pPr>
      <w:r>
        <w:t xml:space="preserve">For expressions formed with operands of unscoped enumeration type 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For example, the following code</w:t>
      </w:r>
      <w:r>
        <w:t xml:space="preserve"> </w:t>
      </w:r>
      <w:r>
        <w:t xml:space="preserve">causes undefined behavior on a 32-bit machine while being valid on a 16-bit machine:</w:t>
      </w:r>
    </w:p>
    <w:p>
      <w:pPr>
        <w:pStyle w:val="SourceCode"/>
      </w:pP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BuiltInTok"/>
        </w:rPr>
        <w:t xml:space="preserve">std::</w:t>
      </w:r>
      <w:r>
        <w:rPr>
          <w:rStyle w:val="NormalTok"/>
        </w:rPr>
        <w:t xml:space="preserve">cout &lt;&lt; x * x; </w:t>
      </w:r>
      <w:r>
        <w:rPr>
          <w:rStyle w:val="CommentTok"/>
        </w:rPr>
        <w:t xml:space="preserve">// signed integer overflow</w:t>
      </w:r>
    </w:p>
    <w:p>
      <w:pPr>
        <w:pStyle w:val="FirstParagraph"/>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boolean contexts, such as</w:t>
      </w:r>
    </w:p>
    <w:p>
      <w:pPr>
        <w:numPr>
          <w:ilvl w:val="1"/>
          <w:numId w:val="1017"/>
        </w:numPr>
        <w:pStyle w:val="Compact"/>
      </w:pPr>
      <w:r>
        <w:t xml:space="preserve">operands of logical operators,</w:t>
      </w:r>
    </w:p>
    <w:p>
      <w:pPr>
        <w:numPr>
          <w:ilvl w:val="1"/>
          <w:numId w:val="1017"/>
        </w:numPr>
        <w:pStyle w:val="Compact"/>
      </w:pPr>
      <w:r>
        <w:t xml:space="preserve">the condition of the conditional operator, and</w:t>
      </w:r>
    </w:p>
    <w:p>
      <w:pPr>
        <w:numPr>
          <w:ilvl w:val="1"/>
          <w:numId w:val="101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w:t>
      </w:r>
      <w:r>
        <w:t xml:space="preserve"> </w:t>
      </w:r>
      <w:r>
        <w:rPr>
          <w:rStyle w:val="NormalTok"/>
        </w:rPr>
        <w:t xml:space="preserve">C</w:t>
      </w:r>
      <w:r>
        <w:t xml:space="preserve">,</w:t>
      </w:r>
      <w:r>
        <w:t xml:space="preserve"> </w:t>
      </w:r>
      <w:r>
        <w:t xml:space="preserve">but is provided with an int. However, as</w:t>
      </w:r>
      <w:r>
        <w:t xml:space="preserve"> </w:t>
      </w:r>
      <w:r>
        <w:rPr>
          <w:rStyle w:val="NormalTok"/>
        </w:rPr>
        <w:t xml:space="preserve">C</w:t>
      </w:r>
      <w:r>
        <w:t xml:space="preserve"> </w:t>
      </w:r>
      <w:r>
        <w:t xml:space="preserve">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w:t>
      </w:r>
      <w:r>
        <w:t xml:space="preserve"> </w:t>
      </w:r>
      <w:r>
        <w:rPr>
          <w:rStyle w:val="NormalTok"/>
        </w:rPr>
        <w:t xml:space="preserve">foo</w:t>
      </w:r>
      <w:r>
        <w:t xml:space="preserve">.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rPr>
          <w:rStyle w:val="KeywordTok"/>
        </w:rPr>
        <w:t xml:space="preserve">explicit</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All other conversions are not necessarily "safe" as they can sometimes</w:t>
      </w:r>
      <w:r>
        <w:t xml:space="preserve"> </w:t>
      </w:r>
      <w:r>
        <w:t xml:space="preserve">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w:t>
      </w:r>
      <w:r>
        <w:t xml:space="preserve">of arithmetic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r>
        <w:t xml:space="preserve"> </w:t>
      </w:r>
      <w:r>
        <w:t xml:space="preserve">constructors callable with a single argument and conversion operators. (see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 arithmetic types and</w:t>
      </w:r>
      <w:r>
        <w:t xml:space="preserve"> </w:t>
      </w:r>
      <w:r>
        <w:rPr>
          <w:rStyle w:val="VerbatimChar"/>
        </w:rPr>
        <w:t xml:space="preserve">bool</w:t>
      </w:r>
      <w:r>
        <w:t xml:space="preserve">.</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TR</w:t>
      </w:r>
      <w:r>
        <w:t xml:space="preserve"> </w:t>
      </w:r>
      <w:r>
        <w:t xml:space="preserve">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3"/>
        </w:numPr>
      </w:pPr>
      <w:r>
        <w:t xml:space="preserve">Avoid C-style arrays. Guidance for the use of C-style arrays is</w:t>
      </w:r>
      <w:r>
        <w:t xml:space="preserve"> </w:t>
      </w:r>
      <w:r>
        <w:t xml:space="preserve">provided in TR 24772-3 clause 6.8.2.</w:t>
      </w:r>
    </w:p>
    <w:p>
      <w:pPr>
        <w:numPr>
          <w:ilvl w:val="0"/>
          <w:numId w:val="1023"/>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3"/>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3"/>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3"/>
        </w:numPr>
      </w:pPr>
      <w:r>
        <w:t xml:space="preserve">Use iterator-based algorithms, such as those of the standard</w:t>
      </w:r>
      <w:r>
        <w:t xml:space="preserve"> </w:t>
      </w:r>
      <w:r>
        <w:t xml:space="preserve">library.</w:t>
      </w:r>
    </w:p>
    <w:p>
      <w:pPr>
        <w:numPr>
          <w:ilvl w:val="0"/>
          <w:numId w:val="1023"/>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3"/>
        </w:numPr>
      </w:pPr>
      <w:r>
        <w:t xml:space="preserve">Use iterators over the range of elements to be accessed instead of</w:t>
      </w:r>
      <w:r>
        <w:t xml:space="preserve"> </w:t>
      </w:r>
      <w:r>
        <w:t xml:space="preserve">using an array and bounds as parameters.</w:t>
      </w:r>
    </w:p>
    <w:p>
      <w:pPr>
        <w:numPr>
          <w:ilvl w:val="0"/>
          <w:numId w:val="1023"/>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3"/>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3"/>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4"/>
        </w:numPr>
      </w:pPr>
      <w:r>
        <w:t xml:space="preserve">Follow the guidance from clause 6.8.2.</w:t>
      </w:r>
    </w:p>
    <w:p>
      <w:pPr>
        <w:numPr>
          <w:ilvl w:val="0"/>
          <w:numId w:val="1024"/>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5"/>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5"/>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6"/>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6"/>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6"/>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7"/>
        </w:numPr>
      </w:pPr>
      <w:r>
        <w:t xml:space="preserve">a and b are the same object,</w:t>
      </w:r>
    </w:p>
    <w:p>
      <w:pPr>
        <w:numPr>
          <w:ilvl w:val="0"/>
          <w:numId w:val="1027"/>
        </w:numPr>
      </w:pPr>
      <w:r>
        <w:t xml:space="preserve">either a or b is a standard-layout union object and the other is a</w:t>
      </w:r>
      <w:r>
        <w:t xml:space="preserve"> </w:t>
      </w:r>
      <w:r>
        <w:t xml:space="preserve">non-static data member of that object,</w:t>
      </w:r>
    </w:p>
    <w:p>
      <w:pPr>
        <w:numPr>
          <w:ilvl w:val="1"/>
          <w:numId w:val="1028"/>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7"/>
        </w:numPr>
      </w:pPr>
      <w:r>
        <w:t xml:space="preserve">either a or b is a standard-layout class object and the other is the</w:t>
      </w:r>
      <w:r>
        <w:t xml:space="preserve"> </w:t>
      </w:r>
      <w:r>
        <w:t xml:space="preserve">first non-static data member of that object,</w:t>
      </w:r>
    </w:p>
    <w:p>
      <w:pPr>
        <w:numPr>
          <w:ilvl w:val="1"/>
          <w:numId w:val="1029"/>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7"/>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0"/>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7"/>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1"/>
        </w:numPr>
      </w:pPr>
      <w:r>
        <w:t xml:space="preserve">Follow the advice provided in ISO/IEC TR 24772-1:2019 clause 6.11.5.</w:t>
      </w:r>
    </w:p>
    <w:p>
      <w:pPr>
        <w:numPr>
          <w:ilvl w:val="0"/>
          <w:numId w:val="1031"/>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1"/>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1"/>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1"/>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2"/>
        </w:numPr>
        <w:pStyle w:val="SourceCode"/>
      </w:pPr>
      <w:r>
        <w:rPr>
          <w:rStyle w:val="VerbatimChar"/>
        </w:rPr>
        <w:t xml:space="preserve">  *C++ Core guidelines C.146, 1.47 and 1.48*</w:t>
      </w:r>
    </w:p>
    <w:p>
      <w:pPr>
        <w:numPr>
          <w:ilvl w:val="0"/>
          <w:numId w:val="1031"/>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3"/>
        </w:numPr>
        <w:pStyle w:val="SourceCode"/>
      </w:pPr>
      <w:r>
        <w:rPr>
          <w:rStyle w:val="VerbatimChar"/>
        </w:rPr>
        <w:t xml:space="preserve">  *C++ Core guidelines C.146*</w:t>
      </w:r>
    </w:p>
    <w:p>
      <w:pPr>
        <w:numPr>
          <w:ilvl w:val="0"/>
          <w:numId w:val="1031"/>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1"/>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4"/>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4"/>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4"/>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4"/>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5"/>
        </w:numPr>
      </w:pPr>
      <w:r>
        <w:t xml:space="preserve">Follow the guidance of clause 6.8.2.</w:t>
      </w:r>
    </w:p>
    <w:p>
      <w:pPr>
        <w:numPr>
          <w:ilvl w:val="0"/>
          <w:numId w:val="1035"/>
        </w:numPr>
      </w:pPr>
      <w:r>
        <w:t xml:space="preserve">Prefer standard algorithms to hand-written loops</w:t>
      </w:r>
    </w:p>
    <w:p>
      <w:pPr>
        <w:numPr>
          <w:ilvl w:val="1"/>
          <w:numId w:val="1036"/>
        </w:numPr>
        <w:pStyle w:val="Compact"/>
      </w:pPr>
      <w:r>
        <w:t xml:space="preserve">See Core Guideline.ES.1 (TBD)</w:t>
      </w:r>
    </w:p>
    <w:p>
      <w:pPr>
        <w:numPr>
          <w:ilvl w:val="0"/>
          <w:numId w:val="1035"/>
        </w:numPr>
      </w:pPr>
      <w:r>
        <w:t xml:space="preserve">Prefer ranges over iterators; and iterators over pointer</w:t>
      </w:r>
      <w:r>
        <w:t xml:space="preserve"> </w:t>
      </w:r>
      <w:r>
        <w:t xml:space="preserve">arithmetic.</w:t>
      </w:r>
    </w:p>
    <w:p>
      <w:pPr>
        <w:numPr>
          <w:ilvl w:val="0"/>
          <w:numId w:val="1035"/>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5"/>
        </w:numPr>
      </w:pPr>
      <w:r>
        <w:t xml:space="preserve">Consider an outright ban on pointer arithmetic due to the</w:t>
      </w:r>
      <w:r>
        <w:t xml:space="preserve"> </w:t>
      </w:r>
      <w:r>
        <w:t xml:space="preserve">error-prone nature of pointer arithmetic.</w:t>
      </w:r>
    </w:p>
    <w:p>
      <w:pPr>
        <w:numPr>
          <w:ilvl w:val="0"/>
          <w:numId w:val="1035"/>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 std::optional 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it a single object or an array of objects? (</w:t>
      </w:r>
      <w:r>
        <w:rPr>
          <w:rStyle w:val="VerbatimChar"/>
        </w:rPr>
        <w:t xml:space="preserve">T[]</w:t>
      </w:r>
      <w:r>
        <w:t xml:space="preserve"> </w:t>
      </w:r>
      <w:r>
        <w:t xml:space="preserve">as a function parameter type is identical to</w:t>
      </w:r>
      <w:r>
        <w:t xml:space="preserve"> </w:t>
      </w:r>
      <w:r>
        <w:rPr>
          <w:rStyle w:val="VerbatimChar"/>
        </w:rPr>
        <w:t xml:space="preserve">T*</w:t>
      </w:r>
      <w:r>
        <w:t xml:space="preserve">)</w:t>
      </w:r>
    </w:p>
    <w:p>
      <w:pPr>
        <w:numPr>
          <w:ilvl w:val="0"/>
          <w:numId w:val="1037"/>
        </w:numPr>
        <w:pStyle w:val="Compact"/>
      </w:pPr>
      <w:r>
        <w:t xml:space="preserve">what is the lifetime of the pointee?</w:t>
      </w:r>
    </w:p>
    <w:p>
      <w:pPr>
        <w:numPr>
          <w:ilvl w:val="0"/>
          <w:numId w:val="1037"/>
        </w:numPr>
        <w:pStyle w:val="Compact"/>
      </w:pPr>
      <w:r>
        <w:t xml:space="preserve">who has ownership of the pointee?</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VerbatimChar"/>
        </w:rPr>
        <w:t xml:space="preserve">std::optional</w:t>
      </w:r>
      <w:r>
        <w:t xml:space="preserve"> </w:t>
      </w:r>
      <w:r>
        <w:t xml:space="preserve">as a function parameter or function return value instead of a pointer addresses all of these issues, except for the last.</w:t>
      </w:r>
      <w:r>
        <w:t xml:space="preserve"> </w:t>
      </w:r>
      <w:r>
        <w:t xml:space="preserve">Accessing the content of a std::optional requires a check for</w:t>
      </w:r>
      <w:r>
        <w:t xml:space="preserve"> </w:t>
      </w:r>
      <w:r>
        <w:rPr>
          <w:rStyle w:val="VerbatimChar"/>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VerbatimChar"/>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VerbatimChar"/>
        </w:rPr>
        <w:t xml:space="preserve">optional</w:t>
      </w:r>
      <w:r>
        <w:t xml:space="preserve"> </w:t>
      </w:r>
      <w:r>
        <w:t xml:space="preserve">supporting holding references.</w:t>
      </w:r>
    </w:p>
    <w:p>
      <w:pPr>
        <w:pStyle w:val="BodyText"/>
      </w:pPr>
      <w:r>
        <w:t xml:space="preserve">The language provided dynamic memory management functionionality might return a nullptr value in case of a failed allocation.</w:t>
      </w:r>
      <w:r>
        <w:t xml:space="preserve"> </w:t>
      </w:r>
      <w:r>
        <w:t xml:space="preserve">Employing the smart pointer factories</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will return a non-null smart pointer managing the lifetime of the underlying memory or throw</w:t>
      </w:r>
      <w:r>
        <w:t xml:space="preserve"> </w:t>
      </w:r>
      <w:r>
        <w:rPr>
          <w:rStyle w:val="VerbatimChar"/>
        </w:rPr>
        <w:t xml:space="preserve">std::bad_alloc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38"/>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8"/>
        </w:numPr>
      </w:pPr>
      <w:r>
        <w:t xml:space="preserve">Use references to reduce the number of places where pointers are dereferenced.</w:t>
      </w:r>
    </w:p>
    <w:p>
      <w:pPr>
        <w:numPr>
          <w:ilvl w:val="0"/>
          <w:numId w:val="1038"/>
        </w:numPr>
      </w:pPr>
      <w:r>
        <w:t xml:space="preserve">Use</w:t>
      </w:r>
      <w:r>
        <w:t xml:space="preserve"> </w:t>
      </w:r>
      <w:r>
        <w:rPr>
          <w:rStyle w:val="VerbatimChar"/>
        </w:rPr>
        <w:t xml:space="preserve">std::optional</w:t>
      </w:r>
      <w:r>
        <w:t xml:space="preserve"> </w:t>
      </w:r>
      <w:r>
        <w:t xml:space="preserve">instead of a pointer to denote a potentially missing function argument or result.</w:t>
      </w:r>
    </w:p>
    <w:p>
      <w:pPr>
        <w:numPr>
          <w:ilvl w:val="0"/>
          <w:numId w:val="1038"/>
        </w:numPr>
      </w:pPr>
      <w:r>
        <w:t xml:space="preserve">Use containers instaed of arrays 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8"/>
        </w:numPr>
      </w:pPr>
      <w:r>
        <w:t xml:space="preserve">Use</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for allocating objects on the heap.</w:t>
      </w:r>
    </w:p>
    <w:p>
      <w:pPr>
        <w:numPr>
          <w:ilvl w:val="0"/>
          <w:numId w:val="1038"/>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8"/>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9"/>
        </w:numPr>
      </w:pPr>
      <w:r>
        <w:t xml:space="preserve">References</w:t>
      </w:r>
    </w:p>
    <w:p>
      <w:pPr>
        <w:numPr>
          <w:ilvl w:val="0"/>
          <w:numId w:val="1039"/>
        </w:numPr>
      </w:pPr>
      <w:r>
        <w:t xml:space="preserve">Pointers</w:t>
      </w:r>
    </w:p>
    <w:p>
      <w:pPr>
        <w:numPr>
          <w:ilvl w:val="0"/>
          <w:numId w:val="1039"/>
        </w:numPr>
      </w:pPr>
      <w:r>
        <w:t xml:space="preserve">Iterators</w:t>
      </w:r>
    </w:p>
    <w:p>
      <w:pPr>
        <w:numPr>
          <w:ilvl w:val="0"/>
          <w:numId w:val="1039"/>
        </w:numPr>
      </w:pPr>
      <w:r>
        <w:rPr>
          <w:rStyle w:val="BuiltInTok"/>
        </w:rPr>
        <w:t xml:space="preserve">std::</w:t>
      </w:r>
      <w:r>
        <w:rPr>
          <w:rStyle w:val="NormalTok"/>
        </w:rPr>
        <w:t xml:space="preserve">string_view</w:t>
      </w:r>
    </w:p>
    <w:p>
      <w:pPr>
        <w:numPr>
          <w:ilvl w:val="0"/>
          <w:numId w:val="1039"/>
        </w:numPr>
      </w:pPr>
      <w:r>
        <w:rPr>
          <w:rStyle w:val="BuiltInTok"/>
        </w:rPr>
        <w:t xml:space="preserve">std::</w:t>
      </w:r>
      <w:r>
        <w:rPr>
          <w:rStyle w:val="NormalTok"/>
        </w:rPr>
        <w:t xml:space="preserve">span</w:t>
      </w:r>
    </w:p>
    <w:p>
      <w:pPr>
        <w:numPr>
          <w:ilvl w:val="0"/>
          <w:numId w:val="1039"/>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0"/>
        </w:numPr>
      </w:pPr>
      <w:r>
        <w:t xml:space="preserve">Do not rely on lifetime extension of temporaries by binding them to named references.</w:t>
      </w:r>
      <w:r>
        <w:t xml:space="preserve"> </w:t>
      </w:r>
      <w:r>
        <w:t xml:space="preserve">Use (local) variables instead.</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0"/>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0"/>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1"/>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1"/>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2"/>
        </w:numPr>
      </w:pPr>
      <w:r>
        <w:t xml:space="preserve">Use compilers and static analysis tools to identify dead stores in</w:t>
      </w:r>
      <w:r>
        <w:t xml:space="preserve"> </w:t>
      </w:r>
      <w:r>
        <w:t xml:space="preserve">the program.</w:t>
      </w:r>
    </w:p>
    <w:p>
      <w:pPr>
        <w:numPr>
          <w:ilvl w:val="0"/>
          <w:numId w:val="1042"/>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2"/>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2"/>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2"/>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3"/>
        </w:numPr>
      </w:pPr>
      <w:r>
        <w:t xml:space="preserve">Follow the guidance of ISO/IEC TR 24772-1:2019 clause 6.19.5.</w:t>
      </w:r>
    </w:p>
    <w:p>
      <w:pPr>
        <w:numPr>
          <w:ilvl w:val="0"/>
          <w:numId w:val="1043"/>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4"/>
        </w:numPr>
      </w:pPr>
      <w:r>
        <w:t xml:space="preserve">Follow the guidance of ISO/IEC TR 24772-1:2019 clause 6.20, with the</w:t>
      </w:r>
      <w:r>
        <w:t xml:space="preserve"> </w:t>
      </w:r>
      <w:r>
        <w:t xml:space="preserve">exclusion of guidance related to truncated identifiers.</w:t>
      </w:r>
    </w:p>
    <w:p>
      <w:pPr>
        <w:numPr>
          <w:ilvl w:val="0"/>
          <w:numId w:val="1044"/>
        </w:numPr>
      </w:pPr>
      <w:r>
        <w:t xml:space="preserve">Qualify names to disambiguate potential conflicts between names</w:t>
      </w:r>
      <w:r>
        <w:t xml:space="preserve"> </w:t>
      </w:r>
      <w:r>
        <w:t xml:space="preserve">introduced from different scopes.</w:t>
      </w:r>
    </w:p>
    <w:p>
      <w:pPr>
        <w:numPr>
          <w:ilvl w:val="0"/>
          <w:numId w:val="1044"/>
        </w:numPr>
      </w:pPr>
      <w:r>
        <w:t xml:space="preserve">Document argument-dependent lookup usage where name qualification is</w:t>
      </w:r>
      <w:r>
        <w:t xml:space="preserve"> </w:t>
      </w:r>
      <w:r>
        <w:t xml:space="preserve">not desirable.</w:t>
      </w:r>
    </w:p>
    <w:p>
      <w:pPr>
        <w:numPr>
          <w:ilvl w:val="0"/>
          <w:numId w:val="1044"/>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4"/>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4"/>
        </w:numPr>
      </w:pPr>
      <w:r>
        <w:t xml:space="preserve">Use modern integrated development environments that inform about the</w:t>
      </w:r>
      <w:r>
        <w:t xml:space="preserve"> </w:t>
      </w:r>
      <w:r>
        <w:t xml:space="preserve">declaration of any identifier occurrence.</w:t>
      </w:r>
    </w:p>
    <w:p>
      <w:pPr>
        <w:numPr>
          <w:ilvl w:val="0"/>
          <w:numId w:val="1044"/>
        </w:numPr>
      </w:pPr>
      <w:r>
        <w:t xml:space="preserve">Enable compiler diagnostics that inform about the hiding of</w:t>
      </w:r>
      <w:r>
        <w:t xml:space="preserve"> </w:t>
      </w:r>
      <w:r>
        <w:t xml:space="preserve">declarations.</w:t>
      </w:r>
    </w:p>
    <w:p>
      <w:pPr>
        <w:numPr>
          <w:ilvl w:val="1"/>
          <w:numId w:val="1045"/>
        </w:numPr>
        <w:pStyle w:val="SourceCode"/>
      </w:pPr>
      <w:r>
        <w:rPr>
          <w:rStyle w:val="VerbatimChar"/>
        </w:rPr>
        <w:t xml:space="preserve">  DCL60-CPP. Obey the one-definition</w:t>
      </w:r>
    </w:p>
    <w:p>
      <w:pPr>
        <w:numPr>
          <w:ilvl w:val="1"/>
          <w:numId w:val="1000"/>
        </w:numPr>
      </w:pPr>
      <w:r>
        <w:t xml:space="preserve">rule (6.21)</w:t>
      </w:r>
    </w:p>
    <w:p>
      <w:pPr>
        <w:numPr>
          <w:ilvl w:val="1"/>
          <w:numId w:val="1045"/>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6"/>
        </w:numPr>
      </w:pPr>
      <w:r>
        <w:t xml:space="preserve">Overloading, where clause 6.20 applies;</w:t>
      </w:r>
    </w:p>
    <w:p>
      <w:pPr>
        <w:numPr>
          <w:ilvl w:val="0"/>
          <w:numId w:val="1046"/>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7"/>
        </w:numPr>
        <w:pStyle w:val="Compact"/>
      </w:pPr>
      <w:r>
        <w:t xml:space="preserve">a new overload,</w:t>
      </w:r>
    </w:p>
    <w:p>
      <w:pPr>
        <w:numPr>
          <w:ilvl w:val="0"/>
          <w:numId w:val="1047"/>
        </w:numPr>
        <w:pStyle w:val="Compact"/>
      </w:pPr>
      <w:r>
        <w:t xml:space="preserve">a using directive</w:t>
      </w:r>
    </w:p>
    <w:p>
      <w:pPr>
        <w:numPr>
          <w:ilvl w:val="0"/>
          <w:numId w:val="1047"/>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7"/>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0"/>
          <w:numId w:val="1048"/>
        </w:numPr>
      </w:pPr>
      <w:r>
        <w:t xml:space="preserve">Consider using fully qualified names for calls that rely on an implicit conversions.</w:t>
      </w:r>
    </w:p>
    <w:p>
      <w:pPr>
        <w:numPr>
          <w:ilvl w:val="0"/>
          <w:numId w:val="1048"/>
        </w:numPr>
      </w:pPr>
      <w:r>
        <w:t xml:space="preserve">Prefer using declarations to using directives.</w:t>
      </w:r>
    </w:p>
    <w:p>
      <w:pPr>
        <w:numPr>
          <w:ilvl w:val="0"/>
          <w:numId w:val="1048"/>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49"/>
        </w:numPr>
      </w:pPr>
      <w:r>
        <w:t xml:space="preserve">Follow the guidance provided in</w:t>
      </w:r>
    </w:p>
    <w:p>
      <w:pPr>
        <w:numPr>
          <w:ilvl w:val="1"/>
          <w:numId w:val="1050"/>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0"/>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 and</w:t>
      </w:r>
    </w:p>
    <w:p>
      <w:pPr>
        <w:numPr>
          <w:ilvl w:val="0"/>
          <w:numId w:val="1051"/>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2"/>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2"/>
        </w:numPr>
      </w:pPr>
      <w:r>
        <w:rPr>
          <w:rStyle w:val="NormalTok"/>
        </w:rPr>
        <w:t xml:space="preserve">\&gt;</w:t>
      </w:r>
      <w:r>
        <w:t xml:space="preserve"> </w:t>
      </w:r>
      <w:r>
        <w:t xml:space="preserve">and</w:t>
      </w:r>
      <w:r>
        <w:t xml:space="preserve"> </w:t>
      </w:r>
      <w:r>
        <w:rPr>
          <w:rStyle w:val="NormalTok"/>
        </w:rPr>
        <w:t xml:space="preserve">\&lt;=;</w:t>
      </w:r>
    </w:p>
    <w:p>
      <w:pPr>
        <w:numPr>
          <w:ilvl w:val="0"/>
          <w:numId w:val="1052"/>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3"/>
        </w:numPr>
      </w:pPr>
      <w:r>
        <w:t xml:space="preserve">Follow the guidance provided in ISO/IEC TR 24772-1:2019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p>
    <w:p>
      <w:pPr>
        <w:numPr>
          <w:ilvl w:val="1"/>
          <w:numId w:val="1054"/>
        </w:numPr>
        <w:pStyle w:val="SourceCode"/>
      </w:pPr>
      <w:r>
        <w:rPr>
          <w:rStyle w:val="VerbatimChar"/>
        </w:rPr>
        <w:t xml:space="preserve">  `&amp;&amp;` ;</w:t>
      </w:r>
    </w:p>
    <w:p>
      <w:pPr>
        <w:numPr>
          <w:ilvl w:val="1"/>
          <w:numId w:val="1054"/>
        </w:numPr>
        <w:pStyle w:val="SourceCode"/>
      </w:pPr>
      <w:r>
        <w:rPr>
          <w:rStyle w:val="VerbatimChar"/>
        </w:rPr>
        <w:t xml:space="preserve">  `||` ;</w:t>
      </w:r>
    </w:p>
    <w:p>
      <w:pPr>
        <w:numPr>
          <w:ilvl w:val="1"/>
          <w:numId w:val="1054"/>
        </w:numPr>
        <w:pStyle w:val="SourceCode"/>
      </w:pPr>
      <w:r>
        <w:rPr>
          <w:rStyle w:val="VerbatimChar"/>
        </w:rPr>
        <w:t xml:space="preserve">  `,` ;</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5"/>
        </w:numPr>
      </w:pPr>
      <w:r>
        <w:t xml:space="preserve">Write accesses to objects in that expression,</w:t>
      </w:r>
    </w:p>
    <w:p>
      <w:pPr>
        <w:numPr>
          <w:ilvl w:val="0"/>
          <w:numId w:val="1055"/>
        </w:numPr>
      </w:pPr>
      <w:r>
        <w:t xml:space="preserve">Reading a volatile object,</w:t>
      </w:r>
    </w:p>
    <w:p>
      <w:pPr>
        <w:numPr>
          <w:ilvl w:val="0"/>
          <w:numId w:val="1055"/>
        </w:numPr>
      </w:pPr>
      <w:r>
        <w:t xml:space="preserve">Calling a library I/O function, and</w:t>
      </w:r>
    </w:p>
    <w:p>
      <w:pPr>
        <w:numPr>
          <w:ilvl w:val="0"/>
          <w:numId w:val="1055"/>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6"/>
        </w:numPr>
      </w:pPr>
      <w:r>
        <w:t xml:space="preserve">Follow the guidance provided in ISO/IEC TR 24772-1:2019 Clause</w:t>
      </w:r>
      <w:r>
        <w:t xml:space="preserve"> </w:t>
      </w:r>
      <w:r>
        <w:t xml:space="preserve">6.24.5.</w:t>
      </w:r>
    </w:p>
    <w:p>
      <w:pPr>
        <w:numPr>
          <w:ilvl w:val="0"/>
          <w:numId w:val="1056"/>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6"/>
        </w:numPr>
      </w:pPr>
      <w:r>
        <w:t xml:space="preserve">Avoid overloading logical operators (&amp;&amp; and ||), as these</w:t>
      </w:r>
      <w:r>
        <w:t xml:space="preserve"> </w:t>
      </w:r>
      <w:r>
        <w:t xml:space="preserve">overloaded versions will not short-circuit.</w:t>
      </w:r>
    </w:p>
    <w:p>
      <w:pPr>
        <w:numPr>
          <w:ilvl w:val="0"/>
          <w:numId w:val="1056"/>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6"/>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6"/>
        </w:numPr>
      </w:pPr>
      <w:r>
        <w:t xml:space="preserve">Avoid placing multiple operations with side effects in a single</w:t>
      </w:r>
      <w:r>
        <w:t xml:space="preserve"> </w:t>
      </w:r>
      <w:r>
        <w:t xml:space="preserve">expression.</w:t>
      </w:r>
    </w:p>
    <w:p>
      <w:pPr>
        <w:numPr>
          <w:ilvl w:val="0"/>
          <w:numId w:val="1056"/>
        </w:numPr>
      </w:pPr>
      <w:r>
        <w:t xml:space="preserve">Write simple code expressions and statements so that within any</w:t>
      </w:r>
      <w:r>
        <w:t xml:space="preserve"> </w:t>
      </w:r>
      <w:r>
        <w:t xml:space="preserve">expression or statement an object is one of:</w:t>
      </w:r>
    </w:p>
    <w:p>
      <w:pPr>
        <w:numPr>
          <w:ilvl w:val="1"/>
          <w:numId w:val="1057"/>
        </w:numPr>
        <w:pStyle w:val="SourceCode"/>
      </w:pPr>
      <w:r>
        <w:rPr>
          <w:rStyle w:val="VerbatimChar"/>
        </w:rPr>
        <w:t xml:space="preserve">  Read from;</w:t>
      </w:r>
    </w:p>
    <w:p>
      <w:pPr>
        <w:numPr>
          <w:ilvl w:val="1"/>
          <w:numId w:val="1057"/>
        </w:numPr>
        <w:pStyle w:val="SourceCode"/>
      </w:pPr>
      <w:r>
        <w:rPr>
          <w:rStyle w:val="VerbatimChar"/>
        </w:rPr>
        <w:t xml:space="preserve">  Only modified once; or</w:t>
      </w:r>
    </w:p>
    <w:p>
      <w:pPr>
        <w:numPr>
          <w:ilvl w:val="1"/>
          <w:numId w:val="1057"/>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6"/>
        </w:numPr>
      </w:pPr>
      <w:r>
        <w:t xml:space="preserve">Be aware that different versions of C++ have different evaluation</w:t>
      </w:r>
      <w:r>
        <w:t xml:space="preserve"> </w:t>
      </w:r>
      <w:r>
        <w:t xml:space="preserve">order specifications and program accordingly.</w:t>
      </w:r>
    </w:p>
    <w:bookmarkEnd w:id="98"/>
    <w:bookmarkEnd w:id="99"/>
    <w:bookmarkStart w:id="102" w:name="KOA"/>
    <w:p>
      <w:pPr>
        <w:pStyle w:val="Heading2"/>
      </w:pPr>
      <w:r>
        <w:t xml:space="preserve">6.25 Likely Incorrect Expression [KOA]</w:t>
      </w:r>
    </w:p>
    <w:bookmarkStart w:id="100"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8"/>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8"/>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8"/>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8"/>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0"/>
    <w:bookmarkStart w:id="101"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9"/>
        </w:numPr>
      </w:pPr>
      <w:r>
        <w:t xml:space="preserve">Simplify expressions to aid in code readability and help future maintainers</w:t>
      </w:r>
      <w:r>
        <w:t xml:space="preserve"> </w:t>
      </w:r>
      <w:r>
        <w:t xml:space="preserve">understand the intent and nuances of the code. For example,</w:t>
      </w:r>
    </w:p>
    <w:p>
      <w:pPr>
        <w:numPr>
          <w:ilvl w:val="1"/>
          <w:numId w:val="1060"/>
        </w:numPr>
        <w:pStyle w:val="Compact"/>
      </w:pPr>
      <w:r>
        <w:t xml:space="preserve">by extracting intermediate results into const variables with a meaningful name, or</w:t>
      </w:r>
    </w:p>
    <w:p>
      <w:pPr>
        <w:numPr>
          <w:ilvl w:val="1"/>
          <w:numId w:val="1060"/>
        </w:numPr>
        <w:pStyle w:val="Compact"/>
      </w:pPr>
      <w:r>
        <w:t xml:space="preserve">by extracting a subexpression into a function with a meaningful name.</w:t>
      </w:r>
    </w:p>
    <w:p>
      <w:pPr>
        <w:numPr>
          <w:ilvl w:val="0"/>
          <w:numId w:val="1059"/>
        </w:numPr>
      </w:pPr>
      <w:r>
        <w:t xml:space="preserve">Avoid assignments embedded within other statements and expressions, as these can</w:t>
      </w:r>
      <w:r>
        <w:t xml:space="preserve"> </w:t>
      </w:r>
      <w:r>
        <w:t xml:space="preserve">be problematic.</w:t>
      </w:r>
    </w:p>
    <w:p>
      <w:pPr>
        <w:numPr>
          <w:ilvl w:val="0"/>
          <w:numId w:val="1059"/>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9"/>
        </w:numPr>
      </w:pPr>
      <w:r>
        <w:t xml:space="preserve">Use alternative tokens for the logical operators.</w:t>
      </w:r>
    </w:p>
    <w:p>
      <w:pPr>
        <w:numPr>
          <w:ilvl w:val="0"/>
          <w:numId w:val="1061"/>
        </w:numPr>
      </w:pPr>
      <w:r>
        <w:t xml:space="preserve">Consider the adoption of a coding standard that limits the use of</w:t>
      </w:r>
      <w:r>
        <w:t xml:space="preserve"> </w:t>
      </w:r>
      <w:r>
        <w:t xml:space="preserve">the assignment statement within an expression.</w:t>
      </w:r>
    </w:p>
    <w:p>
      <w:pPr>
        <w:numPr>
          <w:ilvl w:val="0"/>
          <w:numId w:val="1061"/>
        </w:numPr>
      </w:pPr>
      <w:r>
        <w:t xml:space="preserve">Follow the following C++ Core guidelines:</w:t>
      </w:r>
    </w:p>
    <w:p>
      <w:pPr>
        <w:numPr>
          <w:ilvl w:val="1"/>
          <w:numId w:val="1062"/>
        </w:numPr>
        <w:pStyle w:val="Compact"/>
      </w:pPr>
      <w:r>
        <w:t xml:space="preserve">ES 40 Avoid complicated expressions</w:t>
      </w:r>
    </w:p>
    <w:p>
      <w:pPr>
        <w:numPr>
          <w:ilvl w:val="1"/>
          <w:numId w:val="1062"/>
        </w:numPr>
        <w:pStyle w:val="Compact"/>
      </w:pPr>
      <w:r>
        <w:t xml:space="preserve">ES 41 If in doubt about operator precedence, parenthesize</w:t>
      </w:r>
    </w:p>
    <w:p>
      <w:pPr>
        <w:numPr>
          <w:ilvl w:val="1"/>
          <w:numId w:val="1062"/>
        </w:numPr>
        <w:pStyle w:val="Compact"/>
      </w:pPr>
      <w:r>
        <w:t xml:space="preserve">ES 44 Do not depend on order of evaluation</w:t>
      </w:r>
    </w:p>
    <w:bookmarkEnd w:id="101"/>
    <w:bookmarkEnd w:id="102"/>
    <w:bookmarkStart w:id="105" w:name="dead-and-deactivated-code-xyq"/>
    <w:p>
      <w:pPr>
        <w:pStyle w:val="Heading2"/>
      </w:pPr>
      <w:r>
        <w:t xml:space="preserve">6.26 Dead and Deactivated Code [XYQ]</w:t>
      </w:r>
    </w:p>
    <w:bookmarkStart w:id="103"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3"/>
    <w:bookmarkStart w:id="104"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4"/>
    <w:bookmarkEnd w:id="105"/>
    <w:bookmarkStart w:id="108" w:name="Xc86cceedfcf0c77c094b3df762cc0f756518ffc"/>
    <w:p>
      <w:pPr>
        <w:pStyle w:val="Heading2"/>
      </w:pPr>
      <w:r>
        <w:t xml:space="preserve">6.27 Switch Statements and Static Analysis [CLL]</w:t>
      </w:r>
    </w:p>
    <w:bookmarkStart w:id="106"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6"/>
    <w:bookmarkStart w:id="107"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7"/>
    <w:bookmarkEnd w:id="108"/>
    <w:bookmarkStart w:id="111" w:name="demarcation-of-control-flow-eoj"/>
    <w:p>
      <w:pPr>
        <w:pStyle w:val="Heading2"/>
      </w:pPr>
      <w:r>
        <w:t xml:space="preserve">6.28 Demarcation of Control Flow [EOJ]</w:t>
      </w:r>
    </w:p>
    <w:bookmarkStart w:id="109"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09"/>
    <w:bookmarkStart w:id="110"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0"/>
    <w:bookmarkEnd w:id="111"/>
    <w:bookmarkStart w:id="114" w:name="loop-control-variables-tex"/>
    <w:p>
      <w:pPr>
        <w:pStyle w:val="Heading2"/>
      </w:pPr>
      <w:r>
        <w:t xml:space="preserve">6.29 Loop Control Variables [TEX]</w:t>
      </w:r>
    </w:p>
    <w:bookmarkStart w:id="112"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2"/>
    <w:bookmarkStart w:id="113"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7"/>
        </w:numPr>
      </w:pPr>
      <w:r>
        <w:t xml:space="preserve">Use a range for loop in preference to general loops</w:t>
      </w:r>
    </w:p>
    <w:p>
      <w:pPr>
        <w:numPr>
          <w:ilvl w:val="0"/>
          <w:numId w:val="106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7"/>
        </w:numPr>
      </w:pPr>
      <w:r>
        <w:t xml:space="preserve">Something about multiple loop control variables in the same loop?</w:t>
      </w:r>
    </w:p>
    <w:p>
      <w:pPr>
        <w:pStyle w:val="FirstParagraph"/>
      </w:pPr>
      <w:r>
        <w:t xml:space="preserve">Note: See also the C++ Core Guidelines ES.71, ES.86,</w:t>
      </w:r>
    </w:p>
    <w:bookmarkEnd w:id="113"/>
    <w:bookmarkEnd w:id="114"/>
    <w:bookmarkStart w:id="117" w:name="off-by-one-error-xzh"/>
    <w:p>
      <w:pPr>
        <w:pStyle w:val="Heading2"/>
      </w:pPr>
      <w:r>
        <w:t xml:space="preserve">6.30 Off-by-one Error [XZH]</w:t>
      </w:r>
    </w:p>
    <w:bookmarkStart w:id="115"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5"/>
    <w:bookmarkStart w:id="116"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6"/>
    <w:bookmarkEnd w:id="117"/>
    <w:bookmarkStart w:id="120" w:name="structured-programming-ewd"/>
    <w:p>
      <w:pPr>
        <w:pStyle w:val="Heading2"/>
      </w:pPr>
      <w:r>
        <w:t xml:space="preserve">6.31 Structured Programming [EWD]</w:t>
      </w:r>
    </w:p>
    <w:bookmarkStart w:id="118"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8"/>
    <w:bookmarkStart w:id="119"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19"/>
    <w:bookmarkEnd w:id="120"/>
    <w:bookmarkStart w:id="123" w:name="passing-parameters-and-return-values-csj"/>
    <w:p>
      <w:pPr>
        <w:pStyle w:val="Heading2"/>
      </w:pPr>
      <w:r>
        <w:t xml:space="preserve">6.32 Passing Parameters and Return Values [CSJ]</w:t>
      </w:r>
    </w:p>
    <w:bookmarkStart w:id="121"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1"/>
    <w:bookmarkStart w:id="122"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2"/>
    <w:bookmarkEnd w:id="123"/>
    <w:bookmarkStart w:id="126" w:name="dangling-references-to-stack-frames-dcm"/>
    <w:p>
      <w:pPr>
        <w:pStyle w:val="Heading2"/>
      </w:pPr>
      <w:r>
        <w:t xml:space="preserve">6.33 Dangling References to Stack Frames [DCM]</w:t>
      </w:r>
    </w:p>
    <w:bookmarkStart w:id="124"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4"/>
    <w:bookmarkStart w:id="125"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5"/>
        </w:numPr>
      </w:pPr>
      <w:r>
        <w:t xml:space="preserve">Do not return the address of a local variable as the result of a</w:t>
      </w:r>
      <w:r>
        <w:t xml:space="preserve"> </w:t>
      </w:r>
      <w:r>
        <w:t xml:space="preserve">function call.</w:t>
      </w:r>
    </w:p>
    <w:p>
      <w:pPr>
        <w:numPr>
          <w:ilvl w:val="0"/>
          <w:numId w:val="1075"/>
        </w:numPr>
      </w:pPr>
      <w:r>
        <w:t xml:space="preserve">Do not return a local variable as the result of a function returning</w:t>
      </w:r>
      <w:r>
        <w:t xml:space="preserve"> </w:t>
      </w:r>
      <w:r>
        <w:t xml:space="preserve">a reference type</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5"/>
    <w:bookmarkEnd w:id="126"/>
    <w:bookmarkStart w:id="130" w:name="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7">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overload and use default arguments for the same set of functions</w:t>
      </w:r>
    </w:p>
    <w:p>
      <w:pPr>
        <w:numPr>
          <w:ilvl w:val="0"/>
          <w:numId w:val="1078"/>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Avoid error handling based on global state.</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0"/>
        </w:numPr>
      </w:pPr>
      <w:r>
        <w:t xml:space="preserve">Prefer throwing exceptions to returning error values.</w:t>
      </w:r>
    </w:p>
    <w:p>
      <w:pPr>
        <w:numPr>
          <w:ilvl w:val="0"/>
          <w:numId w:val="1080"/>
        </w:numPr>
      </w:pPr>
      <w:r>
        <w:t xml:space="preserve">Use destructors to manage the finalization of the current context</w:t>
      </w:r>
      <w:r>
        <w:t xml:space="preserve"> </w:t>
      </w:r>
      <w:r>
        <w:t xml:space="preserve">upon exit, whether erroneous or not.</w:t>
      </w:r>
    </w:p>
    <w:p>
      <w:pPr>
        <w:numPr>
          <w:ilvl w:val="0"/>
          <w:numId w:val="1080"/>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0"/>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0"/>
        </w:numPr>
      </w:pPr>
      <w:r>
        <w:t xml:space="preserve">Consider termination as a last resort strategy for main or for</w:t>
      </w:r>
      <w:r>
        <w:t xml:space="preserve"> </w:t>
      </w:r>
      <w:r>
        <w:t xml:space="preserve">noexcept functions.</w:t>
      </w:r>
    </w:p>
    <w:p>
      <w:pPr>
        <w:numPr>
          <w:ilvl w:val="0"/>
          <w:numId w:val="1080"/>
        </w:numPr>
      </w:pPr>
      <w:r>
        <w:t xml:space="preserve">Notify higher level constructs before a thread is allowed to</w:t>
      </w:r>
      <w:r>
        <w:t xml:space="preserve"> </w:t>
      </w:r>
      <w:r>
        <w:t xml:space="preserve">terminate.</w:t>
      </w:r>
    </w:p>
    <w:p>
      <w:pPr>
        <w:numPr>
          <w:ilvl w:val="0"/>
          <w:numId w:val="1080"/>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3"/>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3"/>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cause object slicing</w:t>
      </w:r>
      <w:r>
        <w:t xml:space="preserve"> </w:t>
      </w:r>
      <w:r>
        <w:t xml:space="preserve">when a copy of a base class object is created from a derived class object.</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07"/>
        </w:numPr>
      </w:pPr>
      <w:r>
        <w:t xml:space="preserve">Follow the advice provided in ISO/IEC 24772-1 clause 6.44.5.</w:t>
      </w:r>
    </w:p>
    <w:p>
      <w:pPr>
        <w:numPr>
          <w:ilvl w:val="0"/>
          <w:numId w:val="1107"/>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7"/>
        </w:numPr>
      </w:pPr>
      <w:r>
        <w:t xml:space="preserve">Avoid designs relying on downcasts or crosscasts;</w:t>
      </w:r>
      <w:r>
        <w:t xml:space="preserve"> </w:t>
      </w:r>
      <w:r>
        <w:t xml:space="preserve">rely on proper virtual member functions in the base classes instead.</w:t>
      </w:r>
    </w:p>
    <w:p>
      <w:pPr>
        <w:numPr>
          <w:ilvl w:val="0"/>
          <w:numId w:val="1107"/>
        </w:numPr>
      </w:pPr>
      <w:r>
        <w:t xml:space="preserve">Avoid explicit upcast, rely on implicit conversion.</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For any class that implements a virtual member function, consider</w:t>
      </w:r>
      <w:r>
        <w:t xml:space="preserve"> </w:t>
      </w:r>
      <w:r>
        <w:t xml:space="preserve">marking that member function</w:t>
      </w:r>
      <w:r>
        <w:t xml:space="preserve"> </w:t>
      </w:r>
      <w:r>
        <w:rPr>
          <w:rStyle w:val="KeywordTok"/>
        </w:rPr>
        <w:t xml:space="preserve">final</w:t>
      </w:r>
      <w:r>
        <w:t xml:space="preserve"> </w:t>
      </w:r>
      <w:r>
        <w:t xml:space="preserve">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r>
        <w:t xml:space="preserve"> </w:t>
      </w:r>
      <w:r>
        <w:t xml:space="preserve">C.139 even talks about avoiding final for member functions. We (Peter &amp; Paul) suggest to delete this guidance</w:t>
      </w:r>
    </w:p>
    <w:p>
      <w:pPr>
        <w:pStyle w:val="BlockText"/>
      </w:pPr>
      <w:r>
        <w:t xml:space="preserve">NOTE: Making instead the class final contradicts C++ Core Guideline</w:t>
      </w:r>
      <w:r>
        <w:t xml:space="preserve"> </w:t>
      </w:r>
      <w:r>
        <w:t xml:space="preserve">C.139, so is not recommended here.</w:t>
      </w:r>
    </w:p>
    <w:p>
      <w:pPr>
        <w:numPr>
          <w:ilvl w:val="0"/>
          <w:numId w:val="1108"/>
        </w:numPr>
        <w:pStyle w:val="Compact"/>
      </w:pPr>
      <w:r>
        <w:t xml:space="preserve">Consider declaring virtual member functions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IMHO this recommendation does not address any vulnerability. (Peter)</w:t>
      </w:r>
      <w:r>
        <w:t xml:space="preserve"> </w:t>
      </w:r>
      <w:r>
        <w:t xml:space="preserve">TBD with Erhard.</w:t>
      </w:r>
      <w:r>
        <w:br/>
      </w:r>
      <w:r>
        <w:t xml:space="preserve">NOTE: This assumes that within the class hierarchy any qualified call</w:t>
      </w:r>
      <w:r>
        <w:t xml:space="preserve"> </w:t>
      </w:r>
      <w:r>
        <w:t xml:space="preserve">is intentional and is the pattern of a non-public virtual interface.</w:t>
      </w:r>
    </w:p>
    <w:p>
      <w:pPr>
        <w:numPr>
          <w:ilvl w:val="0"/>
          <w:numId w:val="1109"/>
        </w:numPr>
        <w:pStyle w:val="Compact"/>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1"/>
        </w:numPr>
      </w:pPr>
      <w:r>
        <w:t xml:space="preserve">Follow the guidelines of ISO/IEC TR 24772-1 clause 6.47.5.</w:t>
      </w:r>
    </w:p>
    <w:p>
      <w:pPr>
        <w:numPr>
          <w:ilvl w:val="0"/>
          <w:numId w:val="111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2"/>
        </w:numPr>
      </w:pPr>
      <w:r>
        <w:t xml:space="preserve">Follow the guidance contained in ISO/IEC TR 24772-1:2019 clause</w:t>
      </w:r>
      <w:r>
        <w:t xml:space="preserve"> </w:t>
      </w:r>
      <w:r>
        <w:t xml:space="preserve">6.47.5</w:t>
      </w:r>
    </w:p>
    <w:p>
      <w:pPr>
        <w:numPr>
          <w:ilvl w:val="0"/>
          <w:numId w:val="1112"/>
        </w:numPr>
      </w:pPr>
      <w:r>
        <w:t xml:space="preserve">Use standard layout types for the interoperable interfaces.</w:t>
      </w:r>
    </w:p>
    <w:p>
      <w:pPr>
        <w:numPr>
          <w:ilvl w:val="1"/>
          <w:numId w:val="111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2"/>
        </w:numPr>
      </w:pPr>
      <w:r>
        <w:t xml:space="preserve">Be aware that C++ exceptions are not usually compatible with</w:t>
      </w:r>
      <w:r>
        <w:t xml:space="preserve"> </w:t>
      </w:r>
      <w:r>
        <w:t xml:space="preserve">exceptions in other languages.</w:t>
      </w:r>
    </w:p>
    <w:p>
      <w:pPr>
        <w:numPr>
          <w:ilvl w:val="0"/>
          <w:numId w:val="111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4"/>
        </w:numPr>
      </w:pPr>
      <w:r>
        <w:t xml:space="preserve">Follow the guidance of ISO/IEC TR 24772-1:2019 clause 6.49.5.</w:t>
      </w:r>
    </w:p>
    <w:p>
      <w:pPr>
        <w:numPr>
          <w:ilvl w:val="0"/>
          <w:numId w:val="1114"/>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5"/>
        </w:numPr>
      </w:pPr>
      <w:r>
        <w:t xml:space="preserve">Follow the advice of clause 6.36.2 for catching and handling</w:t>
      </w:r>
      <w:r>
        <w:t xml:space="preserve"> </w:t>
      </w:r>
      <w:r>
        <w:t xml:space="preserve">exceptions.</w:t>
      </w:r>
    </w:p>
    <w:p>
      <w:pPr>
        <w:numPr>
          <w:ilvl w:val="0"/>
          <w:numId w:val="1115"/>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6"/>
        </w:numPr>
      </w:pPr>
      <w:r>
        <w:t xml:space="preserve">If a function-like macro must be used, ensure that its</w:t>
      </w:r>
      <w:r>
        <w:t xml:space="preserve"> </w:t>
      </w:r>
      <w:r>
        <w:t xml:space="preserve">parameters and body are parenthesized.</w:t>
      </w:r>
    </w:p>
    <w:p>
      <w:pPr>
        <w:numPr>
          <w:ilvl w:val="0"/>
          <w:numId w:val="1116"/>
        </w:numPr>
      </w:pPr>
      <w:r>
        <w:t xml:space="preserve">In a function-like macro, ensure that each argument is evaluated at</w:t>
      </w:r>
      <w:r>
        <w:t xml:space="preserve"> </w:t>
      </w:r>
      <w:r>
        <w:t xml:space="preserve">most once.</w:t>
      </w:r>
    </w:p>
    <w:p>
      <w:pPr>
        <w:numPr>
          <w:ilvl w:val="0"/>
          <w:numId w:val="111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7"/>
        </w:numPr>
      </w:pPr>
      <w:r>
        <w:t xml:space="preserve">Follow the guidelines of ISO/IEC TR 24772-1:2019 clause 6.53.5.</w:t>
      </w:r>
    </w:p>
    <w:p>
      <w:pPr>
        <w:numPr>
          <w:ilvl w:val="0"/>
          <w:numId w:val="1117"/>
        </w:numPr>
      </w:pPr>
      <w:r>
        <w:t xml:space="preserve">Enable checks that warn about unsafe operations.</w:t>
      </w:r>
    </w:p>
    <w:p>
      <w:pPr>
        <w:numPr>
          <w:ilvl w:val="0"/>
          <w:numId w:val="1117"/>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8"/>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9"/>
        </w:numPr>
      </w:pPr>
      <w:r>
        <w:t xml:space="preserve">Follow the guidelines of ISO/IEC TR 24772-1:2019 clause 6.56.5.</w:t>
      </w:r>
    </w:p>
    <w:p>
      <w:pPr>
        <w:numPr>
          <w:ilvl w:val="0"/>
          <w:numId w:val="1119"/>
        </w:numPr>
      </w:pPr>
      <w:r>
        <w:t xml:space="preserve">Augment static analysis tool usage with runtime tools such as ASAN</w:t>
      </w:r>
      <w:r>
        <w:t xml:space="preserve"> </w:t>
      </w:r>
      <w:r>
        <w:t xml:space="preserve">(address sanitizer) and related tools.</w:t>
      </w:r>
    </w:p>
    <w:p>
      <w:pPr>
        <w:numPr>
          <w:ilvl w:val="0"/>
          <w:numId w:val="1119"/>
        </w:numPr>
      </w:pPr>
      <w:r>
        <w:t xml:space="preserve">Use static analysis tools to help identify occurrences of undefined</w:t>
      </w:r>
      <w:r>
        <w:t xml:space="preserve"> </w:t>
      </w:r>
      <w:r>
        <w:t xml:space="preserve">behaviour.</w:t>
      </w:r>
    </w:p>
    <w:p>
      <w:pPr>
        <w:numPr>
          <w:ilvl w:val="0"/>
          <w:numId w:val="111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0"/>
        </w:numPr>
      </w:pPr>
      <w:r>
        <w:t xml:space="preserve">Follow the guidelines of ISO/IEC TR 24772-1:2019 clause 6.57.5.</w:t>
      </w:r>
    </w:p>
    <w:p>
      <w:pPr>
        <w:numPr>
          <w:ilvl w:val="0"/>
          <w:numId w:val="112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0"/>
        </w:numPr>
      </w:pPr>
      <w:r>
        <w:t xml:space="preserve">Use multiple compilers/tools to increase your chance of identifying</w:t>
      </w:r>
      <w:r>
        <w:t xml:space="preserve"> </w:t>
      </w:r>
      <w:r>
        <w:t xml:space="preserve">constructs that have implementation-defined behaviours.</w:t>
      </w:r>
    </w:p>
    <w:p>
      <w:pPr>
        <w:numPr>
          <w:ilvl w:val="0"/>
          <w:numId w:val="112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1"/>
        </w:numPr>
      </w:pPr>
      <w:r>
        <w:t xml:space="preserve">Follow the guidelines of ISO/IEC TR 24772-1 clause 6.58.5.</w:t>
      </w:r>
    </w:p>
    <w:p>
      <w:pPr>
        <w:numPr>
          <w:ilvl w:val="0"/>
          <w:numId w:val="1121"/>
        </w:numPr>
      </w:pPr>
      <w:r>
        <w:t xml:space="preserve">Enable compiler options or static analysis tools that identify the</w:t>
      </w:r>
      <w:r>
        <w:t xml:space="preserve"> </w:t>
      </w:r>
      <w:r>
        <w:t xml:space="preserve">use of deprecated features.</w:t>
      </w:r>
    </w:p>
    <w:p>
      <w:pPr>
        <w:numPr>
          <w:ilvl w:val="0"/>
          <w:numId w:val="112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2"/>
        </w:numPr>
        <w:pStyle w:val="Compact"/>
      </w:pPr>
      <w:r>
        <w:t xml:space="preserve">6.61 Concurrent Data Access,</w:t>
      </w:r>
    </w:p>
    <w:p>
      <w:pPr>
        <w:numPr>
          <w:ilvl w:val="0"/>
          <w:numId w:val="1122"/>
        </w:numPr>
        <w:pStyle w:val="Compact"/>
      </w:pPr>
      <w:r>
        <w:t xml:space="preserve">6.14 and 6.33 dangling of data reference, if data is passed to the thread function as reference or pointer, instead of passing a copy.</w:t>
      </w:r>
    </w:p>
    <w:p>
      <w:pPr>
        <w:numPr>
          <w:ilvl w:val="0"/>
          <w:numId w:val="112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3"/>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4"/>
        </w:numPr>
      </w:pPr>
      <w:r>
        <w:t xml:space="preserve">Follow the guidance of ISO/IEC TR 24772-1 clause 6.62.5.</w:t>
      </w:r>
    </w:p>
    <w:p>
      <w:pPr>
        <w:numPr>
          <w:ilvl w:val="0"/>
          <w:numId w:val="1124"/>
        </w:numPr>
      </w:pPr>
      <w:r>
        <w:t xml:space="preserve">Use mutexes, condition variables (convar) in preference to atomic</w:t>
      </w:r>
      <w:r>
        <w:t xml:space="preserve"> </w:t>
      </w:r>
      <w:r>
        <w:t xml:space="preserve">variables to protect data from simultaneous access.</w:t>
      </w:r>
    </w:p>
    <w:p>
      <w:pPr>
        <w:numPr>
          <w:ilvl w:val="0"/>
          <w:numId w:val="1124"/>
        </w:numPr>
      </w:pPr>
      <w:r>
        <w:t xml:space="preserve">Use volatile only for synchronizing abstract machine state from</w:t>
      </w:r>
      <w:r>
        <w:t xml:space="preserve"> </w:t>
      </w:r>
      <w:r>
        <w:t xml:space="preserve">memory.</w:t>
      </w:r>
    </w:p>
    <w:p>
      <w:pPr>
        <w:numPr>
          <w:ilvl w:val="0"/>
          <w:numId w:val="1124"/>
        </w:numPr>
      </w:pPr>
      <w:r>
        <w:t xml:space="preserve">Avoid the use of volatile for synchronizing access to shared memory</w:t>
      </w:r>
      <w:r>
        <w:t xml:space="preserve"> </w:t>
      </w:r>
      <w:r>
        <w:t xml:space="preserve">between threads (which needs mutex, condvar, or atomics)</w:t>
      </w:r>
    </w:p>
    <w:p>
      <w:pPr>
        <w:numPr>
          <w:ilvl w:val="1"/>
          <w:numId w:val="112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4"/>
        </w:numPr>
      </w:pPr>
      <w:r>
        <w:t xml:space="preserve">Avoid relaxed atomic operations whenever possible. Prefer the</w:t>
      </w:r>
      <w:r>
        <w:t xml:space="preserve"> </w:t>
      </w:r>
      <w:r>
        <w:t xml:space="preserve">sequentially consistent std::memory_order_seq_cst instead .</w:t>
      </w:r>
    </w:p>
    <w:p>
      <w:pPr>
        <w:numPr>
          <w:ilvl w:val="0"/>
          <w:numId w:val="1124"/>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6"/>
        </w:numPr>
      </w:pPr>
      <w:r>
        <w:t xml:space="preserve">Follow the guidelines of TR 24772-1 clause 6.63.5.</w:t>
      </w:r>
    </w:p>
    <w:p>
      <w:pPr>
        <w:numPr>
          <w:ilvl w:val="0"/>
          <w:numId w:val="1126"/>
        </w:numPr>
      </w:pPr>
      <w:r>
        <w:t xml:space="preserve">Use low-level operating system primitives or other APIs where</w:t>
      </w:r>
      <w:r>
        <w:t xml:space="preserve"> </w:t>
      </w:r>
      <w:r>
        <w:t xml:space="preserve">available to check that a required thread is still active.</w:t>
      </w:r>
    </w:p>
    <w:p>
      <w:pPr>
        <w:numPr>
          <w:ilvl w:val="0"/>
          <w:numId w:val="1126"/>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7"/>
        </w:numPr>
      </w:pPr>
      <w:r>
        <w:t xml:space="preserve">Follow the guidelines of TR 24772-1 clause 6.63.5.</w:t>
      </w:r>
    </w:p>
    <w:p>
      <w:pPr>
        <w:numPr>
          <w:ilvl w:val="0"/>
          <w:numId w:val="112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7"/>
        </w:numPr>
      </w:pPr>
      <w:r>
        <w:t xml:space="preserve">Use higher level building blocks (such as TBB) in preference to …</w:t>
      </w:r>
    </w:p>
    <w:p>
      <w:pPr>
        <w:numPr>
          <w:ilvl w:val="0"/>
          <w:numId w:val="1127"/>
        </w:numPr>
      </w:pPr>
      <w:r>
        <w:t xml:space="preserve">Use the C++ Task mechanism in preference to threads …</w:t>
      </w:r>
    </w:p>
    <w:p>
      <w:pPr>
        <w:numPr>
          <w:ilvl w:val="0"/>
          <w:numId w:val="112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7"/>
        </w:numPr>
      </w:pPr>
      <w:r>
        <w:rPr>
          <w:i/>
          <w:b/>
        </w:rPr>
        <w:t xml:space="preserve">Do not use platform specific multi-threading facilities</w:t>
      </w:r>
    </w:p>
    <w:p>
      <w:pPr>
        <w:numPr>
          <w:ilvl w:val="0"/>
          <w:numId w:val="1127"/>
        </w:numPr>
      </w:pPr>
      <w:r>
        <w:rPr>
          <w:i/>
          <w:b/>
        </w:rPr>
        <w:t xml:space="preserve">A thread shall not access objects whose lifetime has expired</w:t>
      </w:r>
    </w:p>
    <w:p>
      <w:pPr>
        <w:numPr>
          <w:ilvl w:val="0"/>
          <w:numId w:val="1127"/>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7"/>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7"/>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7"/>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7"/>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7"/>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7"/>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7"/>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7"/>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7"/>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7"/>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7"/>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7"/>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7"/>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7"/>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7"/>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7"/>
        </w:numPr>
      </w:pPr>
      <w:r>
        <w:t xml:space="preserve">0.10.2 [36] Source CCG Rule CP.101: Distrust your</w:t>
      </w:r>
      <w:r>
        <w:t xml:space="preserve"> </w:t>
      </w:r>
      <w:r>
        <w:t xml:space="preserve">hardware/compiler combination</w:t>
      </w:r>
    </w:p>
    <w:p>
      <w:pPr>
        <w:numPr>
          <w:ilvl w:val="0"/>
          <w:numId w:val="1127"/>
        </w:numPr>
      </w:pPr>
      <w:r>
        <w:t xml:space="preserve">0.10.3 [37] Source CCG Rule CP.102: Carefully study the literature</w:t>
      </w:r>
    </w:p>
    <w:p>
      <w:pPr>
        <w:numPr>
          <w:ilvl w:val="0"/>
          <w:numId w:val="1127"/>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7"/>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7"/>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8"/>
        </w:numPr>
      </w:pPr>
      <w:r>
        <w:t xml:space="preserve">Do not cast-away</w:t>
      </w:r>
      <w:r>
        <w:t xml:space="preserve"> </w:t>
      </w:r>
      <w:r>
        <w:rPr>
          <w:rStyle w:val="AttributeTok"/>
        </w:rPr>
        <w:t xml:space="preserve">const</w:t>
      </w:r>
      <w:r>
        <w:t xml:space="preserve">.</w:t>
      </w:r>
    </w:p>
    <w:p>
      <w:pPr>
        <w:numPr>
          <w:ilvl w:val="0"/>
          <w:numId w:val="112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9"/>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2021-11-30T17:01:15Z</dcterms:created>
  <dcterms:modified xsi:type="dcterms:W3CDTF">2021-11-30T17:01:15Z</dcterms:modified>
</cp:coreProperties>
</file>

<file path=docProps/custom.xml><?xml version="1.0" encoding="utf-8"?>
<Properties xmlns="http://schemas.openxmlformats.org/officeDocument/2006/custom-properties" xmlns:vt="http://schemas.openxmlformats.org/officeDocument/2006/docPropsVTypes"/>
</file>