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5"/>
        </w:numPr>
      </w:pPr>
      <w:r>
        <w:t xml:space="preserve">Containers manage memory and separate memory management from the use</w:t>
      </w:r>
      <w:r>
        <w:t xml:space="preserve"> </w:t>
      </w:r>
      <w:r>
        <w:t xml:space="preserve">of objects.</w:t>
      </w:r>
    </w:p>
    <w:p>
      <w:pPr>
        <w:numPr>
          <w:ilvl w:val="0"/>
          <w:numId w:val="1035"/>
        </w:numPr>
      </w:pPr>
      <w:r>
        <w:t xml:space="preserve">The container interface throws an exception if a container cannot be</w:t>
      </w:r>
      <w:r>
        <w:t xml:space="preserve"> </w:t>
      </w:r>
      <w:r>
        <w:t xml:space="preserve">allocated.</w:t>
      </w:r>
    </w:p>
    <w:p>
      <w:pPr>
        <w:numPr>
          <w:ilvl w:val="0"/>
          <w:numId w:val="1035"/>
        </w:numPr>
      </w:pPr>
      <w:r>
        <w:t xml:space="preserve">Smart pointer creation functions allocate heap memory and handle</w:t>
      </w:r>
      <w:r>
        <w:t xml:space="preserve"> </w:t>
      </w:r>
      <w:r>
        <w:t xml:space="preserve">memory management.</w:t>
      </w:r>
    </w:p>
    <w:p>
      <w:pPr>
        <w:numPr>
          <w:ilvl w:val="0"/>
          <w:numId w:val="1035"/>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6"/>
        </w:numPr>
      </w:pPr>
      <w:r>
        <w:t xml:space="preserve">When dereferencing objects of pointer-like types that may contain a null</w:t>
      </w:r>
      <w:r>
        <w:t xml:space="preserve"> </w:t>
      </w:r>
      <w:r>
        <w:t xml:space="preserve">value, follow the guidance from TR 24772-3 clause 6.13.2.</w:t>
      </w:r>
    </w:p>
    <w:p>
      <w:pPr>
        <w:numPr>
          <w:ilvl w:val="0"/>
          <w:numId w:val="1036"/>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6"/>
        </w:numPr>
      </w:pPr>
      <w:r>
        <w:t xml:space="preserve">Use references to reduce the number of places where pointers are</w:t>
      </w:r>
      <w:r>
        <w:t xml:space="preserve"> </w:t>
      </w:r>
      <w:r>
        <w:t xml:space="preserve">dereferenced.</w:t>
      </w:r>
      <w:r>
        <w:t xml:space="preserve"> </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0"/>
        </w:numPr>
      </w:pPr>
      <w:r>
        <w:t xml:space="preserve">Follow the guidance provided in</w:t>
      </w:r>
    </w:p>
    <w:p>
      <w:pPr>
        <w:numPr>
          <w:ilvl w:val="1"/>
          <w:numId w:val="105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1"/>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3"/>
        </w:numPr>
      </w:pPr>
      <w:r>
        <w:rPr>
          <w:rStyle w:val="NormalTok"/>
        </w:rPr>
        <w:t xml:space="preserve">\&gt;</w:t>
      </w:r>
      <w:r>
        <w:t xml:space="preserve"> </w:t>
      </w:r>
      <w:r>
        <w:t xml:space="preserve">and</w:t>
      </w:r>
      <w:r>
        <w:t xml:space="preserve"> </w:t>
      </w:r>
      <w:r>
        <w:rPr>
          <w:rStyle w:val="NormalTok"/>
        </w:rPr>
        <w:t xml:space="preserve">\&lt;=;</w:t>
      </w:r>
    </w:p>
    <w:p>
      <w:pPr>
        <w:numPr>
          <w:ilvl w:val="0"/>
          <w:numId w:val="1053"/>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4"/>
        </w:numPr>
      </w:pPr>
      <w:r>
        <w:t xml:space="preserve">Follow the guidance provided in ISO/IEC TR 24772-1:2019 Clause</w:t>
      </w:r>
      <w:r>
        <w:t xml:space="preserve"> </w:t>
      </w:r>
      <w:r>
        <w:t xml:space="preserve">6.23.5 [JCW].</w:t>
      </w:r>
    </w:p>
    <w:p>
      <w:pPr>
        <w:numPr>
          <w:ilvl w:val="0"/>
          <w:numId w:val="105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4"/>
        </w:numPr>
      </w:pPr>
      <w:r>
        <w:t xml:space="preserve">Avoid overloading the following operators:</w:t>
      </w:r>
    </w:p>
    <w:p>
      <w:pPr>
        <w:numPr>
          <w:ilvl w:val="1"/>
          <w:numId w:val="1055"/>
        </w:numPr>
        <w:pStyle w:val="SourceCode"/>
      </w:pPr>
      <w:r>
        <w:rPr>
          <w:rStyle w:val="VerbatimChar"/>
        </w:rPr>
        <w:t xml:space="preserve">  `&amp;&amp;` ;</w:t>
      </w:r>
    </w:p>
    <w:p>
      <w:pPr>
        <w:numPr>
          <w:ilvl w:val="1"/>
          <w:numId w:val="1055"/>
        </w:numPr>
        <w:pStyle w:val="SourceCode"/>
      </w:pPr>
      <w:r>
        <w:rPr>
          <w:rStyle w:val="VerbatimChar"/>
        </w:rPr>
        <w:t xml:space="preserve">  `||` ;</w:t>
      </w:r>
    </w:p>
    <w:p>
      <w:pPr>
        <w:numPr>
          <w:ilvl w:val="1"/>
          <w:numId w:val="1055"/>
        </w:numPr>
        <w:pStyle w:val="SourceCode"/>
      </w:pPr>
      <w:r>
        <w:rPr>
          <w:rStyle w:val="VerbatimChar"/>
        </w:rPr>
        <w:t xml:space="preserve">  `,` ;</w:t>
      </w:r>
    </w:p>
    <w:p>
      <w:pPr>
        <w:numPr>
          <w:ilvl w:val="0"/>
          <w:numId w:val="1054"/>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9"/>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9"/>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9"/>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0"/>
        </w:numPr>
      </w:pPr>
      <w:r>
        <w:t xml:space="preserve">Simplify expressions to aid in code readability and help future maintainers</w:t>
      </w:r>
      <w:r>
        <w:t xml:space="preserve"> </w:t>
      </w:r>
      <w:r>
        <w:t xml:space="preserve">understand the intent and nuances of the code. For example,</w:t>
      </w:r>
    </w:p>
    <w:p>
      <w:pPr>
        <w:numPr>
          <w:ilvl w:val="1"/>
          <w:numId w:val="1061"/>
        </w:numPr>
        <w:pStyle w:val="Compact"/>
      </w:pPr>
      <w:r>
        <w:t xml:space="preserve">by extracting intermediate results into const variables with a meaningful name, or</w:t>
      </w:r>
    </w:p>
    <w:p>
      <w:pPr>
        <w:numPr>
          <w:ilvl w:val="1"/>
          <w:numId w:val="1061"/>
        </w:numPr>
        <w:pStyle w:val="Compact"/>
      </w:pPr>
      <w:r>
        <w:t xml:space="preserve">by extracting a subexpression into a function with a meaningful name.</w:t>
      </w:r>
    </w:p>
    <w:p>
      <w:pPr>
        <w:numPr>
          <w:ilvl w:val="0"/>
          <w:numId w:val="1060"/>
        </w:numPr>
      </w:pPr>
      <w:r>
        <w:t xml:space="preserve">Avoid assignments embedded within other statements and expressions, as these can</w:t>
      </w:r>
      <w:r>
        <w:t xml:space="preserve"> </w:t>
      </w:r>
      <w:r>
        <w:t xml:space="preserve">be problematic.</w:t>
      </w:r>
    </w:p>
    <w:p>
      <w:pPr>
        <w:numPr>
          <w:ilvl w:val="0"/>
          <w:numId w:val="1060"/>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0"/>
        </w:numPr>
      </w:pPr>
      <w:r>
        <w:t xml:space="preserve">Use alternative tokens for the logical operators.</w:t>
      </w:r>
    </w:p>
    <w:p>
      <w:pPr>
        <w:numPr>
          <w:ilvl w:val="0"/>
          <w:numId w:val="1062"/>
        </w:numPr>
      </w:pPr>
      <w:r>
        <w:t xml:space="preserve">Consider the adoption of a coding standard that limits the use of</w:t>
      </w:r>
      <w:r>
        <w:t xml:space="preserve"> </w:t>
      </w:r>
      <w:r>
        <w:t xml:space="preserve">the assignment statement within an expression.</w:t>
      </w:r>
    </w:p>
    <w:p>
      <w:pPr>
        <w:numPr>
          <w:ilvl w:val="0"/>
          <w:numId w:val="1062"/>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overload and use default arguments for the same set of functions</w:t>
      </w:r>
    </w:p>
    <w:p>
      <w:pPr>
        <w:numPr>
          <w:ilvl w:val="0"/>
          <w:numId w:val="1078"/>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t xml:space="preserve">up-casting is casting an object to an ancestor type in the object's</w:t>
      </w:r>
      <w:r>
        <w:t xml:space="preserve"> </w:t>
      </w:r>
      <w:r>
        <w:t xml:space="preserve">type inheritance hierarchy.</w:t>
      </w:r>
    </w:p>
    <w:p>
      <w:pPr>
        <w:numPr>
          <w:ilvl w:val="0"/>
          <w:numId w:val="1103"/>
        </w:numPr>
      </w:pPr>
      <w:r>
        <w:t xml:space="preserve">down-casting is casting an object to a descendent type in the</w:t>
      </w:r>
      <w:r>
        <w:t xml:space="preserve"> </w:t>
      </w:r>
      <w:r>
        <w:t xml:space="preserve">object's type inheritance hierarchy, and,</w:t>
      </w:r>
    </w:p>
    <w:p>
      <w:pPr>
        <w:numPr>
          <w:ilvl w:val="0"/>
          <w:numId w:val="1103"/>
        </w:numPr>
      </w:pPr>
      <w:r>
        <w:t xml:space="preserve">cross-casting is casting an object to a sibling/cousin (possibly</w:t>
      </w:r>
      <w:r>
        <w:t xml:space="preserve"> </w:t>
      </w:r>
      <w:r>
        <w:t xml:space="preserve">removed) type in the object's type inheritance hierarchy.</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TR 24772-1 :2019clause 6.44.5.</w:t>
      </w:r>
    </w:p>
    <w:p>
      <w:pPr>
        <w:numPr>
          <w:ilvl w:val="0"/>
          <w:numId w:val="1107"/>
        </w:numPr>
      </w:pPr>
      <w:r>
        <w:t xml:space="preserve">If an upcast is needed, prefer using implicit conversion, since an</w:t>
      </w:r>
      <w:r>
        <w:t xml:space="preserve"> </w:t>
      </w:r>
      <w:r>
        <w:t xml:space="preserve">explicit upcast adds unnecessary complexity for the reader.</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8"/>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9"/>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(see [Conversion</w:t>
      </w:r>
      <w:r>
        <w:br/>
      </w:r>
      <w:r>
        <w:rPr>
          <w:rStyle w:val="NormalTok"/>
        </w:rPr>
        <w:t xml:space="preserve">Errors]{</w:t>
      </w:r>
      <w:r>
        <w:rPr>
          <w:rStyle w:val="ErrorTok"/>
        </w:rPr>
        <w:t xml:space="preserve">#FLC}).  Members declared `mutable`{.cpp} typically should 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 mutable 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2021-09-27T17:02:35Z</dcterms:created>
  <dcterms:modified xsi:type="dcterms:W3CDTF">2021-09-27T17:02:35Z</dcterms:modified>
</cp:coreProperties>
</file>

<file path=docProps/custom.xml><?xml version="1.0" encoding="utf-8"?>
<Properties xmlns="http://schemas.openxmlformats.org/officeDocument/2006/custom-properties" xmlns:vt="http://schemas.openxmlformats.org/officeDocument/2006/docPropsVTypes"/>
</file>