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allows (silent) implicit conversions between values of a source type to</w:t>
      </w:r>
      <w:r>
        <w:t xml:space="preserve"> </w:t>
      </w:r>
      <w:r>
        <w:t xml:space="preserve">a corresponding value of a destination type under the following circumstances:</w:t>
      </w:r>
    </w:p>
    <w:p>
      <w:pPr>
        <w:pStyle w:val="BodyText"/>
      </w:pPr>
      <w:r>
        <w:t xml:space="preserve">when the destination type is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(</w:t>
      </w:r>
      <w:r>
        <w:rPr>
          <w:i/>
        </w:rPr>
        <w:t xml:space="preserve">contextual conversion to bool</w:t>
      </w:r>
      <w:r>
        <w:t xml:space="preserve">), for example, when assigning to a bool variable, in the condition of the ternary operator,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or a loop statement, or with non-overloaded logical operators.</w:t>
      </w:r>
    </w:p>
    <w:p>
      <w:pPr>
        <w:numPr>
          <w:ilvl w:val="0"/>
          <w:numId w:val="1007"/>
        </w:numPr>
        <w:pStyle w:val="Compact"/>
      </w:pPr>
      <w:r>
        <w:t xml:space="preserve">from a class type with a conversion operator bool()</w:t>
      </w:r>
    </w:p>
    <w:p>
      <w:pPr>
        <w:numPr>
          <w:ilvl w:val="0"/>
          <w:numId w:val="1007"/>
        </w:numPr>
        <w:pStyle w:val="Compact"/>
      </w:pP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 convertible to bool</w:t>
      </w:r>
    </w:p>
    <w:p>
      <w:pPr>
        <w:numPr>
          <w:ilvl w:val="0"/>
          <w:numId w:val="1007"/>
        </w:numPr>
        <w:pStyle w:val="Compact"/>
      </w:pPr>
      <w:r>
        <w:t xml:space="preserve">from a object or function pointer</w:t>
      </w:r>
    </w:p>
    <w:p>
      <w:pPr>
        <w:numPr>
          <w:ilvl w:val="0"/>
          <w:numId w:val="1007"/>
        </w:numPr>
        <w:pStyle w:val="Compact"/>
      </w:pPr>
      <w:r>
        <w:t xml:space="preserve">from a function name/function reference</w:t>
      </w:r>
    </w:p>
    <w:p>
      <w:pPr>
        <w:numPr>
          <w:ilvl w:val="0"/>
          <w:numId w:val="1007"/>
        </w:numPr>
        <w:pStyle w:val="Compact"/>
      </w:pPr>
      <w:r>
        <w:t xml:space="preserve">from an array name/array reference</w:t>
      </w:r>
    </w:p>
    <w:p>
      <w:pPr>
        <w:numPr>
          <w:ilvl w:val="0"/>
          <w:numId w:val="1007"/>
        </w:numPr>
        <w:pStyle w:val="Compact"/>
      </w:pPr>
      <w:r>
        <w:t xml:space="preserve">from a pointer to member</w:t>
      </w:r>
    </w:p>
    <w:p>
      <w:pPr>
        <w:numPr>
          <w:ilvl w:val="0"/>
          <w:numId w:val="1007"/>
        </w:numPr>
        <w:pStyle w:val="Compact"/>
      </w:pPr>
      <w:r>
        <w:t xml:space="preserve">from an integral type</w:t>
      </w:r>
    </w:p>
    <w:p>
      <w:pPr>
        <w:numPr>
          <w:ilvl w:val="0"/>
          <w:numId w:val="1007"/>
        </w:numPr>
        <w:pStyle w:val="Compact"/>
      </w:pPr>
      <w:r>
        <w:t xml:space="preserve">from a floating point type</w:t>
      </w:r>
    </w:p>
    <w:p>
      <w:pPr>
        <w:numPr>
          <w:ilvl w:val="0"/>
          <w:numId w:val="1007"/>
        </w:numPr>
        <w:pStyle w:val="Compact"/>
      </w:pPr>
      <w:r>
        <w:t xml:space="preserve">from</w:t>
      </w:r>
      <w:r>
        <w:t xml:space="preserve"> </w:t>
      </w:r>
      <w:r>
        <w:rPr>
          <w:rStyle w:val="DataTypeTok"/>
        </w:rPr>
        <w:t xml:space="preserve">nullptr_t</w:t>
      </w:r>
    </w:p>
    <w:p>
      <w:pPr>
        <w:numPr>
          <w:ilvl w:val="0"/>
          <w:numId w:val="1007"/>
        </w:numPr>
        <w:pStyle w:val="Compact"/>
      </w:pPr>
      <w:r>
        <w:t xml:space="preserve">from an unscoped enumeration</w:t>
      </w:r>
    </w:p>
    <w:p>
      <w:pPr>
        <w:pStyle w:val="FirstParagraph"/>
      </w:pPr>
      <w:r>
        <w:t xml:space="preserve">Further implicit conversions with the destination of a built-in type happen:</w:t>
      </w:r>
    </w:p>
    <w:p>
      <w:pPr>
        <w:numPr>
          <w:ilvl w:val="0"/>
          <w:numId w:val="1008"/>
        </w:numPr>
        <w:pStyle w:val="Compact"/>
      </w:pPr>
      <w:r>
        <w:t xml:space="preserve">in arithmetic and bitwise expressions combining different built-in types, including unscoped enumeration types. Here, the</w:t>
      </w:r>
      <w:r>
        <w:t xml:space="preserve"> </w:t>
      </w:r>
      <w:r>
        <w:rPr>
          <w:i/>
        </w:rPr>
        <w:t xml:space="preserve">usual arithmetic conversions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happen.</w:t>
      </w:r>
    </w:p>
    <w:p>
      <w:pPr>
        <w:numPr>
          <w:ilvl w:val="0"/>
          <w:numId w:val="1008"/>
        </w:numPr>
        <w:pStyle w:val="Compact"/>
      </w:pPr>
      <w:r>
        <w:t xml:space="preserve">in an assignment, when passing a function argument, or when returning a value from a different built-in type (including</w:t>
      </w:r>
      <w:r>
        <w:t xml:space="preserve"> </w:t>
      </w:r>
      <w:r>
        <w:rPr>
          <w:rStyle w:val="VerbatimChar"/>
        </w:rPr>
        <w:t xml:space="preserve">bool</w:t>
      </w:r>
      <w:r>
        <w:t xml:space="preserve">),</w:t>
      </w:r>
      <w:r>
        <w:t xml:space="preserve"> </w:t>
      </w:r>
      <w:r>
        <w:t xml:space="preserve">from an unscoped enumeration type, or</w:t>
      </w:r>
      <w:r>
        <w:t xml:space="preserve"> </w:t>
      </w: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type.</w:t>
      </w:r>
    </w:p>
    <w:p>
      <w:pPr>
        <w:pStyle w:val="FirstParagraph"/>
      </w:pPr>
      <w:r>
        <w:t xml:space="preserve">For class types, implicit conversions can occur with constructors callable with a single argument and by applying conversion operators.</w:t>
      </w:r>
    </w:p>
    <w:p>
      <w:pPr>
        <w:pStyle w:val="BodyText"/>
      </w:pPr>
      <w:r>
        <w:t xml:space="preserve">For references and pointer to class types, implicit conversion to public base class references and pointers respectively is often a desired feature, but it can also lead to changing the type by slicing a value to become a value of one of its base classes. Only when the base class declares virtual member functions, the dynamic type of the object behind a reference or pointer, i.e., the most derived type, remains accessible via calling a virtual member function or via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.</w:t>
      </w:r>
    </w:p>
    <w:p>
      <w:pPr>
        <w:pStyle w:val="BodyText"/>
      </w:pPr>
      <w:r>
        <w:t xml:space="preserve">Furthermore, implicit</w:t>
      </w:r>
      <w:r>
        <w:t xml:space="preserve"> </w:t>
      </w:r>
      <w:r>
        <w:rPr>
          <w:i/>
        </w:rPr>
        <w:t xml:space="preserve">pointer decay</w:t>
      </w:r>
      <w:r>
        <w:t xml:space="preserve"> </w:t>
      </w:r>
      <w:r>
        <w:t xml:space="preserve">occurs when an array or function object is passed by value as an argument to a function.</w:t>
      </w:r>
    </w:p>
    <w:p>
      <w:pPr>
        <w:pStyle w:val="BodyText"/>
      </w:pPr>
      <w:r>
        <w:t xml:space="preserve">Implicit conversions in expressions can surprise programmers, lead to unwanted function overloads being called and can be a symptom of poor modeling of the application domain.</w:t>
      </w:r>
    </w:p>
    <w:p>
      <w:pPr>
        <w:pStyle w:val="BodyText"/>
      </w:pPr>
      <w:r>
        <w:rPr>
          <w:b/>
        </w:rPr>
        <w:t xml:space="preserve">TODO</w:t>
      </w:r>
      <w:r>
        <w:t xml:space="preserve"> </w:t>
      </w:r>
      <w:r>
        <w:t xml:space="preserve">explicit conversion, further deletion of notes, take MISRA ratinales?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FirstParagraph"/>
      </w:pPr>
      <w:r>
        <w:t xml:space="preserve">ASIDE: This code works but needs discussion and brevity.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BlockText"/>
      </w:pPr>
      <w:r>
        <w:t xml:space="preserve">AI – Peter, help by Paul – Write up the introduction to this clause</w:t>
      </w:r>
      <w:r>
        <w:t xml:space="preserve"> </w:t>
      </w:r>
      <w:r>
        <w:t xml:space="preserve">following Erhard’s outline.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BodyText"/>
      </w:pPr>
      <w:r>
        <w:rPr>
          <w:i/>
        </w:rPr>
        <w:t xml:space="preserve">Material from Richard)</w:t>
      </w:r>
    </w:p>
    <w:p>
      <w:pPr>
        <w:pStyle w:val="BodyText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9"/>
        </w:numPr>
      </w:pPr>
      <w:r>
        <w:t xml:space="preserve">Illegal: In a typedef for a pointer to function.</w:t>
      </w:r>
    </w:p>
    <w:p>
      <w:pPr>
        <w:numPr>
          <w:ilvl w:val="0"/>
          <w:numId w:val="1009"/>
        </w:numPr>
      </w:pPr>
      <w:r>
        <w:t xml:space="preserve">Allowed: In the identical code without the typedef.</w:t>
      </w:r>
    </w:p>
    <w:p>
      <w:pPr>
        <w:numPr>
          <w:ilvl w:val="0"/>
          <w:numId w:val="1009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9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BlockText"/>
      </w:pPr>
      <w:r>
        <w:t xml:space="preserve">AI – Paul – explain.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BodyText"/>
      </w:pPr>
      <w:r>
        <w:t xml:space="preserve">High level issues</w:t>
      </w:r>
    </w:p>
    <w:p>
      <w:pPr>
        <w:pStyle w:val="BodyText"/>
      </w:pPr>
      <w:r>
        <w:t xml:space="preserve">Note: discuss the problems with unions.</w:t>
      </w:r>
    </w:p>
    <w:p>
      <w:pPr>
        <w:pStyle w:val="BodyText"/>
      </w:pPr>
      <w:r>
        <w:rPr>
          <w:i/>
        </w:rPr>
        <w:t xml:space="preserve">NOTE: Ensure that the above explicit text is put into the relevant</w:t>
      </w:r>
      <w:r>
        <w:rPr>
          <w:i/>
        </w:rPr>
        <w:t xml:space="preserve"> </w:t>
      </w:r>
      <w:r>
        <w:rPr>
          <w:i/>
        </w:rPr>
        <w:t xml:space="preserve">sections and generalize or forward reference in this section.</w:t>
      </w:r>
    </w:p>
    <w:p>
      <w:pPr>
        <w:pStyle w:val="BodyText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BodyText"/>
      </w:pPr>
      <w:r>
        <w:rPr>
          <w:i/>
        </w:rPr>
        <w:t xml:space="preserve">13 Feb 2020 - Issue moved here</w:t>
      </w:r>
      <w:r>
        <w:t xml:space="preserve"> </w:t>
      </w:r>
      <w:r>
        <w:rPr>
          <w:i/>
        </w:rPr>
        <w:t xml:space="preserve">from 6.41(?) Templates and</w:t>
      </w:r>
      <w:r>
        <w:rPr>
          <w:i/>
        </w:rPr>
        <w:t xml:space="preserve"> </w:t>
      </w:r>
      <w:r>
        <w:rPr>
          <w:i/>
        </w:rPr>
        <w:t xml:space="preserve">Generics- Templates take a hit because it is possible to invoke a</w:t>
      </w:r>
      <w:r>
        <w:rPr>
          <w:i/>
        </w:rPr>
        <w:t xml:space="preserve"> </w:t>
      </w:r>
      <w:r>
        <w:rPr>
          <w:i/>
        </w:rPr>
        <w:t xml:space="preserve">template with a type that does not have all of the operations necessary</w:t>
      </w:r>
      <w:r>
        <w:rPr>
          <w:i/>
        </w:rPr>
        <w:t xml:space="preserve"> </w:t>
      </w:r>
      <w:r>
        <w:rPr>
          <w:i/>
        </w:rPr>
        <w:t xml:space="preserve">to correctly execute the operations. For example, if an instantiation of</w:t>
      </w:r>
      <w:r>
        <w:rPr>
          <w:i/>
        </w:rPr>
        <w:t xml:space="preserve"> </w:t>
      </w:r>
      <w:r>
        <w:rPr>
          <w:i/>
        </w:rPr>
        <w:t xml:space="preserve">a template type parameter does not implement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(or is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less</w:t>
      </w:r>
      <w:r>
        <w:rPr>
          <w:i/>
        </w:rPr>
        <w:t xml:space="preserve">”</w:t>
      </w:r>
      <w:r>
        <w:rPr>
          <w:i/>
        </w:rPr>
        <w:t xml:space="preserve">?) and</w:t>
      </w:r>
      <w:r>
        <w:rPr>
          <w:i/>
        </w:rPr>
        <w:t xml:space="preserve"> </w:t>
      </w:r>
      <w:r>
        <w:rPr>
          <w:i/>
        </w:rPr>
        <w:t xml:space="preserve">the underlying code executes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sort</w:t>
      </w:r>
      <w:r>
        <w:rPr>
          <w:i/>
        </w:rPr>
        <w:t xml:space="preserve">”</w:t>
      </w:r>
      <w:r>
        <w:rPr>
          <w:i/>
        </w:rPr>
        <w:t xml:space="preserve">, the sort will call whatever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it can use. If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had been defined for a related type, then that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will be called. The experts at meeting 67 say that this is not</w:t>
      </w:r>
      <w:r>
        <w:rPr>
          <w:i/>
        </w:rPr>
        <w:t xml:space="preserve"> </w:t>
      </w:r>
      <w:r>
        <w:rPr>
          <w:i/>
        </w:rPr>
        <w:t xml:space="preserve">exclusive to templates, so the problem should be assigned here and</w:t>
      </w:r>
      <w:r>
        <w:rPr>
          <w:i/>
        </w:rPr>
        <w:t xml:space="preserve"> </w:t>
      </w:r>
      <w:r>
        <w:rPr>
          <w:i/>
        </w:rPr>
        <w:t xml:space="preserve">referenced from templates.</w:t>
      </w:r>
    </w:p>
    <w:p>
      <w:pPr>
        <w:pStyle w:val="BodyText"/>
      </w:pPr>
      <w:r>
        <w:rPr>
          <w:i/>
        </w:rPr>
        <w:t xml:space="preserve">13 Feb 2020 – Another issue appears</w:t>
      </w:r>
      <w:r>
        <w:t xml:space="preserve"> </w:t>
      </w:r>
      <w:r>
        <w:rPr>
          <w:i/>
        </w:rPr>
        <w:t xml:space="preserve">to be that some primitive types</w:t>
      </w:r>
      <w:r>
        <w:rPr>
          <w:i/>
        </w:rPr>
        <w:t xml:space="preserve"> </w:t>
      </w:r>
      <w:r>
        <w:rPr>
          <w:i/>
        </w:rPr>
        <w:t xml:space="preserve">have operations that are inappropriate for the type. For example, the</w:t>
      </w:r>
      <w:r>
        <w:rPr>
          <w:i/>
        </w:rPr>
        <w:t xml:space="preserve"> </w:t>
      </w:r>
      <w:r>
        <w:rPr>
          <w:i/>
        </w:rPr>
        <w:t xml:space="preserve">basic type for characters include operators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+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-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*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which</w:t>
      </w:r>
      <w:r>
        <w:rPr>
          <w:i/>
        </w:rPr>
        <w:t xml:space="preserve"> </w:t>
      </w:r>
      <w:r>
        <w:rPr>
          <w:i/>
        </w:rPr>
        <w:t xml:space="preserve">operate on the underlying integer representation. Passing such types</w:t>
      </w:r>
      <w:r>
        <w:rPr>
          <w:i/>
        </w:rPr>
        <w:t xml:space="preserve"> </w:t>
      </w:r>
      <w:r>
        <w:rPr>
          <w:i/>
        </w:rPr>
        <w:t xml:space="preserve">into templates or into a class can result in the fundamental integer</w:t>
      </w:r>
      <w:r>
        <w:rPr>
          <w:i/>
        </w:rPr>
        <w:t xml:space="preserve"> </w:t>
      </w:r>
      <w:r>
        <w:rPr>
          <w:i/>
        </w:rPr>
        <w:t xml:space="preserve">operation being called instead of a higher-level operation to perform,</w:t>
      </w:r>
      <w:r>
        <w:rPr>
          <w:i/>
        </w:rPr>
        <w:t xml:space="preserve"> </w:t>
      </w:r>
      <w:r>
        <w:rPr>
          <w:i/>
        </w:rPr>
        <w:t xml:space="preserve">for example, comparison on a ISO 8859 character set. The only</w:t>
      </w:r>
      <w:r>
        <w:rPr>
          <w:i/>
        </w:rPr>
        <w:t xml:space="preserve"> </w:t>
      </w:r>
      <w:r>
        <w:rPr>
          <w:i/>
        </w:rPr>
        <w:t xml:space="preserve">work-around appears to be to define classes with the fundamental type</w:t>
      </w:r>
      <w:r>
        <w:rPr>
          <w:i/>
        </w:rPr>
        <w:t xml:space="preserve"> </w:t>
      </w:r>
      <w:r>
        <w:rPr>
          <w:i/>
        </w:rPr>
        <w:t xml:space="preserve">and legal operations as the only operators.</w:t>
      </w:r>
    </w:p>
    <w:p>
      <w:pPr>
        <w:pStyle w:val="BodyText"/>
      </w:pPr>
      <w:r>
        <w:rPr>
          <w:i/>
        </w:rPr>
        <w:t xml:space="preserve">Question – how does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.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Operator interact with such types?(Maybe</w:t>
      </w:r>
      <w:r>
        <w:rPr>
          <w:i/>
        </w:rPr>
        <w:t xml:space="preserve"> </w:t>
      </w:r>
      <w:r>
        <w:rPr>
          <w:i/>
        </w:rPr>
        <w:t xml:space="preserve">this comma operator?)</w:t>
      </w:r>
    </w:p>
    <w:p>
      <w:pPr>
        <w:pStyle w:val="BodyText"/>
      </w:pPr>
      <w:r>
        <w:rPr>
          <w:i/>
        </w:rPr>
        <w:t xml:space="preserve">A recommendation for future revisions of the language could be to</w:t>
      </w:r>
      <w:r>
        <w:rPr>
          <w:i/>
        </w:rPr>
        <w:t xml:space="preserve"> </w:t>
      </w:r>
      <w:r>
        <w:rPr>
          <w:i/>
        </w:rPr>
        <w:t xml:space="preserve">provide a way to remove basic operations from types such as enumeration</w:t>
      </w:r>
      <w:r>
        <w:rPr>
          <w:i/>
        </w:rPr>
        <w:t xml:space="preserve"> </w:t>
      </w:r>
      <w:r>
        <w:rPr>
          <w:i/>
        </w:rPr>
        <w:t xml:space="preserve">types or characters.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10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11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11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11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11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10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10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rPr>
          <w:b/>
        </w:rPr>
        <w:t xml:space="preserve">TODO</w:t>
      </w:r>
      <w:r>
        <w:t xml:space="preserve"> </w:t>
      </w:r>
      <w:r>
        <w:t xml:space="preserve">consolidate guidance</w:t>
      </w:r>
    </w:p>
    <w:p>
      <w:pPr>
        <w:pStyle w:val="BodyText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numPr>
          <w:ilvl w:val="0"/>
          <w:numId w:val="1013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5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3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3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3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3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3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3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3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3"/>
        </w:numPr>
      </w:pPr>
      <w:r>
        <w:t xml:space="preserve">don’t delete an incomplete class type,</w:t>
      </w:r>
    </w:p>
    <w:p>
      <w:pPr>
        <w:numPr>
          <w:ilvl w:val="0"/>
          <w:numId w:val="1013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6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6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6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6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6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7"/>
        </w:numPr>
      </w:pPr>
      <w:r>
        <w:t xml:space="preserve">Follow the guidance of TR 24772-1 clause 6.2.5.</w:t>
      </w:r>
    </w:p>
    <w:p>
      <w:pPr>
        <w:numPr>
          <w:ilvl w:val="0"/>
          <w:numId w:val="1017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8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8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8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8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8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8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8"/>
        </w:numPr>
      </w:pPr>
      <w:r>
        <w:t xml:space="preserve">Treat every explicit cast as a candidate for refactoring.</w:t>
      </w:r>
    </w:p>
    <w:p>
      <w:pPr>
        <w:numPr>
          <w:ilvl w:val="0"/>
          <w:numId w:val="101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8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8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8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8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20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20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20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21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21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21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2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2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2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3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3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3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5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3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3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7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7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7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7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7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7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7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8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8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9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9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9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30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30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30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30"/>
        </w:numPr>
      </w:pPr>
      <w:r>
        <w:t xml:space="preserve">Avoid casts (see Core guidelines ES48)</w:t>
      </w:r>
    </w:p>
    <w:p>
      <w:pPr>
        <w:numPr>
          <w:ilvl w:val="0"/>
          <w:numId w:val="1030"/>
        </w:numPr>
      </w:pPr>
      <w:r>
        <w:t xml:space="preserve">If using a cast, use a named cast (see C++ Core Guidelines ES49)</w:t>
      </w:r>
    </w:p>
    <w:p>
      <w:pPr>
        <w:numPr>
          <w:ilvl w:val="0"/>
          <w:numId w:val="1030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30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30"/>
        </w:numPr>
      </w:pPr>
      <w:r>
        <w:t xml:space="preserve">Avoid narrowing conversions. (See C++ Core Guidelines ES46)</w:t>
      </w:r>
    </w:p>
    <w:p>
      <w:pPr>
        <w:numPr>
          <w:ilvl w:val="0"/>
          <w:numId w:val="1030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31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31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31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31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31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2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2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2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2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2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2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2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2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2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2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3"/>
        </w:numPr>
      </w:pPr>
      <w:r>
        <w:t xml:space="preserve">Follow the guidance from clause 6.8.2.</w:t>
      </w:r>
    </w:p>
    <w:p>
      <w:pPr>
        <w:numPr>
          <w:ilvl w:val="0"/>
          <w:numId w:val="1033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4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4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4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5"/>
        </w:numPr>
      </w:pPr>
      <w:r>
        <w:t xml:space="preserve">a and b are the same object,</w:t>
      </w:r>
    </w:p>
    <w:p>
      <w:pPr>
        <w:numPr>
          <w:ilvl w:val="0"/>
          <w:numId w:val="103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3"/>
        </w:numPr>
      </w:pPr>
      <w:r>
        <w:t xml:space="preserve">Follow the guidance of clause 6.8.2.</w:t>
      </w:r>
    </w:p>
    <w:p>
      <w:pPr>
        <w:numPr>
          <w:ilvl w:val="0"/>
          <w:numId w:val="1043"/>
        </w:numPr>
      </w:pPr>
      <w:r>
        <w:t xml:space="preserve">Prefer standard algorithms to hand-written loops</w:t>
      </w:r>
    </w:p>
    <w:p>
      <w:pPr>
        <w:numPr>
          <w:ilvl w:val="1"/>
          <w:numId w:val="104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7"/>
        </w:numPr>
      </w:pPr>
      <w:r>
        <w:t xml:space="preserve">References</w:t>
      </w:r>
    </w:p>
    <w:p>
      <w:pPr>
        <w:numPr>
          <w:ilvl w:val="0"/>
          <w:numId w:val="1047"/>
        </w:numPr>
      </w:pPr>
      <w:r>
        <w:t xml:space="preserve">Pointers</w:t>
      </w:r>
    </w:p>
    <w:p>
      <w:pPr>
        <w:numPr>
          <w:ilvl w:val="0"/>
          <w:numId w:val="1047"/>
        </w:numPr>
      </w:pPr>
      <w:r>
        <w:t xml:space="preserve">Iterators</w:t>
      </w:r>
    </w:p>
    <w:p>
      <w:pPr>
        <w:numPr>
          <w:ilvl w:val="0"/>
          <w:numId w:val="104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9"/>
        </w:numPr>
      </w:pPr>
      <w:r>
        <w:t xml:space="preserve">One can add names to a templates as part of specialization.</w:t>
      </w:r>
    </w:p>
    <w:p>
      <w:pPr>
        <w:numPr>
          <w:ilvl w:val="0"/>
          <w:numId w:val="1049"/>
        </w:numPr>
      </w:pPr>
      <w:r>
        <w:t xml:space="preserve">Example extending a hash function from std::</w:t>
      </w:r>
    </w:p>
    <w:p>
      <w:pPr>
        <w:numPr>
          <w:ilvl w:val="0"/>
          <w:numId w:val="1049"/>
        </w:numPr>
      </w:pPr>
      <w:r>
        <w:t xml:space="preserve">Also inline namespaces.</w:t>
      </w:r>
    </w:p>
    <w:p>
      <w:pPr>
        <w:numPr>
          <w:ilvl w:val="0"/>
          <w:numId w:val="1049"/>
        </w:numPr>
      </w:pPr>
      <w:r>
        <w:t xml:space="preserve">Also the use of underscores in symbol names.</w:t>
      </w:r>
    </w:p>
    <w:p>
      <w:pPr>
        <w:numPr>
          <w:ilvl w:val="0"/>
          <w:numId w:val="1049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50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50"/>
        </w:numPr>
      </w:pPr>
      <w:r>
        <w:t xml:space="preserve">Use names that are clear and non-confusing.</w:t>
      </w:r>
    </w:p>
    <w:p>
      <w:pPr>
        <w:numPr>
          <w:ilvl w:val="0"/>
          <w:numId w:val="1050"/>
        </w:numPr>
      </w:pPr>
      <w:r>
        <w:t xml:space="preserve">Use consistency in choosing names.</w:t>
      </w:r>
    </w:p>
    <w:p>
      <w:pPr>
        <w:numPr>
          <w:ilvl w:val="0"/>
          <w:numId w:val="1050"/>
        </w:numPr>
      </w:pPr>
      <w:r>
        <w:t xml:space="preserve">Keep the scope of names as small as reasonable.</w:t>
      </w:r>
    </w:p>
    <w:p>
      <w:pPr>
        <w:numPr>
          <w:ilvl w:val="0"/>
          <w:numId w:val="1050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50"/>
        </w:numPr>
      </w:pPr>
      <w:r>
        <w:t xml:space="preserve">Use longer names for longer-lived objects.</w:t>
      </w:r>
    </w:p>
    <w:p>
      <w:pPr>
        <w:numPr>
          <w:ilvl w:val="0"/>
          <w:numId w:val="1050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50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50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50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1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1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1"/>
        </w:numPr>
      </w:pPr>
      <w:r>
        <w:t xml:space="preserve">Contextual keywords such as module, final and override;</w:t>
      </w:r>
    </w:p>
    <w:p>
      <w:pPr>
        <w:numPr>
          <w:ilvl w:val="1"/>
          <w:numId w:val="1051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2"/>
        </w:numPr>
      </w:pPr>
      <w:r>
        <w:t xml:space="preserve">Avoid names for macros that are not all uppercase;</w:t>
      </w:r>
    </w:p>
    <w:p>
      <w:pPr>
        <w:numPr>
          <w:ilvl w:val="0"/>
          <w:numId w:val="1052"/>
        </w:numPr>
      </w:pPr>
      <w:r>
        <w:t xml:space="preserve">Avoid names that are all uppercase not used for macros;</w:t>
      </w:r>
    </w:p>
    <w:p>
      <w:pPr>
        <w:numPr>
          <w:ilvl w:val="0"/>
          <w:numId w:val="1053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4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4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6.19.5.</w:t>
      </w:r>
    </w:p>
    <w:p>
      <w:pPr>
        <w:numPr>
          <w:ilvl w:val="0"/>
          <w:numId w:val="1055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6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6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6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6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6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6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8"/>
        </w:numPr>
      </w:pPr>
      <w:r>
        <w:t xml:space="preserve">Overloading, where clause 6.20 applies;</w:t>
      </w:r>
    </w:p>
    <w:p>
      <w:pPr>
        <w:numPr>
          <w:ilvl w:val="0"/>
          <w:numId w:val="1058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9"/>
        </w:numPr>
      </w:pPr>
      <w:r>
        <w:t xml:space="preserve">Follow the guidance of clauses 6.20.2 and 6.41.2 as applicable.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1"/>
        </w:numPr>
      </w:pPr>
      <w:r>
        <w:t xml:space="preserve">Follow the guidance provided in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4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5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5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5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5"/>
        </w:numPr>
      </w:pPr>
      <w:r>
        <w:t xml:space="preserve">Avoid overloading the following operators:</w:t>
      </w:r>
    </w:p>
    <w:p>
      <w:pPr>
        <w:numPr>
          <w:ilvl w:val="1"/>
          <w:numId w:val="1066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6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6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5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7"/>
        </w:numPr>
      </w:pPr>
      <w:r>
        <w:t xml:space="preserve">Write accesses to objects in that expression,</w:t>
      </w:r>
    </w:p>
    <w:p>
      <w:pPr>
        <w:numPr>
          <w:ilvl w:val="0"/>
          <w:numId w:val="1067"/>
        </w:numPr>
      </w:pPr>
      <w:r>
        <w:t xml:space="preserve">Reading a volatile object,</w:t>
      </w:r>
    </w:p>
    <w:p>
      <w:pPr>
        <w:numPr>
          <w:ilvl w:val="0"/>
          <w:numId w:val="1067"/>
        </w:numPr>
      </w:pPr>
      <w:r>
        <w:t xml:space="preserve">Calling a library I/O function, and</w:t>
      </w:r>
    </w:p>
    <w:p>
      <w:pPr>
        <w:numPr>
          <w:ilvl w:val="0"/>
          <w:numId w:val="1067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8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8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8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8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8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8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8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9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9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9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8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70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7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70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70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1"/>
        </w:numPr>
      </w:pPr>
      <w:r>
        <w:t xml:space="preserve">Unary minus on unsigned type (MISRA 5-3-2)</w:t>
      </w:r>
    </w:p>
    <w:p>
      <w:pPr>
        <w:numPr>
          <w:ilvl w:val="0"/>
          <w:numId w:val="1071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2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2"/>
        </w:numPr>
        <w:pStyle w:val="BlockText"/>
      </w:pPr>
      <w:r>
        <w:t xml:space="preserve">From Core guidelines:</w:t>
      </w:r>
    </w:p>
    <w:p>
      <w:pPr>
        <w:numPr>
          <w:ilvl w:val="1"/>
          <w:numId w:val="1073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3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3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3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2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4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4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6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6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6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6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7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8"/>
        </w:numPr>
      </w:pPr>
      <w:r>
        <w:t xml:space="preserve">Declare loop variables in the initializer of the loop statement</w:t>
      </w:r>
    </w:p>
    <w:p>
      <w:pPr>
        <w:numPr>
          <w:ilvl w:val="0"/>
          <w:numId w:val="1078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9"/>
        </w:numPr>
      </w:pPr>
      <w:r>
        <w:t xml:space="preserve">Apply the guidance of ISO/IEC TR 24772-1:2019 clause 6.29.5.</w:t>
      </w:r>
    </w:p>
    <w:p>
      <w:pPr>
        <w:numPr>
          <w:ilvl w:val="0"/>
          <w:numId w:val="1079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9"/>
        </w:numPr>
      </w:pPr>
      <w:r>
        <w:t xml:space="preserve">Use a range for loop in preference to general loops</w:t>
      </w:r>
    </w:p>
    <w:p>
      <w:pPr>
        <w:numPr>
          <w:ilvl w:val="0"/>
          <w:numId w:val="1079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9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80"/>
        </w:numPr>
      </w:pPr>
      <w:r>
        <w:t xml:space="preserve">Range-based for loops</w:t>
      </w:r>
    </w:p>
    <w:p>
      <w:pPr>
        <w:numPr>
          <w:ilvl w:val="0"/>
          <w:numId w:val="1080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80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80"/>
        </w:numPr>
      </w:pPr>
      <w:r>
        <w:t xml:space="preserve">Container classes</w:t>
      </w:r>
    </w:p>
    <w:p>
      <w:pPr>
        <w:numPr>
          <w:ilvl w:val="0"/>
          <w:numId w:val="1080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1"/>
        </w:numPr>
      </w:pPr>
      <w:r>
        <w:t xml:space="preserve">Follow the guidance of ISO/IEC TR 24772-1:2019 clause 6.30.5.</w:t>
      </w:r>
    </w:p>
    <w:p>
      <w:pPr>
        <w:numPr>
          <w:ilvl w:val="0"/>
          <w:numId w:val="1081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1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2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2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2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3"/>
        </w:numPr>
      </w:pPr>
      <w:r>
        <w:t xml:space="preserve">Follow the advice of ISO/IEC TR 24772-1:2019 clause 6.32.5.</w:t>
      </w:r>
    </w:p>
    <w:p>
      <w:pPr>
        <w:numPr>
          <w:ilvl w:val="0"/>
          <w:numId w:val="1083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3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4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4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4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4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5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6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7"/>
        </w:numPr>
      </w:pPr>
      <w:r>
        <w:t xml:space="preserve">Follow the guidelines of ISO/IEC TR 24772-1:2019 clause 6.34.5.</w:t>
      </w:r>
    </w:p>
    <w:p>
      <w:pPr>
        <w:numPr>
          <w:ilvl w:val="0"/>
          <w:numId w:val="1087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7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8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9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9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9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9"/>
        </w:numPr>
      </w:pPr>
      <w:r>
        <w:t xml:space="preserve">Avoid error handling based on global state.</w:t>
      </w:r>
    </w:p>
    <w:p>
      <w:pPr>
        <w:numPr>
          <w:ilvl w:val="0"/>
          <w:numId w:val="1089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9"/>
        </w:numPr>
      </w:pPr>
      <w:r>
        <w:t xml:space="preserve">Prefer throwing exceptions to returning error values.</w:t>
      </w:r>
    </w:p>
    <w:p>
      <w:pPr>
        <w:numPr>
          <w:ilvl w:val="0"/>
          <w:numId w:val="1089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9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9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9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9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9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90"/>
        </w:numPr>
      </w:pPr>
      <w:r>
        <w:t xml:space="preserve">Follow the guidelines of ISO/IEC TR 24772-1:2019 clause 6.38.5.</w:t>
      </w:r>
    </w:p>
    <w:p>
      <w:pPr>
        <w:numPr>
          <w:ilvl w:val="0"/>
          <w:numId w:val="1090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90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90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1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1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1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1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1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2"/>
        </w:numPr>
      </w:pPr>
      <w:r>
        <w:t xml:space="preserve">When an unhandled exception escapes its thread of execution</w:t>
      </w:r>
    </w:p>
    <w:p>
      <w:pPr>
        <w:numPr>
          <w:ilvl w:val="0"/>
          <w:numId w:val="1092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3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3"/>
        </w:numPr>
      </w:pPr>
      <w:r>
        <w:t xml:space="preserve">Follow C++ Core guidelines section R and CERT MEM51.</w:t>
      </w:r>
    </w:p>
    <w:p>
      <w:pPr>
        <w:numPr>
          <w:ilvl w:val="0"/>
          <w:numId w:val="1093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3"/>
        </w:numPr>
      </w:pPr>
      <w:r>
        <w:t xml:space="preserve">Use dynamic analysis tools to detect cycles.</w:t>
      </w:r>
    </w:p>
    <w:p>
      <w:pPr>
        <w:numPr>
          <w:ilvl w:val="0"/>
          <w:numId w:val="1093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3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4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4"/>
        </w:numPr>
      </w:pPr>
      <w:r>
        <w:t xml:space="preserve">They have no runtime overhead for inline operations; and</w:t>
      </w:r>
    </w:p>
    <w:p>
      <w:pPr>
        <w:numPr>
          <w:ilvl w:val="0"/>
          <w:numId w:val="1094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5"/>
        </w:numPr>
      </w:pPr>
      <w:r>
        <w:t xml:space="preserve">The program compiles and executes safely;</w:t>
      </w:r>
    </w:p>
    <w:p>
      <w:pPr>
        <w:numPr>
          <w:ilvl w:val="0"/>
          <w:numId w:val="1095"/>
        </w:numPr>
      </w:pPr>
      <w:r>
        <w:t xml:space="preserve">The program fails to compile; or</w:t>
      </w:r>
    </w:p>
    <w:p>
      <w:pPr>
        <w:numPr>
          <w:ilvl w:val="0"/>
          <w:numId w:val="1095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6"/>
        </w:numPr>
      </w:pPr>
      <w:r>
        <w:t xml:space="preserve">the first template argument must be a forward iterator.</w:t>
      </w:r>
    </w:p>
    <w:p>
      <w:pPr>
        <w:numPr>
          <w:ilvl w:val="0"/>
          <w:numId w:val="1096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7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7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7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7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7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7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9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100"/>
        </w:numPr>
      </w:pPr>
      <w:r>
        <w:t xml:space="preserve">For template specialization, declared the specialization:</w:t>
      </w:r>
    </w:p>
    <w:p>
      <w:pPr>
        <w:numPr>
          <w:ilvl w:val="1"/>
          <w:numId w:val="1101"/>
        </w:numPr>
      </w:pPr>
      <w:r>
        <w:t xml:space="preserve">In the same file as the primary template; or</w:t>
      </w:r>
    </w:p>
    <w:p>
      <w:pPr>
        <w:numPr>
          <w:ilvl w:val="1"/>
          <w:numId w:val="1101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100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2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2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2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2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2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8"/>
        </w:numPr>
      </w:pPr>
      <w:r>
        <w:t xml:space="preserve">Guidance: Keep inheritance hierarchies short</w:t>
      </w:r>
    </w:p>
    <w:p>
      <w:pPr>
        <w:numPr>
          <w:ilvl w:val="0"/>
          <w:numId w:val="1108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8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9"/>
        </w:numPr>
      </w:pPr>
      <w:r>
        <w:t xml:space="preserve">Follow the guidance of ISO/IEC TR 24772-1:2019 clause 41.5.</w:t>
      </w:r>
    </w:p>
    <w:p>
      <w:pPr>
        <w:numPr>
          <w:ilvl w:val="0"/>
          <w:numId w:val="1109"/>
        </w:numPr>
      </w:pPr>
      <w:r>
        <w:t xml:space="preserve">Avoid the use of multiple inheritance whenever possible.</w:t>
      </w:r>
    </w:p>
    <w:p>
      <w:pPr>
        <w:numPr>
          <w:ilvl w:val="0"/>
          <w:numId w:val="1109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9"/>
        </w:numPr>
      </w:pPr>
      <w:r>
        <w:t xml:space="preserve">Keep inheritance hierarchies short and narrow</w:t>
      </w:r>
    </w:p>
    <w:p>
      <w:pPr>
        <w:numPr>
          <w:ilvl w:val="0"/>
          <w:numId w:val="1109"/>
        </w:numPr>
      </w:pPr>
      <w:r>
        <w:t xml:space="preserve">Prefer non-virtual functions to virtual functions</w:t>
      </w:r>
    </w:p>
    <w:p>
      <w:pPr>
        <w:numPr>
          <w:ilvl w:val="0"/>
          <w:numId w:val="1109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9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9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9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9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9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9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9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9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10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10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0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0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10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10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1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1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2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2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2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2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3"/>
        </w:numPr>
      </w:pPr>
      <w:r>
        <w:t xml:space="preserve">are the only ones that can be performed implicitly</w:t>
      </w:r>
    </w:p>
    <w:p>
      <w:pPr>
        <w:numPr>
          <w:ilvl w:val="0"/>
          <w:numId w:val="1113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4"/>
        </w:numPr>
      </w:pPr>
      <w:r>
        <w:t xml:space="preserve">are explicit;</w:t>
      </w:r>
    </w:p>
    <w:p>
      <w:pPr>
        <w:numPr>
          <w:ilvl w:val="0"/>
          <w:numId w:val="1114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4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4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5"/>
        </w:numPr>
      </w:pPr>
      <w:r>
        <w:t xml:space="preserve">are explicit</w:t>
      </w:r>
    </w:p>
    <w:p>
      <w:pPr>
        <w:numPr>
          <w:ilvl w:val="0"/>
          <w:numId w:val="1115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5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6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6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6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6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6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7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8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9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20"/>
        </w:numPr>
      </w:pPr>
      <w:r>
        <w:t xml:space="preserve">Follow the guidelines of ISO/IEC TR 24772-1 clause 6.47.5.</w:t>
      </w:r>
    </w:p>
    <w:p>
      <w:pPr>
        <w:numPr>
          <w:ilvl w:val="0"/>
          <w:numId w:val="1120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20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1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1"/>
        </w:numPr>
      </w:pPr>
      <w:r>
        <w:t xml:space="preserve">Use standard layout types for the interoperable interfaces.</w:t>
      </w:r>
    </w:p>
    <w:p>
      <w:pPr>
        <w:numPr>
          <w:ilvl w:val="1"/>
          <w:numId w:val="1122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2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2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1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1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1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1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3"/>
        </w:numPr>
      </w:pPr>
      <w:r>
        <w:t xml:space="preserve">Follow the guidance of ISO/IEC TR 24772-1:2019 clause 6.49.5.</w:t>
      </w:r>
    </w:p>
    <w:p>
      <w:pPr>
        <w:numPr>
          <w:ilvl w:val="0"/>
          <w:numId w:val="1123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4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4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5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5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5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5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5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5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5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5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5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5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6.53.5.</w:t>
      </w:r>
    </w:p>
    <w:p>
      <w:pPr>
        <w:numPr>
          <w:ilvl w:val="0"/>
          <w:numId w:val="1126"/>
        </w:numPr>
      </w:pPr>
      <w:r>
        <w:t xml:space="preserve">Enable checks that warn about unsafe operations.</w:t>
      </w:r>
    </w:p>
    <w:p>
      <w:pPr>
        <w:numPr>
          <w:ilvl w:val="0"/>
          <w:numId w:val="1126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7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6.56.5.</w:t>
      </w:r>
    </w:p>
    <w:p>
      <w:pPr>
        <w:numPr>
          <w:ilvl w:val="0"/>
          <w:numId w:val="1128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8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8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8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24772-1:2019 clause 6.57.5.</w:t>
      </w:r>
    </w:p>
    <w:p>
      <w:pPr>
        <w:numPr>
          <w:ilvl w:val="0"/>
          <w:numId w:val="1129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9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9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30"/>
        </w:numPr>
      </w:pPr>
      <w:r>
        <w:t xml:space="preserve">Follow the guidelines of ISO/IEC TR 24772-1 clause 6.58.5.</w:t>
      </w:r>
    </w:p>
    <w:p>
      <w:pPr>
        <w:numPr>
          <w:ilvl w:val="0"/>
          <w:numId w:val="1130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30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1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1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1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2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3"/>
        </w:numPr>
      </w:pPr>
      <w:r>
        <w:t xml:space="preserve">Follow the guidance of ISO/IEC TR 24772-1 clause 6.62.5.</w:t>
      </w:r>
    </w:p>
    <w:p>
      <w:pPr>
        <w:numPr>
          <w:ilvl w:val="0"/>
          <w:numId w:val="1133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3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3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4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3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3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5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6"/>
        </w:numPr>
      </w:pPr>
      <w:r>
        <w:t xml:space="preserve">Follow the guidelines of TR 24772-1 clause 6.63.5.</w:t>
      </w:r>
    </w:p>
    <w:p>
      <w:pPr>
        <w:numPr>
          <w:ilvl w:val="0"/>
          <w:numId w:val="1136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6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6"/>
        </w:numPr>
      </w:pPr>
      <w:r>
        <w:t xml:space="preserve">Use the C++ Task mechanism in preference to threads …</w:t>
      </w:r>
    </w:p>
    <w:p>
      <w:pPr>
        <w:numPr>
          <w:ilvl w:val="0"/>
          <w:numId w:val="1136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6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6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6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6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6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6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6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6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6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6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6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6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6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6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6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6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6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6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6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6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6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6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6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6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6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6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6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6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7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7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7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7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8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2021-06-28T13:59:42Z</dcterms:created>
  <dcterms:modified xsi:type="dcterms:W3CDTF">2021-06-28T13:59:42Z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