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8"/>
        </w:numPr>
      </w:pPr>
      <w:r>
        <w:t xml:space="preserve">Avoid casts (see C++ Core guidelines ES.48), treat every cast as a candidate for refactoring.</w:t>
      </w:r>
    </w:p>
    <w:p>
      <w:pPr>
        <w:numPr>
          <w:ilvl w:val="0"/>
          <w:numId w:val="1018"/>
        </w:numPr>
      </w:pPr>
      <w:r>
        <w:t xml:space="preserve">Avoid narrowing conversions. (see C++ Core Guidelines ES.46)</w:t>
      </w:r>
    </w:p>
    <w:p>
      <w:pPr>
        <w:numPr>
          <w:ilvl w:val="0"/>
          <w:numId w:val="1018"/>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8"/>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8"/>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8"/>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8"/>
        </w:numPr>
      </w:pPr>
      <w:r>
        <w:t xml:space="preserve">Don’t mix signed and unsigned arithmetic (see C++ Core Guidelines</w:t>
      </w:r>
      <w:r>
        <w:t xml:space="preserve"> </w:t>
      </w:r>
      <w:r>
        <w:t xml:space="preserve">ES100)</w:t>
      </w:r>
    </w:p>
    <w:p>
      <w:pPr>
        <w:numPr>
          <w:ilvl w:val="0"/>
          <w:numId w:val="1018"/>
        </w:numPr>
      </w:pPr>
      <w:r>
        <w:t xml:space="preserve">Don’t rely on implicit conversions between arithmetic types and</w:t>
      </w:r>
      <w:r>
        <w:t xml:space="preserve"> </w:t>
      </w:r>
      <w:r>
        <w:rPr>
          <w:rStyle w:val="VerbatimChar"/>
        </w:rPr>
        <w:t xml:space="preserve">bool</w:t>
      </w:r>
      <w:r>
        <w:t xml:space="preserve">.</w:t>
      </w:r>
    </w:p>
    <w:p>
      <w:pPr>
        <w:numPr>
          <w:ilvl w:val="0"/>
          <w:numId w:val="1018"/>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9"/>
        </w:numPr>
      </w:pPr>
      <w:r>
        <w:t xml:space="preserve">If C-style strings are used, follow the guidance of ISO/IEC TR</w:t>
      </w:r>
      <w:r>
        <w:t xml:space="preserve"> </w:t>
      </w:r>
      <w:r>
        <w:t xml:space="preserve">24772-3 clause 6.7.2.</w:t>
      </w:r>
    </w:p>
    <w:p>
      <w:pPr>
        <w:numPr>
          <w:ilvl w:val="0"/>
          <w:numId w:val="101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0"/>
        </w:numPr>
      </w:pPr>
      <w:r>
        <w:t xml:space="preserve">Avoid C-style arrays. Guidance for the use of C-style arrays is</w:t>
      </w:r>
      <w:r>
        <w:t xml:space="preserve"> </w:t>
      </w:r>
      <w:r>
        <w:t xml:space="preserve">provided in TR 24772-3 clause 6.8.2.</w:t>
      </w:r>
    </w:p>
    <w:p>
      <w:pPr>
        <w:numPr>
          <w:ilvl w:val="0"/>
          <w:numId w:val="102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0"/>
        </w:numPr>
      </w:pPr>
      <w:r>
        <w:t xml:space="preserve">Use iterator-based algorithms, such as those of the standard</w:t>
      </w:r>
      <w:r>
        <w:t xml:space="preserve"> </w:t>
      </w:r>
      <w:r>
        <w:t xml:space="preserve">library.</w:t>
      </w:r>
    </w:p>
    <w:p>
      <w:pPr>
        <w:numPr>
          <w:ilvl w:val="0"/>
          <w:numId w:val="102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0"/>
        </w:numPr>
      </w:pPr>
      <w:r>
        <w:t xml:space="preserve">Use iterators over the range of elements to be accessed instead of</w:t>
      </w:r>
      <w:r>
        <w:t xml:space="preserve"> </w:t>
      </w:r>
      <w:r>
        <w:t xml:space="preserve">using an array and bounds as parameters.</w:t>
      </w:r>
    </w:p>
    <w:p>
      <w:pPr>
        <w:numPr>
          <w:ilvl w:val="0"/>
          <w:numId w:val="102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1"/>
        </w:numPr>
      </w:pPr>
      <w:r>
        <w:t xml:space="preserve">Follow the guidance from clause 6.8.2.</w:t>
      </w:r>
    </w:p>
    <w:p>
      <w:pPr>
        <w:numPr>
          <w:ilvl w:val="0"/>
          <w:numId w:val="102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3"/>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4"/>
        </w:numPr>
      </w:pPr>
      <w:r>
        <w:t xml:space="preserve">a and b are the same object,</w:t>
      </w:r>
    </w:p>
    <w:p>
      <w:pPr>
        <w:numPr>
          <w:ilvl w:val="0"/>
          <w:numId w:val="1024"/>
        </w:numPr>
      </w:pPr>
      <w:r>
        <w:t xml:space="preserve">either a or b is a standard-layout union object and the other is a</w:t>
      </w:r>
      <w:r>
        <w:t xml:space="preserve"> </w:t>
      </w:r>
      <w:r>
        <w:t xml:space="preserve">non-static data member of that object,</w:t>
      </w:r>
    </w:p>
    <w:p>
      <w:pPr>
        <w:numPr>
          <w:ilvl w:val="1"/>
          <w:numId w:val="102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4"/>
        </w:numPr>
      </w:pPr>
      <w:r>
        <w:t xml:space="preserve">either a or b is a standard-layout class object and the other is the</w:t>
      </w:r>
      <w:r>
        <w:t xml:space="preserve"> </w:t>
      </w:r>
      <w:r>
        <w:t xml:space="preserve">first non-static data member of that object,</w:t>
      </w:r>
    </w:p>
    <w:p>
      <w:pPr>
        <w:numPr>
          <w:ilvl w:val="1"/>
          <w:numId w:val="102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8"/>
        </w:numPr>
      </w:pPr>
      <w:r>
        <w:t xml:space="preserve">Follow the advice provided in ISO/IEC TR 24772-1:2019 clause 6.11.5.</w:t>
      </w:r>
    </w:p>
    <w:p>
      <w:pPr>
        <w:numPr>
          <w:ilvl w:val="0"/>
          <w:numId w:val="102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9"/>
        </w:numPr>
        <w:pStyle w:val="SourceCode"/>
      </w:pPr>
      <w:r>
        <w:rPr>
          <w:rStyle w:val="VerbatimChar"/>
        </w:rPr>
        <w:t xml:space="preserve">  *C++ Core guidelines C.146, 1.47 and 1.48*</w:t>
      </w:r>
    </w:p>
    <w:p>
      <w:pPr>
        <w:numPr>
          <w:ilvl w:val="0"/>
          <w:numId w:val="102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0"/>
        </w:numPr>
        <w:pStyle w:val="SourceCode"/>
      </w:pPr>
      <w:r>
        <w:rPr>
          <w:rStyle w:val="VerbatimChar"/>
        </w:rPr>
        <w:t xml:space="preserve">  *C++ Core guidelines C.146*</w:t>
      </w:r>
    </w:p>
    <w:p>
      <w:pPr>
        <w:numPr>
          <w:ilvl w:val="0"/>
          <w:numId w:val="102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2"/>
        </w:numPr>
      </w:pPr>
      <w:r>
        <w:t xml:space="preserve">Follow the guidance of clause 6.8.2.</w:t>
      </w:r>
    </w:p>
    <w:p>
      <w:pPr>
        <w:numPr>
          <w:ilvl w:val="0"/>
          <w:numId w:val="1032"/>
        </w:numPr>
      </w:pPr>
      <w:r>
        <w:t xml:space="preserve">Prefer standard algorithms to hand-written loops</w:t>
      </w:r>
    </w:p>
    <w:p>
      <w:pPr>
        <w:numPr>
          <w:ilvl w:val="1"/>
          <w:numId w:val="1033"/>
        </w:numPr>
        <w:pStyle w:val="Compact"/>
      </w:pPr>
      <w:r>
        <w:t xml:space="preserve">See Core Guideline.ES.1 (TBD)</w:t>
      </w:r>
    </w:p>
    <w:p>
      <w:pPr>
        <w:numPr>
          <w:ilvl w:val="0"/>
          <w:numId w:val="1032"/>
        </w:numPr>
      </w:pPr>
      <w:r>
        <w:t xml:space="preserve">Prefer ranges over iterators; and iterators over pointer</w:t>
      </w:r>
      <w:r>
        <w:t xml:space="preserve"> </w:t>
      </w:r>
      <w:r>
        <w:t xml:space="preserve">arithmetic.</w:t>
      </w:r>
    </w:p>
    <w:p>
      <w:pPr>
        <w:numPr>
          <w:ilvl w:val="0"/>
          <w:numId w:val="103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2"/>
        </w:numPr>
      </w:pPr>
      <w:r>
        <w:t xml:space="preserve">Consider an outright ban on pointer arithmetic due to the</w:t>
      </w:r>
      <w:r>
        <w:t xml:space="preserve"> </w:t>
      </w:r>
      <w:r>
        <w:t xml:space="preserve">error-prone nature of pointer arithmetic.</w:t>
      </w:r>
    </w:p>
    <w:p>
      <w:pPr>
        <w:numPr>
          <w:ilvl w:val="0"/>
          <w:numId w:val="103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4"/>
        </w:numPr>
      </w:pPr>
      <w:r>
        <w:t xml:space="preserve">Containers manage memory and separate memory management from the use</w:t>
      </w:r>
      <w:r>
        <w:t xml:space="preserve"> </w:t>
      </w:r>
      <w:r>
        <w:t xml:space="preserve">of objects.</w:t>
      </w:r>
    </w:p>
    <w:p>
      <w:pPr>
        <w:numPr>
          <w:ilvl w:val="0"/>
          <w:numId w:val="1034"/>
        </w:numPr>
      </w:pPr>
      <w:r>
        <w:t xml:space="preserve">The container interface throws an exception if a container cannot be</w:t>
      </w:r>
      <w:r>
        <w:t xml:space="preserve"> </w:t>
      </w:r>
      <w:r>
        <w:t xml:space="preserve">allocated.</w:t>
      </w:r>
    </w:p>
    <w:p>
      <w:pPr>
        <w:numPr>
          <w:ilvl w:val="0"/>
          <w:numId w:val="1034"/>
        </w:numPr>
      </w:pPr>
      <w:r>
        <w:t xml:space="preserve">Smart pointer creation functions allocate heap memory and handle</w:t>
      </w:r>
      <w:r>
        <w:t xml:space="preserve"> </w:t>
      </w:r>
      <w:r>
        <w:t xml:space="preserve">memory management.</w:t>
      </w:r>
    </w:p>
    <w:p>
      <w:pPr>
        <w:numPr>
          <w:ilvl w:val="0"/>
          <w:numId w:val="103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5"/>
        </w:numPr>
      </w:pPr>
      <w:r>
        <w:t xml:space="preserve">When dereferencing objects of pointer-like types that may contain a null</w:t>
      </w:r>
      <w:r>
        <w:t xml:space="preserve"> </w:t>
      </w:r>
      <w:r>
        <w:t xml:space="preserve">value, follow the guidance from TR 24772-3 clause 6.13.2.</w:t>
      </w:r>
    </w:p>
    <w:p>
      <w:pPr>
        <w:numPr>
          <w:ilvl w:val="0"/>
          <w:numId w:val="103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5"/>
        </w:numPr>
      </w:pPr>
      <w:r>
        <w:t xml:space="preserve">Use references to reduce the number of places where pointers are</w:t>
      </w:r>
      <w:r>
        <w:t xml:space="preserve"> </w:t>
      </w:r>
      <w:r>
        <w:t xml:space="preserve">dereferenced.</w:t>
      </w:r>
      <w:r>
        <w:t xml:space="preserve"> </w:t>
      </w:r>
    </w:p>
    <w:p>
      <w:pPr>
        <w:numPr>
          <w:ilvl w:val="0"/>
          <w:numId w:val="103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6"/>
        </w:numPr>
      </w:pPr>
      <w:r>
        <w:t xml:space="preserve">References</w:t>
      </w:r>
    </w:p>
    <w:p>
      <w:pPr>
        <w:numPr>
          <w:ilvl w:val="0"/>
          <w:numId w:val="1036"/>
        </w:numPr>
      </w:pPr>
      <w:r>
        <w:t xml:space="preserve">Pointers</w:t>
      </w:r>
    </w:p>
    <w:p>
      <w:pPr>
        <w:numPr>
          <w:ilvl w:val="0"/>
          <w:numId w:val="1036"/>
        </w:numPr>
      </w:pPr>
      <w:r>
        <w:t xml:space="preserve">Iterators</w:t>
      </w:r>
    </w:p>
    <w:p>
      <w:pPr>
        <w:numPr>
          <w:ilvl w:val="0"/>
          <w:numId w:val="1036"/>
        </w:numPr>
      </w:pPr>
      <w:r>
        <w:rPr>
          <w:rStyle w:val="BuiltInTok"/>
        </w:rPr>
        <w:t xml:space="preserve">std::</w:t>
      </w:r>
      <w:r>
        <w:rPr>
          <w:rStyle w:val="NormalTok"/>
        </w:rPr>
        <w:t xml:space="preserve">string_view</w:t>
      </w:r>
    </w:p>
    <w:p>
      <w:pPr>
        <w:numPr>
          <w:ilvl w:val="0"/>
          <w:numId w:val="1036"/>
        </w:numPr>
      </w:pPr>
      <w:r>
        <w:rPr>
          <w:rStyle w:val="BuiltInTok"/>
        </w:rPr>
        <w:t xml:space="preserve">std::</w:t>
      </w:r>
      <w:r>
        <w:rPr>
          <w:rStyle w:val="NormalTok"/>
        </w:rPr>
        <w:t xml:space="preserve">span</w:t>
      </w:r>
    </w:p>
    <w:p>
      <w:pPr>
        <w:numPr>
          <w:ilvl w:val="0"/>
          <w:numId w:val="1036"/>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7"/>
        </w:numPr>
      </w:pPr>
      <w:r>
        <w:t xml:space="preserve">Do not rely on lifetime extension of temporaries by binding them to named references.</w:t>
      </w:r>
      <w:r>
        <w:t xml:space="preserve"> </w:t>
      </w:r>
      <w:r>
        <w:t xml:space="preserve">Use (local) variables instead.</w:t>
      </w:r>
    </w:p>
    <w:p>
      <w:pPr>
        <w:numPr>
          <w:ilvl w:val="0"/>
          <w:numId w:val="1037"/>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7"/>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7"/>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7"/>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7"/>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8"/>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8"/>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9"/>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9"/>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9"/>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0"/>
        </w:numPr>
      </w:pPr>
      <w:r>
        <w:t xml:space="preserve">Follow the guidance of ISO/IEC TR 24772-1:2019 clause 6.19.5.</w:t>
      </w:r>
    </w:p>
    <w:p>
      <w:pPr>
        <w:numPr>
          <w:ilvl w:val="0"/>
          <w:numId w:val="1040"/>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1"/>
        </w:numPr>
      </w:pPr>
      <w:r>
        <w:t xml:space="preserve">Follow the guidance of ISO/IEC TR 24772-1:2019 clause 6.20,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3"/>
        </w:numPr>
      </w:pPr>
      <w:r>
        <w:t xml:space="preserve">Overloading, where clause 6.20 applies;</w:t>
      </w:r>
    </w:p>
    <w:p>
      <w:pPr>
        <w:numPr>
          <w:ilvl w:val="0"/>
          <w:numId w:val="1043"/>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4"/>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4"/>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4"/>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5"/>
        </w:numPr>
      </w:pPr>
      <w:r>
        <w:t xml:space="preserve">fully qualify the names to remove any ambiguity of what function is being called if possible. An exception to this is user-defined literals (UDLs) which cannot be called with a fully qualified name.</w:t>
      </w:r>
    </w:p>
    <w:p>
      <w:pPr>
        <w:numPr>
          <w:ilvl w:val="0"/>
          <w:numId w:val="1045"/>
        </w:numPr>
      </w:pPr>
      <w:r>
        <w:t xml:space="preserve">don’t use using directives (except for the UDL case)</w:t>
      </w:r>
    </w:p>
    <w:p>
      <w:pPr>
        <w:numPr>
          <w:ilvl w:val="0"/>
          <w:numId w:val="1045"/>
        </w:numPr>
      </w:pPr>
      <w:r>
        <w:t xml:space="preserve">a namespace defining UDLs should only contain those definitions</w:t>
      </w:r>
    </w:p>
    <w:p>
      <w:pPr>
        <w:numPr>
          <w:ilvl w:val="0"/>
          <w:numId w:val="1045"/>
        </w:numPr>
      </w:pPr>
      <w:r>
        <w:t xml:space="preserve">What about avoiding implicit conversions when calling overloaded functions? However, implicit conversions are not the only way the compiler chooses between overloads:</w:t>
      </w:r>
    </w:p>
    <w:p>
      <w:pPr>
        <w:numPr>
          <w:ilvl w:val="1"/>
          <w:numId w:val="1046"/>
        </w:numPr>
        <w:pStyle w:val="Compact"/>
      </w:pPr>
      <w:r>
        <w:t xml:space="preserve">template vs non template</w:t>
      </w:r>
    </w:p>
    <w:p>
      <w:pPr>
        <w:numPr>
          <w:ilvl w:val="1"/>
          <w:numId w:val="1046"/>
        </w:numPr>
        <w:pStyle w:val="Compact"/>
      </w:pPr>
      <w:r>
        <w:t xml:space="preserve">rvalue ref vs lvalue ref</w:t>
      </w:r>
    </w:p>
    <w:p>
      <w:pPr>
        <w:numPr>
          <w:ilvl w:val="1"/>
          <w:numId w:val="1046"/>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7"/>
        </w:numPr>
      </w:pPr>
      <w:r>
        <w:t xml:space="preserve">Follow the guidance of clauses 6.20.2 and 6.41.2 as applicable.</w:t>
      </w:r>
    </w:p>
    <w:p>
      <w:pPr>
        <w:numPr>
          <w:ilvl w:val="1"/>
          <w:numId w:val="1048"/>
        </w:numPr>
        <w:pStyle w:val="SourceCode"/>
      </w:pPr>
      <w:r>
        <w:rPr>
          <w:rStyle w:val="VerbatimChar"/>
        </w:rPr>
        <w:t xml:space="preserve">  DCL60-CPP. Obey the one-definition rule (6.21)</w:t>
      </w:r>
    </w:p>
    <w:p>
      <w:pPr>
        <w:numPr>
          <w:ilvl w:val="1"/>
          <w:numId w:val="1048"/>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clause 6.44.5.</w:t>
      </w:r>
    </w:p>
    <w:p>
      <w:pPr>
        <w:numPr>
          <w:ilvl w:val="0"/>
          <w:numId w:val="1107"/>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7"/>
        </w:numPr>
      </w:pPr>
      <w:r>
        <w:t xml:space="preserve">The need for downcasts or crosscasts indicates a design challenge,</w:t>
      </w:r>
      <w:r>
        <w:t xml:space="preserve"> </w:t>
      </w:r>
      <w:r>
        <w:t xml:space="preserve">rely on proper virtual member functions in the base classes instead.</w:t>
      </w:r>
    </w:p>
    <w:p>
      <w:pPr>
        <w:numPr>
          <w:ilvl w:val="0"/>
          <w:numId w:val="1107"/>
        </w:numPr>
      </w:pPr>
      <w:r>
        <w:t xml:space="preserve">If an upcast is needed, rely on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8"/>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2021-11-30T15:42:34Z</dcterms:created>
  <dcterms:modified xsi:type="dcterms:W3CDTF">2021-11-30T15:42:34Z</dcterms:modified>
</cp:coreProperties>
</file>

<file path=docProps/custom.xml><?xml version="1.0" encoding="utf-8"?>
<Properties xmlns="http://schemas.openxmlformats.org/officeDocument/2006/custom-properties" xmlns:vt="http://schemas.openxmlformats.org/officeDocument/2006/docPropsVTypes"/>
</file>