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$include parts/4.1.Overview.md</w:t>
      </w:r>
      <w:r>
        <w:t xml:space="preserve"> </w:t>
      </w:r>
      <w:r>
        <w:t xml:space="preserve">$include parts/4.2.TypeSystem.md</w:t>
      </w:r>
      <w:r>
        <w:t xml:space="preserve"> </w:t>
      </w:r>
      <w:r>
        <w:t xml:space="preserve">$include parts/4.3.SymbolLookupResolution.md</w:t>
      </w:r>
      <w:r>
        <w:t xml:space="preserve"> </w:t>
      </w:r>
      <w:r>
        <w:t xml:space="preserve">$include parts/4.4.Lifetime.md</w:t>
      </w:r>
      <w:r>
        <w:t xml:space="preserve"> </w:t>
      </w:r>
      <w:r>
        <w:t xml:space="preserve">$include parts/4.5.Initialization.md</w:t>
      </w:r>
      <w:r>
        <w:t xml:space="preserve"> </w:t>
      </w:r>
      <w:r>
        <w:t xml:space="preserve">$include parts/4.6.UndefinedBehaviour.md</w:t>
      </w:r>
      <w:r>
        <w:t xml:space="preserve"> </w:t>
      </w:r>
      <w:r>
        <w:t xml:space="preserve">$include parts/4.7.ErrorHandling.md</w:t>
      </w:r>
      <w:r>
        <w:t xml:space="preserve"> </w:t>
      </w:r>
      <w:r>
        <w:t xml:space="preserve">$include parts/4.8.Concurency.md</w:t>
      </w:r>
    </w:p>
    <w:p>
      <w:pPr>
        <w:pStyle w:val="SourceCode"/>
      </w:pPr>
      <w:r>
        <w:rPr>
          <w:rStyle w:val="VerbatimChar"/>
        </w:rPr>
        <w:t xml:space="preserve">4.1 Overview</w:t>
      </w:r>
      <w:r>
        <w:br/>
      </w:r>
      <w:r>
        <w:rPr>
          <w:rStyle w:val="VerbatimChar"/>
        </w:rPr>
        <w:t xml:space="preserve">4.2 Type system</w:t>
      </w:r>
      <w:r>
        <w:br/>
      </w:r>
      <w:r>
        <w:rPr>
          <w:rStyle w:val="VerbatimChar"/>
        </w:rPr>
        <w:t xml:space="preserve">   -  implicit conversions</w:t>
      </w:r>
      <w:r>
        <w:br/>
      </w:r>
      <w:r>
        <w:rPr>
          <w:rStyle w:val="VerbatimChar"/>
        </w:rPr>
        <w:t xml:space="preserve">   -  templates?</w:t>
      </w:r>
      <w:r>
        <w:br/>
      </w:r>
      <w:r>
        <w:rPr>
          <w:rStyle w:val="VerbatimChar"/>
        </w:rPr>
        <w:t xml:space="preserve">4.3 Symbol Lookup and resolution</w:t>
      </w:r>
      <w:r>
        <w:br/>
      </w:r>
      <w:r>
        <w:rPr>
          <w:rStyle w:val="VerbatimChar"/>
        </w:rPr>
        <w:t xml:space="preserve">   -  special members</w:t>
      </w:r>
      <w:r>
        <w:br/>
      </w:r>
      <w:r>
        <w:rPr>
          <w:rStyle w:val="VerbatimChar"/>
        </w:rPr>
        <w:t xml:space="preserve">   -  templates?</w:t>
      </w:r>
      <w:r>
        <w:br/>
      </w:r>
      <w:r>
        <w:rPr>
          <w:rStyle w:val="VerbatimChar"/>
        </w:rPr>
        <w:t xml:space="preserve">4.4 Lifetime</w:t>
      </w:r>
      <w:r>
        <w:br/>
      </w:r>
      <w:r>
        <w:rPr>
          <w:rStyle w:val="VerbatimChar"/>
        </w:rPr>
        <w:t xml:space="preserve">4.5 Initialization</w:t>
      </w:r>
      <w:r>
        <w:br/>
      </w:r>
      <w:r>
        <w:rPr>
          <w:rStyle w:val="VerbatimChar"/>
        </w:rPr>
        <w:t xml:space="preserve">4.6 Undefined behaviour</w:t>
      </w:r>
      <w:r>
        <w:br/>
      </w:r>
      <w:r>
        <w:rPr>
          <w:rStyle w:val="VerbatimChar"/>
        </w:rPr>
        <w:t xml:space="preserve">4.7 Error handling (includes exceptions)</w:t>
      </w:r>
      <w:r>
        <w:br/>
      </w:r>
      <w:r>
        <w:rPr>
          <w:rStyle w:val="VerbatimChar"/>
        </w:rPr>
        <w:t xml:space="preserve">   - abstract machine</w:t>
      </w:r>
      <w:r>
        <w:br/>
      </w:r>
      <w:r>
        <w:rPr>
          <w:rStyle w:val="VerbatimChar"/>
        </w:rPr>
        <w:t xml:space="preserve">   - standard library</w:t>
      </w:r>
      <w:r>
        <w:br/>
      </w:r>
      <w:r>
        <w:rPr>
          <w:rStyle w:val="VerbatimChar"/>
        </w:rPr>
        <w:t xml:space="preserve">4.8 Concurrency</w:t>
      </w:r>
    </w:p>
    <w:p>
      <w:pPr>
        <w:pStyle w:val="FirstParagraph"/>
      </w:pPr>
      <w:r>
        <w:t xml:space="preserve">4.2 Type system</w:t>
      </w:r>
      <w:r>
        <w:t xml:space="preserve"> </w:t>
      </w: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BuiltInTok"/>
        </w:rPr>
        <w:t xml:space="preserve">std::</w:t>
      </w:r>
      <w:r>
        <w:rPr>
          <w:rStyle w:val="NormalTok"/>
        </w:rPr>
        <w:t xml:space="preserve">memcpy</w:t>
      </w:r>
      <w:r>
        <w:t xml:space="preserve"> </w:t>
      </w:r>
      <w:r>
        <w:t xml:space="preserve">or</w:t>
      </w:r>
      <w:r>
        <w:t xml:space="preserve"> </w:t>
      </w:r>
      <w:r>
        <w:rPr>
          <w:rStyle w:val="BuiltInTok"/>
        </w:rPr>
        <w:t xml:space="preserve">std::</w:t>
      </w:r>
      <w:r>
        <w:rPr>
          <w:rStyle w:val="NormalTok"/>
        </w:rPr>
        <w:t xml:space="preserve">memmove</w:t>
      </w:r>
      <w:r>
        <w:t xml:space="preserve"> </w:t>
      </w:r>
      <w:r>
        <w:t xml:space="preserve">to copy objects as those operations copy padding bits, if present.</w:t>
      </w:r>
    </w:p>
    <w:p>
      <w:pPr>
        <w:numPr>
          <w:ilvl w:val="0"/>
          <w:numId w:val="1011"/>
        </w:numPr>
      </w:pPr>
      <w:r>
        <w:t xml:space="preserve">Forbid the use of</w:t>
      </w:r>
      <w:r>
        <w:t xml:space="preserve"> </w:t>
      </w:r>
      <w:r>
        <w:rPr>
          <w:rStyle w:val="BuiltInTok"/>
        </w:rPr>
        <w:t xml:space="preserve">std::</w:t>
      </w:r>
      <w:r>
        <w:rPr>
          <w:rStyle w:val="NormalTok"/>
        </w:rPr>
        <w:t xml:space="preserve">memcmp</w:t>
      </w:r>
      <w:r>
        <w:t xml:space="preserve"> </w:t>
      </w:r>
      <w:r>
        <w:t xml:space="preserve">on objects with possible padding bits.</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Follow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The vulnerability documented in ISO IEC 24772-1 clause 6.5 applies to C++.</w:t>
      </w:r>
      <w:r>
        <w:t xml:space="preserve"> </w:t>
      </w:r>
      <w:r>
        <w:t xml:space="preserve">C++ offers alternative mechanims for the C-based definition and use of enums for defining distinct types composed of sets of related named constants.</w:t>
      </w:r>
    </w:p>
    <w:p>
      <w:pPr>
        <w:pStyle w:val="BodyText"/>
      </w:pPr>
      <w:r>
        <w:t xml:space="preserve">The type of each enum is different from all other types.</w:t>
      </w:r>
      <w:r>
        <w:t xml:space="preserve"> </w:t>
      </w:r>
      <w:r>
        <w:t xml:space="preserve">Each enum has an underlying integral type, which the user can specify.</w:t>
      </w:r>
      <w:r>
        <w:t xml:space="preserve"> </w:t>
      </w:r>
      <w:r>
        <w:t xml:space="preserve">Since enums are distinct types, the user can only assign values to an object of enumerated type that are values of that enumerated type.</w:t>
      </w:r>
      <w:r>
        <w:t xml:space="preserve"> </w:t>
      </w:r>
      <w:r>
        <w:t xml:space="preserve">C++ does not support implicit conversion of an int to an enum, therefore 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 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w:t>
      </w:r>
      <w:r>
        <w:t xml:space="preserve"> </w:t>
      </w:r>
      <w:r>
        <w:t xml:space="preserve">C++ supports 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especially on a pointer to a single object.</w:t>
      </w:r>
    </w:p>
    <w:p>
      <w:pPr>
        <w:numPr>
          <w:ilvl w:val="0"/>
          <w:numId w:val="1030"/>
        </w:numPr>
      </w:pPr>
      <w:r>
        <w:t xml:space="preserve">Prefer calling range-based algorithms over pointer arithmetic.</w:t>
      </w:r>
    </w:p>
    <w:p>
      <w:pPr>
        <w:numPr>
          <w:ilvl w:val="0"/>
          <w:numId w:val="1030"/>
        </w:numPr>
      </w:pPr>
      <w:r>
        <w:t xml:space="preserve">Use the avoidance mechanisms of</w:t>
      </w:r>
      <w:r>
        <w:t xml:space="preserve"> </w:t>
      </w:r>
      <w:hyperlink w:anchor="HCB">
        <w:r>
          <w:rPr>
            <w:rStyle w:val="Hyperlink"/>
          </w:rPr>
          <w:t xml:space="preserve">6.8.2</w:t>
        </w:r>
      </w:hyperlink>
      <w:r>
        <w:t xml:space="preserve">.</w:t>
      </w:r>
    </w:p>
    <w:p>
      <w:pPr>
        <w:numPr>
          <w:ilvl w:val="0"/>
          <w:numId w:val="1030"/>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37"/>
        </w:numPr>
        <w:pStyle w:val="Compact"/>
      </w:pPr>
      <w:r>
        <w:t xml:space="preserve">Additionally, in Unicode, the right-to-left character is encoded at U+200F RIGHT-TO-LEFT MARK (‏). In UTF-8 it is E2 80 8F. Usage is prescribed in the Unicode Bidi (bidirectional) Algorithm.[1]</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static analysis and tooling to enforce project-specific naming rules and detect possible similar names, for example, homoglyphs and unexpected text-direction vulnerabilities.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Use a version-aware analysis tool to identify situations where preference rules cause a silent change of name binding between versions.</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5"/>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5"/>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6"/>
        </w:numPr>
        <w:pStyle w:val="Compact"/>
      </w:pPr>
      <w:r>
        <w:t xml:space="preserve">Returning the</w:t>
      </w:r>
      <w:r>
        <w:t xml:space="preserve"> </w:t>
      </w:r>
      <w:r>
        <w:rPr>
          <w:i/>
        </w:rPr>
        <w:t xml:space="preserve">pointer-like</w:t>
      </w:r>
      <w:r>
        <w:t xml:space="preserve"> </w:t>
      </w:r>
      <w:r>
        <w:t xml:space="preserve">value from a function;</w:t>
      </w:r>
    </w:p>
    <w:p>
      <w:pPr>
        <w:numPr>
          <w:ilvl w:val="1"/>
          <w:numId w:val="1066"/>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5"/>
        </w:numPr>
      </w:pPr>
      <w:r>
        <w:t xml:space="preserve">Avoid capturing by reference in a lambda that will be used non-locally, that is</w:t>
      </w:r>
    </w:p>
    <w:p>
      <w:pPr>
        <w:numPr>
          <w:ilvl w:val="1"/>
          <w:numId w:val="1067"/>
        </w:numPr>
        <w:pStyle w:val="Compact"/>
      </w:pPr>
      <w:r>
        <w:t xml:space="preserve">returned,</w:t>
      </w:r>
    </w:p>
    <w:p>
      <w:pPr>
        <w:numPr>
          <w:ilvl w:val="1"/>
          <w:numId w:val="1067"/>
        </w:numPr>
        <w:pStyle w:val="Compact"/>
      </w:pPr>
      <w:r>
        <w:t xml:space="preserve">passed to another thread or coroutine, or</w:t>
      </w:r>
    </w:p>
    <w:p>
      <w:pPr>
        <w:numPr>
          <w:ilvl w:val="1"/>
          <w:numId w:val="1067"/>
        </w:numPr>
        <w:pStyle w:val="Compact"/>
      </w:pPr>
      <w:r>
        <w:t xml:space="preserve">stored in a variable with a longer lifetime than the captured variables.</w:t>
      </w:r>
    </w:p>
    <w:p>
      <w:pPr>
        <w:numPr>
          <w:ilvl w:val="0"/>
          <w:numId w:val="1065"/>
        </w:numPr>
      </w:pPr>
      <w:r>
        <w:t xml:space="preserve">Avoid relying on lifetime extension of temporaries by binding them to named references;</w:t>
      </w:r>
      <w:r>
        <w:t xml:space="preserve"> </w:t>
      </w:r>
      <w:r>
        <w:t xml:space="preserve">use (local) variables instead.</w:t>
      </w:r>
    </w:p>
    <w:p>
      <w:pPr>
        <w:numPr>
          <w:ilvl w:val="0"/>
          <w:numId w:val="1065"/>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5"/>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5"/>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5"/>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TR 24772-1:2019 clause 6.34.5.</w:t>
      </w:r>
    </w:p>
    <w:p>
      <w:pPr>
        <w:numPr>
          <w:ilvl w:val="0"/>
          <w:numId w:val="1070"/>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Follow the avoidance mechanisms of ISO/IEC 24772-1 subclause 6.36.5.</w:t>
      </w:r>
    </w:p>
    <w:p>
      <w:pPr>
        <w:numPr>
          <w:ilvl w:val="0"/>
          <w:numId w:val="1071"/>
        </w:numPr>
      </w:pPr>
      <w:r>
        <w:t xml:space="preserve">Prohibit error handling based on global state, such as</w:t>
      </w:r>
      <w:r>
        <w:t xml:space="preserve"> </w:t>
      </w:r>
      <w:r>
        <w:rPr>
          <w:rStyle w:val="VerbatimChar"/>
        </w:rPr>
        <w:t xml:space="preserve">errno</w:t>
      </w:r>
      <w:r>
        <w:t xml:space="preserve">.</w:t>
      </w:r>
    </w:p>
    <w:p>
      <w:pPr>
        <w:numPr>
          <w:ilvl w:val="0"/>
          <w:numId w:val="1071"/>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71"/>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Prohibit casts that reinterpret data values.</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2"/>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6.38.5.</w:t>
      </w:r>
    </w:p>
    <w:p>
      <w:pPr>
        <w:numPr>
          <w:ilvl w:val="0"/>
          <w:numId w:val="1073"/>
        </w:numPr>
      </w:pPr>
      <w:r>
        <w:t xml:space="preserve">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7"/>
        </w:numPr>
      </w:pPr>
      <w:r>
        <w:t xml:space="preserve">Follow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4"/>
        </w:numPr>
      </w:pPr>
      <w:r>
        <w:t xml:space="preserve">Follow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4"/>
        </w:numPr>
      </w:pPr>
      <w:r>
        <w:t xml:space="preserve">Prefer composition over inheritance, and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Mandate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4"/>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1"/>
        </w:numPr>
      </w:pPr>
      <w:r>
        <w:t xml:space="preserve">Follow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1"/>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6.47.5.</w:t>
      </w:r>
    </w:p>
    <w:p>
      <w:pPr>
        <w:numPr>
          <w:ilvl w:val="0"/>
          <w:numId w:val="109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Follow the avoidance mechanisms of ISO/IEC 24772-1 clause 6.48.5.</w:t>
      </w:r>
    </w:p>
    <w:p>
      <w:pPr>
        <w:numPr>
          <w:ilvl w:val="0"/>
          <w:numId w:val="1095"/>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6.49.5.</w:t>
      </w:r>
    </w:p>
    <w:p>
      <w:pPr>
        <w:numPr>
          <w:ilvl w:val="0"/>
          <w:numId w:val="109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7"/>
        </w:numPr>
      </w:pPr>
      <w:r>
        <w:t xml:space="preserve">Follow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Prohibit embedding the following in a function-like macro: pre-processor directives; or side-effects such as an assignment, increment/decrement, volatile access, or function call.</w:t>
      </w:r>
    </w:p>
    <w:p>
      <w:pPr>
        <w:numPr>
          <w:ilvl w:val="0"/>
          <w:numId w:val="109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6.54.5.</w:t>
      </w:r>
    </w:p>
    <w:p>
      <w:pPr>
        <w:numPr>
          <w:ilvl w:val="0"/>
          <w:numId w:val="1100"/>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1"/>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6.58.5.</w:t>
      </w:r>
    </w:p>
    <w:p>
      <w:pPr>
        <w:numPr>
          <w:ilvl w:val="0"/>
          <w:numId w:val="1103"/>
        </w:numPr>
      </w:pPr>
      <w:r>
        <w:t xml:space="preserve">Enable compiler options or use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6.60.5.</w:t>
      </w:r>
    </w:p>
    <w:p>
      <w:pPr>
        <w:numPr>
          <w:ilvl w:val="0"/>
          <w:numId w:val="1105"/>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6.62.5.</w:t>
      </w:r>
    </w:p>
    <w:p>
      <w:pPr>
        <w:numPr>
          <w:ilvl w:val="0"/>
          <w:numId w:val="1106"/>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Follow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Forbid the use of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6.65.5.</w:t>
      </w:r>
    </w:p>
    <w:p>
      <w:pPr>
        <w:numPr>
          <w:ilvl w:val="0"/>
          <w:numId w:val="1111"/>
        </w:numPr>
      </w:pPr>
      <w:r>
        <w:t xml:space="preserve">Forbid the use of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2023-10-30T14:39:47Z</dcterms:created>
  <dcterms:modified xsi:type="dcterms:W3CDTF">2023-10-30T14:39:47Z</dcterms:modified>
</cp:coreProperties>
</file>

<file path=docProps/custom.xml><?xml version="1.0" encoding="utf-8"?>
<Properties xmlns="http://schemas.openxmlformats.org/officeDocument/2006/custom-properties" xmlns:vt="http://schemas.openxmlformats.org/officeDocument/2006/docPropsVTypes"/>
</file>