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On concatenation, the string object will increase in size to contain the resulting string.</w:t>
      </w:r>
    </w:p>
    <w:p>
      <w:pPr>
        <w:pStyle w:val="BodyText"/>
      </w:pP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string termination characters as part of the string to be used safely because these classes know the length of the string buffer used.</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 you provide an encapsulation of a string,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string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p>
      <w:pPr>
        <w:pStyle w:val="FirstParagraph"/>
      </w:pPr>
      <w:r>
        <w:t xml:space="preserve">TO BE REVIEWED</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and pointers to members and pointers to void do not allow pointer arithmetic.</w:t>
      </w:r>
    </w:p>
    <w:p>
      <w:pPr>
        <w:pStyle w:val="BodyText"/>
      </w:pPr>
      <w:r>
        <w:t xml:space="preserve">Comparing with a relational operator or substracting pointers or iterators of compatible</w:t>
      </w:r>
      <w:r>
        <w:t xml:space="preserve"> </w:t>
      </w:r>
      <w:r>
        <w:t xml:space="preserve">types that refer to different arrays or ranges is undefined behavior.</w:t>
      </w:r>
    </w:p>
    <w:p>
      <w:pPr>
        <w:pStyle w:val="BodyText"/>
      </w:pP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using range-based or iterator-based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relational operators.</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7"/>
        </w:numPr>
      </w:pPr>
      <w:r>
        <w:t xml:space="preserve">Use the avoidance mechanisms of ISO/IEC 24772-1:2019 clause 6.17.5.</w:t>
      </w:r>
    </w:p>
    <w:p>
      <w:pPr>
        <w:numPr>
          <w:ilvl w:val="0"/>
          <w:numId w:val="1037"/>
        </w:numPr>
      </w:pPr>
      <w:r>
        <w:t xml:space="preserve">Follow the rules of ISO/IEC 14882:2020 clause [lex.name] regarding</w:t>
      </w:r>
      <w:r>
        <w:t xml:space="preserve"> </w:t>
      </w:r>
      <w:r>
        <w:t xml:space="preserve">names to refrain from usage.</w:t>
      </w:r>
    </w:p>
    <w:p>
      <w:pPr>
        <w:numPr>
          <w:ilvl w:val="0"/>
          <w:numId w:val="1037"/>
        </w:numPr>
      </w:pPr>
      <w:r>
        <w:t xml:space="preserve">Avoid the use of similar names to denote different objects of the same type.</w:t>
      </w:r>
    </w:p>
    <w:p>
      <w:pPr>
        <w:numPr>
          <w:ilvl w:val="0"/>
          <w:numId w:val="1037"/>
        </w:numPr>
      </w:pPr>
      <w:r>
        <w:t xml:space="preserve">Use consistency in choosing names, especially for dealing with similar names.</w:t>
      </w:r>
    </w:p>
    <w:p>
      <w:pPr>
        <w:numPr>
          <w:ilvl w:val="0"/>
          <w:numId w:val="1037"/>
        </w:numPr>
      </w:pPr>
      <w:r>
        <w:t xml:space="preserve">Use tooling to enforce project-specific naming rules and detect possible similar names, for example, homoglyphs.</w:t>
      </w:r>
    </w:p>
    <w:p>
      <w:pPr>
        <w:numPr>
          <w:ilvl w:val="0"/>
          <w:numId w:val="1037"/>
        </w:numPr>
      </w:pPr>
      <w:r>
        <w:t xml:space="preserve">Keep the scope of names as small as reasonable.</w:t>
      </w:r>
    </w:p>
    <w:p>
      <w:pPr>
        <w:numPr>
          <w:ilvl w:val="0"/>
          <w:numId w:val="1037"/>
        </w:numPr>
      </w:pPr>
      <w:r>
        <w:t xml:space="preserve">Ensure that the names in your program do not exceed the compiler’s documented limit.</w:t>
      </w:r>
    </w:p>
    <w:p>
      <w:pPr>
        <w:numPr>
          <w:ilvl w:val="0"/>
          <w:numId w:val="1037"/>
        </w:numPr>
      </w:pPr>
      <w:r>
        <w:t xml:space="preserve">Do not differentiate names through only a mixture of case or the</w:t>
      </w:r>
      <w:r>
        <w:t xml:space="preserve"> </w:t>
      </w:r>
      <w:r>
        <w:t xml:space="preserve">presence/absence of an underscore character.</w:t>
      </w:r>
    </w:p>
    <w:p>
      <w:pPr>
        <w:numPr>
          <w:ilvl w:val="0"/>
          <w:numId w:val="103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8"/>
        </w:numPr>
      </w:pPr>
      <w:r>
        <w:t xml:space="preserve">Use the avoidance mechanisms of ISO/IEC 24772-1 clause 6.18.5.</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39"/>
        </w:numPr>
      </w:pPr>
      <w:r>
        <w:t xml:space="preserve">Use the avoidance mechanisms of ISO/IEC 24772-1 clause 6.19.5.</w:t>
      </w:r>
    </w:p>
    <w:p>
      <w:pPr>
        <w:numPr>
          <w:ilvl w:val="0"/>
          <w:numId w:val="1039"/>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0"/>
        </w:numPr>
      </w:pPr>
      <w:r>
        <w:t xml:space="preserve">Use the avoidance mechanisms of ISO/IEC 24772-1 clause 6.20.5,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4"/>
        </w:numPr>
      </w:pPr>
      <w:r>
        <w:t xml:space="preserve">Use the avoidance mechanisms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p>
      <w:pPr>
        <w:numPr>
          <w:ilvl w:val="0"/>
          <w:numId w:val="1044"/>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6"/>
        </w:numPr>
        <w:pStyle w:val="Compact"/>
      </w:pPr>
      <w:r>
        <w:t xml:space="preserve">Use the avoidance mechanisms of ISO/IEC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6"/>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8"/>
        </w:numPr>
      </w:pPr>
      <w:r>
        <w:t xml:space="preserve">Use the avoidance mechanisms of ISO/IEC 24772-1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0"/>
        </w:numPr>
      </w:pPr>
      <w:r>
        <w:t xml:space="preserve">Use the avoidance mechanisms of ISO/IEC 24772-1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3"/>
        </w:numPr>
      </w:pPr>
      <w:r>
        <w:t xml:space="preserve">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8"/>
        </w:numPr>
      </w:pPr>
      <w:r>
        <w:t xml:space="preserve">Use theavoidance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9"/>
    <w:bookmarkStart w:id="130" w:name="avoidance-mechanisms-for-language-users"/>
    <w:p>
      <w:pPr>
        <w:pStyle w:val="Heading3"/>
      </w:pPr>
      <w:r>
        <w:t xml:space="preserve">6.33.2 Avoidance mechanisms for language users</w:t>
      </w:r>
    </w:p>
    <w:p>
      <w:pPr>
        <w:numPr>
          <w:ilvl w:val="0"/>
          <w:numId w:val="106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6"/>
        </w:numPr>
      </w:pPr>
      <w:r>
        <w:t xml:space="preserve">Do not returning the address or reference of a local variable as the result of a</w:t>
      </w:r>
      <w:r>
        <w:t xml:space="preserve"> </w:t>
      </w:r>
      <w:r>
        <w:t xml:space="preserve">function call.</w:t>
      </w:r>
    </w:p>
    <w:p>
      <w:pPr>
        <w:numPr>
          <w:ilvl w:val="0"/>
          <w:numId w:val="106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6"/>
        </w:numPr>
      </w:pPr>
      <w:r>
        <w:t xml:space="preserve">If attempting to bind a reference to a temporary object, … thinking …</w:t>
      </w:r>
    </w:p>
    <w:p>
      <w:pPr>
        <w:pStyle w:val="FirstParagraph"/>
      </w:pPr>
      <w:r>
        <w:t xml:space="preserve">See also C++ Core Guidelines F.53, …</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69"/>
        </w:numPr>
      </w:pPr>
      <w:r>
        <w:t xml:space="preserve">Use the avoidance mechanisms of ISO/IEC TR 24772-1:2019 clause 6.34.5.</w:t>
      </w:r>
    </w:p>
    <w:p>
      <w:pPr>
        <w:numPr>
          <w:ilvl w:val="0"/>
          <w:numId w:val="1069"/>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0"/>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1"/>
        </w:numPr>
      </w:pPr>
      <w:r>
        <w:t xml:space="preserve">Use the avoidance mechanisms of subclause 6.36.5 of ISO/IEC</w:t>
      </w:r>
      <w:r>
        <w:t xml:space="preserve"> </w:t>
      </w:r>
      <w:r>
        <w:t xml:space="preserve">24772-1:2019.</w:t>
      </w:r>
    </w:p>
    <w:p>
      <w:pPr>
        <w:numPr>
          <w:ilvl w:val="0"/>
          <w:numId w:val="1071"/>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1"/>
        </w:numPr>
      </w:pPr>
      <w:r>
        <w:t xml:space="preserve">Avoid error handling based on global state.</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1"/>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 reinterpret_cast. For type-breaking reinterpretation involving pointers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avoided.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w:t>
      </w:r>
      <w:r>
        <w:t xml:space="preserve">and</w:t>
      </w:r>
      <w:r>
        <w:t xml:space="preserve"> </w:t>
      </w:r>
      <w:r>
        <w:rPr>
          <w:rStyle w:val="BuiltInTok"/>
        </w:rPr>
        <w:t xml:space="preserve">std::</w:t>
      </w:r>
      <w:r>
        <w:rPr>
          <w:rStyle w:val="NormalTok"/>
        </w:rPr>
        <w:t xml:space="preserve">is_pointer_interconvertible_base_of</w:t>
      </w:r>
      <w:r>
        <w:t xml:space="preserve">, that can be used to help ensure some properties for the legality of a specific reinterpretation cast.</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KeywordTok"/>
        </w:rPr>
        <w:t xml:space="preserve">reinterpret_cast</w:t>
      </w:r>
      <w:r>
        <w:t xml:space="preserve"> </w:t>
      </w:r>
      <w:r>
        <w:t xml:space="preserve">to reinterpret the representation of an object as a different type is, in most cases, undefined behaviour.</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2"/>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2"/>
        </w:numPr>
      </w:pPr>
      <w:r>
        <w:t xml:space="preserve">Do not use C-style casts.</w:t>
      </w:r>
    </w:p>
    <w:p>
      <w:pPr>
        <w:numPr>
          <w:ilvl w:val="0"/>
          <w:numId w:val="1072"/>
        </w:numPr>
      </w:pPr>
      <w:r>
        <w:t xml:space="preserve">Avoid casts that reinterpret data.</w:t>
      </w:r>
    </w:p>
    <w:p>
      <w:pPr>
        <w:numPr>
          <w:ilvl w:val="0"/>
          <w:numId w:val="1072"/>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2"/>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2"/>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2"/>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3"/>
        </w:numPr>
      </w:pPr>
      <w:r>
        <w:t xml:space="preserve">Use the avoidance mechanisms of ISO/IEC 24772-1 clause 6.38.5.</w:t>
      </w:r>
    </w:p>
    <w:p>
      <w:pPr>
        <w:numPr>
          <w:ilvl w:val="0"/>
          <w:numId w:val="1073"/>
        </w:numPr>
      </w:pPr>
      <w:r>
        <w:t xml:space="preserve">Prefer to 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5"/>
        </w:numPr>
      </w:pPr>
      <w:r>
        <w:t xml:space="preserve">Prefer containers like those in the standard library over any other form of memory management.</w:t>
      </w:r>
    </w:p>
    <w:p>
      <w:pPr>
        <w:numPr>
          <w:ilvl w:val="0"/>
          <w:numId w:val="1075"/>
        </w:numPr>
      </w:pPr>
      <w:r>
        <w:t xml:space="preserve">Use smart pointers and their factory functions to allocate and manage heap memory.</w:t>
      </w:r>
    </w:p>
    <w:p>
      <w:pPr>
        <w:numPr>
          <w:ilvl w:val="0"/>
          <w:numId w:val="1075"/>
        </w:numPr>
      </w:pPr>
      <w:r>
        <w:t xml:space="preserve">For heap fragmentation issues, use special memory resource objects with appropriate allocation strategies.</w:t>
      </w:r>
    </w:p>
    <w:p>
      <w:pPr>
        <w:numPr>
          <w:ilvl w:val="0"/>
          <w:numId w:val="1075"/>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5"/>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5"/>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4"/>
        </w:numPr>
      </w:pPr>
      <w:r>
        <w:t xml:space="preserve">Use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4"/>
        </w:numPr>
      </w:pPr>
      <w:r>
        <w:t xml:space="preserve">Prefer composition over inheritance,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1"/>
        </w:numPr>
      </w:pPr>
      <w:r>
        <w:t xml:space="preserve">Use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2"/>
        </w:numPr>
      </w:pPr>
      <w:r>
        <w:t xml:space="preserve">Use the avoidance mechanisms of ISO/IEC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3"/>
        </w:numPr>
      </w:pPr>
      <w:r>
        <w:t xml:space="preserve">Use the avoidance mechanisms of ISO/IEC 24772-1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5"/>
        </w:numPr>
      </w:pPr>
      <w:r>
        <w:t xml:space="preserve">Use the avoidance mechanisms of ISO/IEC 24772-1 clause 6.48.5.</w:t>
      </w:r>
    </w:p>
    <w:p>
      <w:pPr>
        <w:numPr>
          <w:ilvl w:val="0"/>
          <w:numId w:val="1095"/>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6"/>
        </w:numPr>
      </w:pPr>
      <w:r>
        <w:t xml:space="preserve">Use the avoidance mechanisms of ISO/IEC 24772-1 clause 6.49.5.</w:t>
      </w:r>
    </w:p>
    <w:p>
      <w:pPr>
        <w:numPr>
          <w:ilvl w:val="0"/>
          <w:numId w:val="1096"/>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7"/>
        </w:numPr>
      </w:pPr>
      <w:r>
        <w:t xml:space="preserve">Use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8"/>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0"/>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1"/>
        </w:numPr>
      </w:pPr>
      <w:r>
        <w:t xml:space="preserve">Use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1"/>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3"/>
        </w:numPr>
      </w:pPr>
      <w:r>
        <w:t xml:space="preserve">Use the avoidance mechanisms of ISO/IEC 24772-1 clause 6.58.5.</w:t>
      </w:r>
    </w:p>
    <w:p>
      <w:pPr>
        <w:numPr>
          <w:ilvl w:val="0"/>
          <w:numId w:val="1103"/>
        </w:numPr>
      </w:pPr>
      <w:r>
        <w:t xml:space="preserve">Enable compiler options or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5"/>
        </w:numPr>
      </w:pPr>
      <w:r>
        <w:t xml:space="preserve">Use the avoidance mechanisms of ISO/IEC 24772-1 clause 6.60.5.</w:t>
      </w:r>
    </w:p>
    <w:p>
      <w:pPr>
        <w:numPr>
          <w:ilvl w:val="0"/>
          <w:numId w:val="1105"/>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6"/>
        </w:numPr>
      </w:pPr>
      <w:r>
        <w:t xml:space="preserve">Use the avoidance mechanisms of ISO/IEC 24772-1 clause 6.62.5.</w:t>
      </w:r>
    </w:p>
    <w:p>
      <w:pPr>
        <w:numPr>
          <w:ilvl w:val="0"/>
          <w:numId w:val="1106"/>
        </w:numPr>
      </w:pPr>
      <w:r>
        <w:t xml:space="preserve">Use mutexes, condition variables (convar)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08"/>
        </w:numPr>
      </w:pPr>
      <w:r>
        <w:t xml:space="preserve">Use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0"/>
        </w:numPr>
      </w:pPr>
      <w:r>
        <w:t xml:space="preserve">Avoid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1"/>
        </w:numPr>
      </w:pPr>
      <w:r>
        <w:t xml:space="preserve">Use the avoidance mechanisms of ISO/IEC 24772-1 clause 6.65.5: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2023-03-20T15:44:47Z</dcterms:created>
  <dcterms:modified xsi:type="dcterms:W3CDTF">2023-03-20T15:44:47Z</dcterms:modified>
</cp:coreProperties>
</file>

<file path=docProps/custom.xml><?xml version="1.0" encoding="utf-8"?>
<Properties xmlns="http://schemas.openxmlformats.org/officeDocument/2006/custom-properties" xmlns:vt="http://schemas.openxmlformats.org/officeDocument/2006/docPropsVTypes"/>
</file>