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37"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1"/>
        </w:numPr>
        <w:pStyle w:val="Compact"/>
      </w:pPr>
      <w:r>
        <w:t xml:space="preserve">Follow the advice of ISO/IEC TR 24772-1:2019 clause 6.16 *Using Shift Operations for Multiplication and Division [PIK].</w:t>
      </w:r>
    </w:p>
    <w:p>
      <w:pPr>
        <w:numPr>
          <w:ilvl w:val="0"/>
          <w:numId w:val="1041"/>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2"/>
        </w:numPr>
      </w:pPr>
      <w:r>
        <w:t xml:space="preserve">Adopt or develop coding guidelines to define a common coding style</w:t>
      </w:r>
      <w:r>
        <w:t xml:space="preserve"> </w:t>
      </w:r>
      <w:r>
        <w:t xml:space="preserve">and to avoid the above dangerous practices.</w:t>
      </w:r>
    </w:p>
    <w:bookmarkEnd w:id="76"/>
    <w:bookmarkEnd w:id="77"/>
    <w:bookmarkStart w:id="80" w:nam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78"/>
    <w:bookmarkStart w:id="79" w:name="guidance-to-language-users"/>
    <w:p>
      <w:pPr>
        <w:pStyle w:val="Heading3"/>
      </w:pPr>
      <w:r>
        <w:t xml:space="preserve">6.18.2 Guidance to language users</w:t>
      </w:r>
    </w:p>
    <w:p>
      <w:pPr>
        <w:numPr>
          <w:ilvl w:val="0"/>
          <w:numId w:val="1043"/>
        </w:numPr>
      </w:pPr>
      <w:r>
        <w:t xml:space="preserve">Follow the advice of ISO/IEC 24772-1 clause 6.18.</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 agents. See clause 6.61</w:t>
      </w:r>
      <w:r>
        <w:t xml:space="preserve"> </w:t>
      </w:r>
      <w:r>
        <w:t xml:space="preserve">Concurrent data access [CGX]</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4"/>
        </w:numPr>
      </w:pPr>
      <w:r>
        <w:t xml:space="preserve">Follow the guidance of ISO/IEC TR 24772-1:2019 clause 6.19.5.</w:t>
      </w:r>
    </w:p>
    <w:p>
      <w:pPr>
        <w:numPr>
          <w:ilvl w:val="0"/>
          <w:numId w:val="1044"/>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5"/>
        </w:numPr>
      </w:pPr>
      <w:r>
        <w:t xml:space="preserve">Follow the guidance of ISO/IEC TR 24772-1:2019 clause 6.20,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7"/>
        </w:numPr>
      </w:pPr>
      <w:r>
        <w:t xml:space="preserve">Overloading, where clause 6.20 applies;</w:t>
      </w:r>
    </w:p>
    <w:p>
      <w:pPr>
        <w:numPr>
          <w:ilvl w:val="0"/>
          <w:numId w:val="1047"/>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8"/>
        </w:numPr>
        <w:pStyle w:val="Compact"/>
      </w:pPr>
      <w:r>
        <w:t xml:space="preserve">a new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8"/>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9"/>
        </w:numPr>
      </w:pPr>
      <w:r>
        <w:t xml:space="preserve">Follow the guidance of clauses 6.20.2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50"/>
        </w:numPr>
        <w:pStyle w:val="Compact"/>
      </w:pPr>
      <w:r>
        <w:t xml:space="preserve">Follow the guidance provided in ISO IEC 24772-1 subclause 6.22.5</w:t>
      </w:r>
    </w:p>
    <w:p>
      <w:pPr>
        <w:numPr>
          <w:ilvl w:val="0"/>
          <w:numId w:val="1050"/>
        </w:numPr>
        <w:pStyle w:val="Compact"/>
      </w:pPr>
      <w:r>
        <w:t xml:space="preserve">Initialize every object defined, including data members.</w:t>
      </w:r>
    </w:p>
    <w:p>
      <w:pPr>
        <w:numPr>
          <w:ilvl w:val="0"/>
          <w:numId w:val="1050"/>
        </w:numPr>
        <w:pStyle w:val="Compact"/>
      </w:pPr>
      <w:r>
        <w:t xml:space="preserve">Do not depend on the order of dynamic initialization of namespace-scope variables, unless the initialization order is guaranteed by the language.</w:t>
      </w:r>
    </w:p>
    <w:p>
      <w:pPr>
        <w:numPr>
          <w:ilvl w:val="0"/>
          <w:numId w:val="1050"/>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50"/>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2"/>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2"/>
        </w:numPr>
      </w:pPr>
      <w:r>
        <w:rPr>
          <w:rStyle w:val="NormalTok"/>
        </w:rPr>
        <w:t xml:space="preserve">\&gt;</w:t>
      </w:r>
      <w:r>
        <w:t xml:space="preserve"> </w:t>
      </w:r>
      <w:r>
        <w:t xml:space="preserve">and</w:t>
      </w:r>
      <w:r>
        <w:t xml:space="preserve"> </w:t>
      </w:r>
      <w:r>
        <w:rPr>
          <w:rStyle w:val="NormalTok"/>
        </w:rPr>
        <w:t xml:space="preserve">\&lt;=;</w:t>
      </w:r>
    </w:p>
    <w:p>
      <w:pPr>
        <w:numPr>
          <w:ilvl w:val="0"/>
          <w:numId w:val="1052"/>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5"/>
    <w:bookmarkStart w:id="96" w:name="guidance-to-language-users"/>
    <w:p>
      <w:pPr>
        <w:pStyle w:val="Heading3"/>
      </w:pPr>
      <w:r>
        <w:t xml:space="preserve">6.23.2 Guidance to language users</w:t>
      </w:r>
    </w:p>
    <w:p>
      <w:pPr>
        <w:numPr>
          <w:ilvl w:val="0"/>
          <w:numId w:val="1053"/>
        </w:numPr>
      </w:pPr>
      <w:r>
        <w:t xml:space="preserve">Follow the guidance provided in ISO/IEC TR 24772-1:2019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p>
    <w:p>
      <w:pPr>
        <w:numPr>
          <w:ilvl w:val="1"/>
          <w:numId w:val="1054"/>
        </w:numPr>
        <w:pStyle w:val="SourceCode"/>
      </w:pPr>
      <w:r>
        <w:rPr>
          <w:rStyle w:val="VerbatimChar"/>
        </w:rPr>
        <w:t xml:space="preserve">  `&amp;&amp;` ;</w:t>
      </w:r>
    </w:p>
    <w:p>
      <w:pPr>
        <w:numPr>
          <w:ilvl w:val="1"/>
          <w:numId w:val="1054"/>
        </w:numPr>
        <w:pStyle w:val="SourceCode"/>
      </w:pPr>
      <w:r>
        <w:rPr>
          <w:rStyle w:val="VerbatimChar"/>
        </w:rPr>
        <w:t xml:space="preserve">  `||` ;</w:t>
      </w:r>
    </w:p>
    <w:p>
      <w:pPr>
        <w:numPr>
          <w:ilvl w:val="1"/>
          <w:numId w:val="1054"/>
        </w:numPr>
        <w:pStyle w:val="SourceCode"/>
      </w:pPr>
      <w:r>
        <w:rPr>
          <w:rStyle w:val="VerbatimChar"/>
        </w:rPr>
        <w:t xml:space="preserve">  `,` ;</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5"/>
        </w:numPr>
      </w:pPr>
      <w:r>
        <w:t xml:space="preserve">Write accesses to objects in that expression,</w:t>
      </w:r>
    </w:p>
    <w:p>
      <w:pPr>
        <w:numPr>
          <w:ilvl w:val="0"/>
          <w:numId w:val="1055"/>
        </w:numPr>
      </w:pPr>
      <w:r>
        <w:t xml:space="preserve">Reading a volatile object,</w:t>
      </w:r>
    </w:p>
    <w:p>
      <w:pPr>
        <w:numPr>
          <w:ilvl w:val="0"/>
          <w:numId w:val="1055"/>
        </w:numPr>
      </w:pPr>
      <w:r>
        <w:t xml:space="preserve">Calling a library I/O function, and</w:t>
      </w:r>
    </w:p>
    <w:p>
      <w:pPr>
        <w:numPr>
          <w:ilvl w:val="0"/>
          <w:numId w:val="105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6"/>
        </w:numPr>
      </w:pPr>
      <w:r>
        <w:t xml:space="preserve">Follow the guidance provided in ISO/IEC TR 24772-1:2019 Clause</w:t>
      </w:r>
      <w:r>
        <w:t xml:space="preserve"> </w:t>
      </w:r>
      <w:r>
        <w:t xml:space="preserve">6.24.5.</w:t>
      </w:r>
    </w:p>
    <w:p>
      <w:pPr>
        <w:numPr>
          <w:ilvl w:val="0"/>
          <w:numId w:val="105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6"/>
        </w:numPr>
      </w:pPr>
      <w:r>
        <w:t xml:space="preserve">Avoid overloading logical operators (&amp;&amp; and ||), as these</w:t>
      </w:r>
      <w:r>
        <w:t xml:space="preserve"> </w:t>
      </w:r>
      <w:r>
        <w:t xml:space="preserve">overloaded versions will not short-circuit.</w:t>
      </w:r>
    </w:p>
    <w:p>
      <w:pPr>
        <w:numPr>
          <w:ilvl w:val="0"/>
          <w:numId w:val="105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6"/>
        </w:numPr>
      </w:pPr>
      <w:r>
        <w:t xml:space="preserve">Avoid placing multiple operations with side effects in a single</w:t>
      </w:r>
      <w:r>
        <w:t xml:space="preserve"> </w:t>
      </w:r>
      <w:r>
        <w:t xml:space="preserve">expression.</w:t>
      </w:r>
    </w:p>
    <w:p>
      <w:pPr>
        <w:numPr>
          <w:ilvl w:val="0"/>
          <w:numId w:val="1056"/>
        </w:numPr>
      </w:pPr>
      <w:r>
        <w:t xml:space="preserve">Write simple code expressions and statements so that within any</w:t>
      </w:r>
      <w:r>
        <w:t xml:space="preserve"> </w:t>
      </w:r>
      <w:r>
        <w:t xml:space="preserve">expression or statement an object is one of:</w:t>
      </w:r>
    </w:p>
    <w:p>
      <w:pPr>
        <w:numPr>
          <w:ilvl w:val="1"/>
          <w:numId w:val="1057"/>
        </w:numPr>
        <w:pStyle w:val="SourceCode"/>
      </w:pPr>
      <w:r>
        <w:rPr>
          <w:rStyle w:val="VerbatimChar"/>
        </w:rPr>
        <w:t xml:space="preserve">  Read from;</w:t>
      </w:r>
    </w:p>
    <w:p>
      <w:pPr>
        <w:numPr>
          <w:ilvl w:val="1"/>
          <w:numId w:val="1057"/>
        </w:numPr>
        <w:pStyle w:val="SourceCode"/>
      </w:pPr>
      <w:r>
        <w:rPr>
          <w:rStyle w:val="VerbatimChar"/>
        </w:rPr>
        <w:t xml:space="preserve">  Only modified once; or</w:t>
      </w:r>
    </w:p>
    <w:p>
      <w:pPr>
        <w:numPr>
          <w:ilvl w:val="1"/>
          <w:numId w:val="105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6"/>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8"/>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8"/>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8"/>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8"/>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9"/>
        </w:numPr>
      </w:pPr>
      <w:r>
        <w:t xml:space="preserve">Simplify expressions to aid in code readability and help future maintainers</w:t>
      </w:r>
      <w:r>
        <w:t xml:space="preserve"> </w:t>
      </w:r>
      <w:r>
        <w:t xml:space="preserve">understand the intent and nuances of the code. For example,</w:t>
      </w:r>
    </w:p>
    <w:p>
      <w:pPr>
        <w:numPr>
          <w:ilvl w:val="1"/>
          <w:numId w:val="1060"/>
        </w:numPr>
        <w:pStyle w:val="Compact"/>
      </w:pPr>
      <w:r>
        <w:t xml:space="preserve">by extracting intermediate results into const variables with a meaningful name, or</w:t>
      </w:r>
    </w:p>
    <w:p>
      <w:pPr>
        <w:numPr>
          <w:ilvl w:val="1"/>
          <w:numId w:val="1060"/>
        </w:numPr>
        <w:pStyle w:val="Compact"/>
      </w:pPr>
      <w:r>
        <w:t xml:space="preserve">by extracting a subexpression into a function with a meaningful name.</w:t>
      </w:r>
    </w:p>
    <w:p>
      <w:pPr>
        <w:numPr>
          <w:ilvl w:val="0"/>
          <w:numId w:val="1059"/>
        </w:numPr>
      </w:pPr>
      <w:r>
        <w:t xml:space="preserve">Avoid assignments embedded within other statements and expressions, as these can</w:t>
      </w:r>
      <w:r>
        <w:t xml:space="preserve"> </w:t>
      </w:r>
      <w:r>
        <w:t xml:space="preserve">be problematic.</w:t>
      </w:r>
    </w:p>
    <w:p>
      <w:pPr>
        <w:numPr>
          <w:ilvl w:val="0"/>
          <w:numId w:val="1059"/>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9"/>
        </w:numPr>
      </w:pPr>
      <w:r>
        <w:t xml:space="preserve">Use alternative tokens for the logical operators.</w:t>
      </w:r>
    </w:p>
    <w:p>
      <w:pPr>
        <w:numPr>
          <w:ilvl w:val="0"/>
          <w:numId w:val="1061"/>
        </w:numPr>
      </w:pPr>
      <w:r>
        <w:t xml:space="preserve">Consider the adoption of a coding standard that limits the use of</w:t>
      </w:r>
      <w:r>
        <w:t xml:space="preserve"> </w:t>
      </w:r>
      <w:r>
        <w:t xml:space="preserve">the assignment statement within an expression.</w:t>
      </w:r>
    </w:p>
    <w:p>
      <w:pPr>
        <w:numPr>
          <w:ilvl w:val="0"/>
          <w:numId w:val="1061"/>
        </w:numPr>
      </w:pPr>
      <w:r>
        <w:t xml:space="preserve">Follow the following C++ Core guidelines:</w:t>
      </w:r>
    </w:p>
    <w:p>
      <w:pPr>
        <w:numPr>
          <w:ilvl w:val="1"/>
          <w:numId w:val="1062"/>
        </w:numPr>
        <w:pStyle w:val="Compact"/>
      </w:pPr>
      <w:r>
        <w:t xml:space="preserve">ES 40 Avoid complicated expressions</w:t>
      </w:r>
    </w:p>
    <w:p>
      <w:pPr>
        <w:numPr>
          <w:ilvl w:val="1"/>
          <w:numId w:val="1062"/>
        </w:numPr>
        <w:pStyle w:val="Compact"/>
      </w:pPr>
      <w:r>
        <w:t xml:space="preserve">ES 41 If in doubt about operator precedence, parenthesize</w:t>
      </w:r>
    </w:p>
    <w:p>
      <w:pPr>
        <w:numPr>
          <w:ilvl w:val="1"/>
          <w:numId w:val="1062"/>
        </w:numPr>
        <w:pStyle w:val="Compact"/>
      </w:pPr>
      <w:r>
        <w:t xml:space="preserve">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3"/>
    <w:bookmarkEnd w:id="134"/>
    <w:bookmarkStart w:id="137" w:name="X7b5801efcad7d4f25e284b0270c97edc564ec06"/>
    <w:p>
      <w:pPr>
        <w:pStyle w:val="Heading2"/>
      </w:pPr>
      <w:r>
        <w:t xml:space="preserve">6.36 Ignored Error Status and Unhandled Exceptions [OYB]</w:t>
      </w:r>
    </w:p>
    <w:bookmarkStart w:id="135"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5"/>
    <w:bookmarkStart w:id="136"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80"/>
        </w:numPr>
      </w:pPr>
      <w:r>
        <w:t xml:space="preserve">Avoid error handling based on global state.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8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8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8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8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6"/>
    <w:bookmarkEnd w:id="137"/>
    <w:bookmarkStart w:id="140" w:name="X3c61d4dde3e544e3427c66a2e5f6e053f7545a4"/>
    <w:p>
      <w:pPr>
        <w:pStyle w:val="Heading2"/>
      </w:pPr>
      <w:r>
        <w:t xml:space="preserve">6.37 Type-breaking Reinterpretation of Data [AMV]</w:t>
      </w:r>
    </w:p>
    <w:bookmarkStart w:id="138"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38"/>
    <w:bookmarkStart w:id="139"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39"/>
    <w:bookmarkEnd w:id="140"/>
    <w:bookmarkStart w:id="143" w:name="deep-vs.-shallow-copying-yan"/>
    <w:p>
      <w:pPr>
        <w:pStyle w:val="Heading2"/>
      </w:pPr>
      <w:r>
        <w:t xml:space="preserve">6.38 Deep vs. Shallow Copying [YAN]</w:t>
      </w:r>
    </w:p>
    <w:bookmarkStart w:id="141"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1"/>
    <w:bookmarkStart w:id="142"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2"/>
    <w:bookmarkEnd w:id="143"/>
    <w:bookmarkStart w:id="146" w:name="memory-leak-and-heap-fragmentation-xyl"/>
    <w:p>
      <w:pPr>
        <w:pStyle w:val="Heading2"/>
      </w:pPr>
      <w:r>
        <w:t xml:space="preserve">6.39 Memory Leak and Heap Fragmentation [XYL]</w:t>
      </w:r>
    </w:p>
    <w:bookmarkStart w:id="144"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4"/>
    <w:bookmarkStart w:id="145"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5"/>
    <w:bookmarkEnd w:id="146"/>
    <w:bookmarkStart w:id="149" w:name="SYM"/>
    <w:p>
      <w:pPr>
        <w:pStyle w:val="Heading2"/>
      </w:pPr>
      <w:r>
        <w:t xml:space="preserve">6.40 Templates and Generics [SYM]</w:t>
      </w:r>
    </w:p>
    <w:bookmarkStart w:id="147"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47"/>
    <w:bookmarkStart w:id="148"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48"/>
    <w:bookmarkEnd w:id="149"/>
    <w:bookmarkStart w:id="150" w:name="RIP"/>
    <w:p>
      <w:pPr>
        <w:pStyle w:val="Heading2"/>
      </w:pPr>
      <w:r>
        <w:t xml:space="preserve">6.41 Inheritance [RIP]</w:t>
      </w:r>
    </w:p>
    <w:bookmarkEnd w:id="150"/>
    <w:bookmarkStart w:id="151"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1"/>
    <w:bookmarkStart w:id="152"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2"/>
    <w:bookmarkStart w:id="155" w:name="BLP"/>
    <w:p>
      <w:pPr>
        <w:pStyle w:val="Heading2"/>
      </w:pPr>
      <w:r>
        <w:t xml:space="preserve">6.42 Violations of the Liskov Substitution Principle or the Contract Model [BLP]</w:t>
      </w:r>
    </w:p>
    <w:bookmarkStart w:id="153"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3"/>
    <w:bookmarkStart w:id="154"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4"/>
    <w:bookmarkEnd w:id="155"/>
    <w:bookmarkStart w:id="158" w:name="redispatching-pph"/>
    <w:p>
      <w:pPr>
        <w:pStyle w:val="Heading2"/>
      </w:pPr>
      <w:r>
        <w:t xml:space="preserve">6.43 Redispatching [PPH]</w:t>
      </w:r>
    </w:p>
    <w:bookmarkStart w:id="156"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6"/>
    <w:bookmarkStart w:id="157"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57"/>
    <w:bookmarkEnd w:id="158"/>
    <w:bookmarkStart w:id="161" w:name="BKK"/>
    <w:p>
      <w:pPr>
        <w:pStyle w:val="Heading2"/>
      </w:pPr>
      <w:r>
        <w:t xml:space="preserve">6.44 Polymorphic variables [BKK]</w:t>
      </w:r>
    </w:p>
    <w:bookmarkStart w:id="159"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3"/>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3"/>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cause object slicing</w:t>
      </w:r>
      <w:r>
        <w:t xml:space="preserve"> </w:t>
      </w:r>
      <w:r>
        <w:t xml:space="preserve">when a copy of a base class object is created from a derived class object.</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59"/>
    <w:bookmarkStart w:id="160" w:name="guidance-to-language-users"/>
    <w:p>
      <w:pPr>
        <w:pStyle w:val="Heading3"/>
      </w:pPr>
      <w:r>
        <w:t xml:space="preserve">6.44.2 Guidance to language users</w:t>
      </w:r>
    </w:p>
    <w:p>
      <w:pPr>
        <w:numPr>
          <w:ilvl w:val="0"/>
          <w:numId w:val="1107"/>
        </w:numPr>
      </w:pPr>
      <w:r>
        <w:t xml:space="preserve">Follow the advice provided in ISO/IEC 24772-1 clause 6.44.5.</w:t>
      </w:r>
    </w:p>
    <w:p>
      <w:pPr>
        <w:numPr>
          <w:ilvl w:val="0"/>
          <w:numId w:val="1107"/>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7"/>
        </w:numPr>
      </w:pPr>
      <w:r>
        <w:t xml:space="preserve">Avoid designs relying on downcasts or crosscasts;</w:t>
      </w:r>
      <w:r>
        <w:t xml:space="preserve"> </w:t>
      </w:r>
      <w:r>
        <w:t xml:space="preserve">rely on proper virtual member functions in the base classes instead.</w:t>
      </w:r>
    </w:p>
    <w:p>
      <w:pPr>
        <w:numPr>
          <w:ilvl w:val="0"/>
          <w:numId w:val="1107"/>
        </w:numPr>
      </w:pPr>
      <w:r>
        <w:t xml:space="preserve">Avoid explicit upcast, rely on implicit conversion.</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0"/>
    <w:bookmarkEnd w:id="161"/>
    <w:bookmarkStart w:id="162"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2"/>
    <w:bookmarkStart w:id="165" w:name="Xc417c172da80bb70cea1f9e7af9871a63840609"/>
    <w:p>
      <w:pPr>
        <w:pStyle w:val="Heading2"/>
      </w:pPr>
      <w:r>
        <w:t xml:space="preserve">6.46 Argument Passing to Library Functions [TRJ]</w:t>
      </w:r>
    </w:p>
    <w:bookmarkStart w:id="16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3"/>
    <w:bookmarkStart w:id="164" w:name="guidance-to-language-users"/>
    <w:p>
      <w:pPr>
        <w:pStyle w:val="Heading3"/>
      </w:pPr>
      <w:r>
        <w:t xml:space="preserve">6.46.2 Guidance to language users</w:t>
      </w:r>
    </w:p>
    <w:p>
      <w:pPr>
        <w:numPr>
          <w:ilvl w:val="0"/>
          <w:numId w:val="1109"/>
        </w:numPr>
      </w:pPr>
      <w:r>
        <w:t xml:space="preserve">Follow the guidelines of ISO/IEC TR 24772-1 clause 6.47.5.</w:t>
      </w:r>
    </w:p>
    <w:p>
      <w:pPr>
        <w:numPr>
          <w:ilvl w:val="0"/>
          <w:numId w:val="110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4"/>
    <w:bookmarkEnd w:id="165"/>
    <w:bookmarkStart w:id="168" w:name="inter-language-calling-djs"/>
    <w:p>
      <w:pPr>
        <w:pStyle w:val="Heading2"/>
      </w:pPr>
      <w:r>
        <w:t xml:space="preserve">6.47 Inter-language Calling [DJS]</w:t>
      </w:r>
    </w:p>
    <w:bookmarkStart w:id="16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6"/>
    <w:bookmarkStart w:id="167" w:name="guidance-to-language-users"/>
    <w:p>
      <w:pPr>
        <w:pStyle w:val="Heading3"/>
      </w:pPr>
      <w:r>
        <w:t xml:space="preserve">6.47.2 Guidance to language users</w:t>
      </w:r>
    </w:p>
    <w:p>
      <w:pPr>
        <w:numPr>
          <w:ilvl w:val="0"/>
          <w:numId w:val="1110"/>
        </w:numPr>
      </w:pPr>
      <w:r>
        <w:t xml:space="preserve">Follow the guidance contained in ISO/IEC TR 24772-1:2019 clause</w:t>
      </w:r>
      <w:r>
        <w:t xml:space="preserve"> </w:t>
      </w:r>
      <w:r>
        <w:t xml:space="preserve">6.47.5</w:t>
      </w:r>
    </w:p>
    <w:p>
      <w:pPr>
        <w:numPr>
          <w:ilvl w:val="0"/>
          <w:numId w:val="1110"/>
        </w:numPr>
      </w:pPr>
      <w:r>
        <w:t xml:space="preserve">Use standard layout types for the interoperable interfaces.</w:t>
      </w:r>
    </w:p>
    <w:p>
      <w:pPr>
        <w:numPr>
          <w:ilvl w:val="1"/>
          <w:numId w:val="111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0"/>
        </w:numPr>
      </w:pPr>
      <w:r>
        <w:t xml:space="preserve">Be aware that C++ exceptions are not usually compatible with</w:t>
      </w:r>
      <w:r>
        <w:t xml:space="preserve"> </w:t>
      </w:r>
      <w:r>
        <w:t xml:space="preserve">exceptions in other languages.</w:t>
      </w:r>
    </w:p>
    <w:p>
      <w:pPr>
        <w:numPr>
          <w:ilvl w:val="0"/>
          <w:numId w:val="111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67"/>
    <w:bookmarkEnd w:id="168"/>
    <w:bookmarkStart w:id="171" w:name="Xfd4a54be17d3eceb94ec5c5981ef893e36604c5"/>
    <w:p>
      <w:pPr>
        <w:pStyle w:val="Heading2"/>
      </w:pPr>
      <w:r>
        <w:t xml:space="preserve">6.48 Dynamically-linked Code and Self-modifying Code [NYY]</w:t>
      </w:r>
    </w:p>
    <w:bookmarkStart w:id="169"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69"/>
    <w:bookmarkStart w:id="170" w:name="guidance-to-language-users"/>
    <w:p>
      <w:pPr>
        <w:pStyle w:val="Heading3"/>
      </w:pPr>
      <w:r>
        <w:t xml:space="preserve">6.48.2 Guidance to language users</w:t>
      </w:r>
    </w:p>
    <w:p>
      <w:pPr>
        <w:pStyle w:val="FirstParagraph"/>
      </w:pPr>
      <w:r>
        <w:t xml:space="preserve">Follow the guidance of ISO/IEC TR 24772-1:2019 clause 6.48.5.</w:t>
      </w:r>
    </w:p>
    <w:bookmarkEnd w:id="170"/>
    <w:bookmarkEnd w:id="171"/>
    <w:bookmarkStart w:id="174" w:name="library-signature-nsq"/>
    <w:p>
      <w:pPr>
        <w:pStyle w:val="Heading2"/>
      </w:pPr>
      <w:r>
        <w:t xml:space="preserve">6.49 Library Signature [NSQ]</w:t>
      </w:r>
    </w:p>
    <w:bookmarkStart w:id="172"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2"/>
    <w:bookmarkStart w:id="173" w:name="guidance-to-language-users"/>
    <w:p>
      <w:pPr>
        <w:pStyle w:val="Heading3"/>
      </w:pPr>
      <w:r>
        <w:t xml:space="preserve">6.49.2 Guidance to language users</w:t>
      </w:r>
    </w:p>
    <w:p>
      <w:pPr>
        <w:pStyle w:val="FirstParagraph"/>
      </w:pPr>
      <w:r>
        <w:t xml:space="preserve">From Part 1, 6.49.5</w:t>
      </w:r>
    </w:p>
    <w:p>
      <w:pPr>
        <w:numPr>
          <w:ilvl w:val="0"/>
          <w:numId w:val="1112"/>
        </w:numPr>
      </w:pPr>
      <w:r>
        <w:t xml:space="preserve">Follow the guidance of ISO/IEC TR 24772-1:2019 clause 6.49.5.</w:t>
      </w:r>
    </w:p>
    <w:p>
      <w:pPr>
        <w:numPr>
          <w:ilvl w:val="0"/>
          <w:numId w:val="1112"/>
        </w:numPr>
      </w:pPr>
      <w:r>
        <w:t xml:space="preserve">Follow the advice of clause 6.47.2 as applicable.</w:t>
      </w:r>
    </w:p>
    <w:bookmarkEnd w:id="173"/>
    <w:bookmarkEnd w:id="174"/>
    <w:bookmarkStart w:id="177" w:name="X165926c342ab175b2667683b6cb7551fc7b18d8"/>
    <w:p>
      <w:pPr>
        <w:pStyle w:val="Heading2"/>
      </w:pPr>
      <w:r>
        <w:t xml:space="preserve">6.50. Unanticipated Exceptions from Library Routines [HJW]</w:t>
      </w:r>
    </w:p>
    <w:bookmarkStart w:id="17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5"/>
    <w:bookmarkStart w:id="176" w:name="guidance-to-language-users"/>
    <w:p>
      <w:pPr>
        <w:pStyle w:val="Heading3"/>
      </w:pPr>
      <w:r>
        <w:t xml:space="preserve">6.50.2 Guidance to language users</w:t>
      </w:r>
    </w:p>
    <w:p>
      <w:pPr>
        <w:numPr>
          <w:ilvl w:val="0"/>
          <w:numId w:val="111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3"/>
        </w:numPr>
      </w:pPr>
      <w:r>
        <w:t xml:space="preserve">Follow the advice of clause 6.36.2 for catching and handling</w:t>
      </w:r>
      <w:r>
        <w:t xml:space="preserve"> </w:t>
      </w:r>
      <w:r>
        <w:t xml:space="preserve">exceptions.</w:t>
      </w:r>
    </w:p>
    <w:p>
      <w:pPr>
        <w:numPr>
          <w:ilvl w:val="0"/>
          <w:numId w:val="1113"/>
        </w:numPr>
      </w:pPr>
      <w:r>
        <w:t xml:space="preserve">Prefer function-scope static objects to namespace-scope objects for</w:t>
      </w:r>
      <w:r>
        <w:t xml:space="preserve"> </w:t>
      </w:r>
      <w:r>
        <w:t xml:space="preserve">objects needing dynamic initialization.</w:t>
      </w:r>
    </w:p>
    <w:bookmarkEnd w:id="176"/>
    <w:bookmarkEnd w:id="177"/>
    <w:bookmarkStart w:id="180" w:name="NMP"/>
    <w:p>
      <w:pPr>
        <w:pStyle w:val="Heading2"/>
      </w:pPr>
      <w:r>
        <w:t xml:space="preserve">6.51 Pre-processor Directives [NMP]</w:t>
      </w:r>
    </w:p>
    <w:bookmarkStart w:id="17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78"/>
    <w:bookmarkStart w:id="179" w:name="guidance-to-language-users"/>
    <w:p>
      <w:pPr>
        <w:pStyle w:val="Heading3"/>
      </w:pPr>
      <w:r>
        <w:t xml:space="preserve">6.51.2 Guidance to language users</w:t>
      </w:r>
    </w:p>
    <w:p>
      <w:pPr>
        <w:numPr>
          <w:ilvl w:val="0"/>
          <w:numId w:val="111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4"/>
        </w:numPr>
      </w:pPr>
      <w:r>
        <w:t xml:space="preserve">If a function-like macro must be used, ensure that its</w:t>
      </w:r>
      <w:r>
        <w:t xml:space="preserve"> </w:t>
      </w:r>
      <w:r>
        <w:t xml:space="preserve">parameters and body are parenthesized.</w:t>
      </w:r>
    </w:p>
    <w:p>
      <w:pPr>
        <w:numPr>
          <w:ilvl w:val="0"/>
          <w:numId w:val="1114"/>
        </w:numPr>
      </w:pPr>
      <w:r>
        <w:t xml:space="preserve">In a function-like macro, ensure that each argument is evaluated at</w:t>
      </w:r>
      <w:r>
        <w:t xml:space="preserve"> </w:t>
      </w:r>
      <w:r>
        <w:t xml:space="preserve">most once.</w:t>
      </w:r>
    </w:p>
    <w:p>
      <w:pPr>
        <w:numPr>
          <w:ilvl w:val="0"/>
          <w:numId w:val="111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79"/>
    <w:bookmarkEnd w:id="180"/>
    <w:bookmarkStart w:id="183" w:name="Xe4ed1f6d7e7049a22cf11fb58e9b78561722b0b"/>
    <w:p>
      <w:pPr>
        <w:pStyle w:val="Heading2"/>
      </w:pPr>
      <w:r>
        <w:t xml:space="preserve">6.52 Suppression of Language-defined Run-time Checking [MXB]</w:t>
      </w:r>
    </w:p>
    <w:bookmarkStart w:id="18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1"/>
    <w:bookmarkStart w:id="182"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2"/>
    <w:bookmarkEnd w:id="183"/>
    <w:bookmarkStart w:id="186" w:name="X2e6df9becdc68c65fdb33865090fafdb8a33550"/>
    <w:p>
      <w:pPr>
        <w:pStyle w:val="Heading2"/>
      </w:pPr>
      <w:r>
        <w:t xml:space="preserve">6.53 Provision of Inherently Unsafe Operations [SKL]</w:t>
      </w:r>
    </w:p>
    <w:bookmarkStart w:id="184"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4"/>
    <w:bookmarkStart w:id="185" w:name="guidance-to-language-users"/>
    <w:p>
      <w:pPr>
        <w:pStyle w:val="Heading3"/>
      </w:pPr>
      <w:r>
        <w:t xml:space="preserve">6.53.2 Guidance to language users</w:t>
      </w:r>
    </w:p>
    <w:p>
      <w:pPr>
        <w:numPr>
          <w:ilvl w:val="0"/>
          <w:numId w:val="1115"/>
        </w:numPr>
      </w:pPr>
      <w:r>
        <w:t xml:space="preserve">Follow the guidelines of ISO/IEC TR 24772-1:2019 clause 6.53.5.</w:t>
      </w:r>
    </w:p>
    <w:p>
      <w:pPr>
        <w:numPr>
          <w:ilvl w:val="0"/>
          <w:numId w:val="1115"/>
        </w:numPr>
      </w:pPr>
      <w:r>
        <w:t xml:space="preserve">Enable checks that warn about unsafe operations.</w:t>
      </w:r>
    </w:p>
    <w:p>
      <w:pPr>
        <w:numPr>
          <w:ilvl w:val="0"/>
          <w:numId w:val="1115"/>
        </w:numPr>
      </w:pPr>
      <w:r>
        <w:t xml:space="preserve">Use static analysis tools to detect unsafe constructs.</w:t>
      </w:r>
    </w:p>
    <w:bookmarkEnd w:id="185"/>
    <w:bookmarkEnd w:id="186"/>
    <w:bookmarkStart w:id="189" w:name="obscure-language-features-brs"/>
    <w:p>
      <w:pPr>
        <w:pStyle w:val="Heading2"/>
      </w:pPr>
      <w:r>
        <w:t xml:space="preserve">6.54 Obscure Language Features [BRS]</w:t>
      </w:r>
    </w:p>
    <w:bookmarkStart w:id="187"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87"/>
    <w:bookmarkStart w:id="188" w:name="guidance-to-language-users"/>
    <w:p>
      <w:pPr>
        <w:pStyle w:val="Heading3"/>
      </w:pPr>
      <w:r>
        <w:t xml:space="preserve">6.54.2 Guidance to language users</w:t>
      </w:r>
    </w:p>
    <w:p>
      <w:pPr>
        <w:numPr>
          <w:ilvl w:val="0"/>
          <w:numId w:val="1116"/>
        </w:numPr>
        <w:pStyle w:val="Compact"/>
      </w:pPr>
      <w:r>
        <w:t xml:space="preserve">Follow the guidelines of ISO/IEC TR 24772-1:2019 clause 6.54.5.</w:t>
      </w:r>
    </w:p>
    <w:p>
      <w:pPr>
        <w:pStyle w:val="FirstParagraph"/>
      </w:pPr>
      <w:r>
        <w:t xml:space="preserve">$incldue 6.55.UnspecifiedBehaviour-BQF.md</w:t>
      </w:r>
    </w:p>
    <w:bookmarkEnd w:id="188"/>
    <w:bookmarkEnd w:id="189"/>
    <w:bookmarkStart w:id="192" w:name="EWF"/>
    <w:p>
      <w:pPr>
        <w:pStyle w:val="Heading2"/>
      </w:pPr>
      <w:r>
        <w:t xml:space="preserve">6.56 Undefined Behaviour [EWF]</w:t>
      </w:r>
    </w:p>
    <w:bookmarkStart w:id="19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0"/>
    <w:bookmarkStart w:id="191" w:name="guidance-to-language-users"/>
    <w:p>
      <w:pPr>
        <w:pStyle w:val="Heading3"/>
      </w:pPr>
      <w:r>
        <w:t xml:space="preserve">6.56.2 Guidance to language users</w:t>
      </w:r>
    </w:p>
    <w:p>
      <w:pPr>
        <w:numPr>
          <w:ilvl w:val="0"/>
          <w:numId w:val="1117"/>
        </w:numPr>
      </w:pPr>
      <w:r>
        <w:t xml:space="preserve">Follow the guidelines of ISO/IEC TR 24772-1:2019 clause 6.56.5.</w:t>
      </w:r>
    </w:p>
    <w:p>
      <w:pPr>
        <w:numPr>
          <w:ilvl w:val="0"/>
          <w:numId w:val="1117"/>
        </w:numPr>
      </w:pPr>
      <w:r>
        <w:t xml:space="preserve">Augment static analysis tool usage with runtime tools such as ASAN</w:t>
      </w:r>
      <w:r>
        <w:t xml:space="preserve"> </w:t>
      </w:r>
      <w:r>
        <w:t xml:space="preserve">(address sanitizer) and related tools.</w:t>
      </w:r>
    </w:p>
    <w:p>
      <w:pPr>
        <w:numPr>
          <w:ilvl w:val="0"/>
          <w:numId w:val="1117"/>
        </w:numPr>
      </w:pPr>
      <w:r>
        <w:t xml:space="preserve">Use static analysis tools to help identify occurrences of undefined</w:t>
      </w:r>
      <w:r>
        <w:t xml:space="preserve"> </w:t>
      </w:r>
      <w:r>
        <w:t xml:space="preserve">behaviour.</w:t>
      </w:r>
    </w:p>
    <w:p>
      <w:pPr>
        <w:numPr>
          <w:ilvl w:val="0"/>
          <w:numId w:val="111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1"/>
    <w:bookmarkEnd w:id="192"/>
    <w:bookmarkStart w:id="195" w:name="implementationdefined-behaviour-fab"/>
    <w:p>
      <w:pPr>
        <w:pStyle w:val="Heading2"/>
      </w:pPr>
      <w:r>
        <w:t xml:space="preserve">6.57 Implementation–defined Behaviour [FAB]</w:t>
      </w:r>
    </w:p>
    <w:bookmarkStart w:id="19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3"/>
    <w:bookmarkStart w:id="194" w:name="guidance-to-language-users"/>
    <w:p>
      <w:pPr>
        <w:pStyle w:val="Heading3"/>
      </w:pPr>
      <w:r>
        <w:t xml:space="preserve">6.57.2 Guidance to language users</w:t>
      </w:r>
    </w:p>
    <w:p>
      <w:pPr>
        <w:numPr>
          <w:ilvl w:val="0"/>
          <w:numId w:val="1118"/>
        </w:numPr>
      </w:pPr>
      <w:r>
        <w:t xml:space="preserve">Follow the guidelines of ISO/IEC TR 24772-1:2019 clause 6.57.5.</w:t>
      </w:r>
    </w:p>
    <w:p>
      <w:pPr>
        <w:numPr>
          <w:ilvl w:val="0"/>
          <w:numId w:val="111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8"/>
        </w:numPr>
      </w:pPr>
      <w:r>
        <w:t xml:space="preserve">Use multiple compilers/tools to increase your chance of identifying</w:t>
      </w:r>
      <w:r>
        <w:t xml:space="preserve"> </w:t>
      </w:r>
      <w:r>
        <w:t xml:space="preserve">constructs that have implementation-defined behaviours.</w:t>
      </w:r>
    </w:p>
    <w:p>
      <w:pPr>
        <w:numPr>
          <w:ilvl w:val="0"/>
          <w:numId w:val="111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4"/>
    <w:bookmarkEnd w:id="195"/>
    <w:bookmarkStart w:id="198" w:name="deprecated-language-features-mem"/>
    <w:p>
      <w:pPr>
        <w:pStyle w:val="Heading2"/>
      </w:pPr>
      <w:r>
        <w:t xml:space="preserve">6.58 Deprecated Language Features [MEM]</w:t>
      </w:r>
    </w:p>
    <w:bookmarkStart w:id="19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6"/>
    <w:bookmarkStart w:id="197" w:name="guidance-to-language-users"/>
    <w:p>
      <w:pPr>
        <w:pStyle w:val="Heading3"/>
      </w:pPr>
      <w:r>
        <w:t xml:space="preserve">6.58.2 Guidance to language users</w:t>
      </w:r>
    </w:p>
    <w:p>
      <w:pPr>
        <w:numPr>
          <w:ilvl w:val="0"/>
          <w:numId w:val="1119"/>
        </w:numPr>
      </w:pPr>
      <w:r>
        <w:t xml:space="preserve">Follow the guidelines of ISO/IEC TR 24772-1 clause 6.58.5.</w:t>
      </w:r>
    </w:p>
    <w:p>
      <w:pPr>
        <w:numPr>
          <w:ilvl w:val="0"/>
          <w:numId w:val="1119"/>
        </w:numPr>
      </w:pPr>
      <w:r>
        <w:t xml:space="preserve">Enable compiler options or static analysis tools that identify the</w:t>
      </w:r>
      <w:r>
        <w:t xml:space="preserve"> </w:t>
      </w:r>
      <w:r>
        <w:t xml:space="preserve">use of deprecated features.</w:t>
      </w:r>
    </w:p>
    <w:p>
      <w:pPr>
        <w:numPr>
          <w:ilvl w:val="0"/>
          <w:numId w:val="111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197"/>
    <w:bookmarkEnd w:id="198"/>
    <w:bookmarkStart w:id="201" w:name="concurrency-activation-cga"/>
    <w:p>
      <w:pPr>
        <w:pStyle w:val="Heading2"/>
      </w:pPr>
      <w:r>
        <w:t xml:space="preserve">6.59 Concurrency – Activation [CGA]</w:t>
      </w:r>
    </w:p>
    <w:bookmarkStart w:id="199"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0"/>
        </w:numPr>
        <w:pStyle w:val="Compact"/>
      </w:pPr>
      <w:r>
        <w:t xml:space="preserve">6.61 Concurrent Data Access,</w:t>
      </w:r>
    </w:p>
    <w:p>
      <w:pPr>
        <w:numPr>
          <w:ilvl w:val="0"/>
          <w:numId w:val="1120"/>
        </w:numPr>
        <w:pStyle w:val="Compact"/>
      </w:pPr>
      <w:r>
        <w:t xml:space="preserve">6.14 and 6.33 dangling of data reference, if data is passed to the thread function as reference or pointer, instead of passing a copy.</w:t>
      </w:r>
    </w:p>
    <w:p>
      <w:pPr>
        <w:numPr>
          <w:ilvl w:val="0"/>
          <w:numId w:val="112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199"/>
    <w:bookmarkStart w:id="200" w:name="guidance-to-language-users"/>
    <w:p>
      <w:pPr>
        <w:pStyle w:val="Heading3"/>
      </w:pPr>
      <w:r>
        <w:t xml:space="preserve">6.59.2 Guidance to language users</w:t>
      </w:r>
    </w:p>
    <w:p>
      <w:pPr>
        <w:numPr>
          <w:ilvl w:val="0"/>
          <w:numId w:val="112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1"/>
        </w:numPr>
      </w:pPr>
      <w:r>
        <w:t xml:space="preserve">Pass all thread function arguments by value, or ensure their lifetime outlasts the running thread. In the latter case proper synchronization is required.</w:t>
      </w:r>
    </w:p>
    <w:bookmarkEnd w:id="200"/>
    <w:bookmarkEnd w:id="201"/>
    <w:bookmarkStart w:id="203" w:name="concurrency-directed-termination-cgt"/>
    <w:p>
      <w:pPr>
        <w:pStyle w:val="Heading2"/>
      </w:pPr>
      <w:r>
        <w:t xml:space="preserve">6.60 Concurrency – Directed termination [CGT]</w:t>
      </w:r>
    </w:p>
    <w:bookmarkStart w:id="202"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2"/>
    <w:bookmarkEnd w:id="203"/>
    <w:bookmarkStart w:id="204" w:name="guidance-to-language-users"/>
    <w:p>
      <w:pPr>
        <w:pStyle w:val="Heading2"/>
      </w:pPr>
      <w:r>
        <w:t xml:space="preserve">6.60.2 Guidance to language users</w:t>
      </w:r>
    </w:p>
    <w:p>
      <w:pPr>
        <w:pStyle w:val="FirstParagraph"/>
      </w:pPr>
      <w:r>
        <w:t xml:space="preserve">Follow the guidance of 24772-1 Clause 6.59.5</w:t>
      </w:r>
    </w:p>
    <w:bookmarkEnd w:id="204"/>
    <w:bookmarkStart w:id="207" w:name="CGX"/>
    <w:p>
      <w:pPr>
        <w:pStyle w:val="Heading2"/>
      </w:pPr>
      <w:r>
        <w:t xml:space="preserve">6.61 Concurrent Data Access [CGX]</w:t>
      </w:r>
    </w:p>
    <w:bookmarkStart w:id="20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5"/>
    <w:bookmarkStart w:id="206" w:name="guidance-to-language-users"/>
    <w:p>
      <w:pPr>
        <w:pStyle w:val="Heading3"/>
      </w:pPr>
      <w:r>
        <w:t xml:space="preserve">6.61.2 Guidance to language users</w:t>
      </w:r>
    </w:p>
    <w:p>
      <w:pPr>
        <w:numPr>
          <w:ilvl w:val="0"/>
          <w:numId w:val="1122"/>
        </w:numPr>
      </w:pPr>
      <w:r>
        <w:t xml:space="preserve">Follow the guidance of ISO/IEC TR 24772-1 clause 6.62.5.</w:t>
      </w:r>
    </w:p>
    <w:p>
      <w:pPr>
        <w:numPr>
          <w:ilvl w:val="0"/>
          <w:numId w:val="1122"/>
        </w:numPr>
      </w:pPr>
      <w:r>
        <w:t xml:space="preserve">Use mutexes, condition variables (convar) in preference to atomic</w:t>
      </w:r>
      <w:r>
        <w:t xml:space="preserve"> </w:t>
      </w:r>
      <w:r>
        <w:t xml:space="preserve">variables to protect data from simultaneous access.</w:t>
      </w:r>
    </w:p>
    <w:p>
      <w:pPr>
        <w:numPr>
          <w:ilvl w:val="0"/>
          <w:numId w:val="1122"/>
        </w:numPr>
      </w:pPr>
      <w:r>
        <w:t xml:space="preserve">Use volatile only for synchronizing abstract machine state from</w:t>
      </w:r>
      <w:r>
        <w:t xml:space="preserve"> </w:t>
      </w:r>
      <w:r>
        <w:t xml:space="preserve">memory.</w:t>
      </w:r>
    </w:p>
    <w:p>
      <w:pPr>
        <w:numPr>
          <w:ilvl w:val="0"/>
          <w:numId w:val="1122"/>
        </w:numPr>
      </w:pPr>
      <w:r>
        <w:t xml:space="preserve">Avoid the use of volatile for synchronizing access to shared memory</w:t>
      </w:r>
      <w:r>
        <w:t xml:space="preserve"> </w:t>
      </w:r>
      <w:r>
        <w:t xml:space="preserve">between threads (which needs mutex, condvar, or atomics)</w:t>
      </w:r>
    </w:p>
    <w:p>
      <w:pPr>
        <w:numPr>
          <w:ilvl w:val="1"/>
          <w:numId w:val="112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2"/>
        </w:numPr>
      </w:pPr>
      <w:r>
        <w:t xml:space="preserve">Avoid relaxed atomic operations whenever possible. Prefer the</w:t>
      </w:r>
      <w:r>
        <w:t xml:space="preserve"> </w:t>
      </w:r>
      <w:r>
        <w:t xml:space="preserve">sequentially consistent std::memory_order_seq_cst instead .</w:t>
      </w:r>
    </w:p>
    <w:p>
      <w:pPr>
        <w:numPr>
          <w:ilvl w:val="0"/>
          <w:numId w:val="1122"/>
        </w:numPr>
      </w:pPr>
      <w:r>
        <w:t xml:space="preserve">Use mutexes appropriately to protect accesses to non-atomic shared</w:t>
      </w:r>
      <w:r>
        <w:t xml:space="preserve"> </w:t>
      </w:r>
      <w:r>
        <w:t xml:space="preserve">objects.</w:t>
      </w:r>
    </w:p>
    <w:p>
      <w:pPr>
        <w:numPr>
          <w:ilvl w:val="0"/>
          <w:numId w:val="1122"/>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6"/>
    <w:bookmarkEnd w:id="207"/>
    <w:bookmarkStart w:id="211" w:name="concurrency-premature-termination-cgs"/>
    <w:p>
      <w:pPr>
        <w:pStyle w:val="Heading2"/>
      </w:pPr>
      <w:r>
        <w:t xml:space="preserve">6.62 Concurrency – Premature Termination [CGS]</w:t>
      </w:r>
    </w:p>
    <w:bookmarkStart w:id="208" w:name="applicability-to-language"/>
    <w:p>
      <w:pPr>
        <w:pStyle w:val="Heading3"/>
      </w:pPr>
      <w:r>
        <w:t xml:space="preserve">6.62.1 Applicability to language</w:t>
      </w:r>
    </w:p>
    <w:bookmarkEnd w:id="208"/>
    <w:bookmarkStart w:id="20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09"/>
    <w:bookmarkStart w:id="210" w:name="guidance-to-language-users"/>
    <w:p>
      <w:pPr>
        <w:pStyle w:val="Heading3"/>
      </w:pPr>
      <w:r>
        <w:t xml:space="preserve">6.62.2 Guidance to language users</w:t>
      </w:r>
    </w:p>
    <w:p>
      <w:pPr>
        <w:numPr>
          <w:ilvl w:val="0"/>
          <w:numId w:val="1124"/>
        </w:numPr>
      </w:pPr>
      <w:r>
        <w:t xml:space="preserve">Follow the guidelines of TR 24772-1 clause 6.63.5.</w:t>
      </w:r>
    </w:p>
    <w:p>
      <w:pPr>
        <w:numPr>
          <w:ilvl w:val="0"/>
          <w:numId w:val="1124"/>
        </w:numPr>
      </w:pPr>
      <w:r>
        <w:t xml:space="preserve">Use low-level operating system primitives or other APIs where</w:t>
      </w:r>
      <w:r>
        <w:t xml:space="preserve"> </w:t>
      </w:r>
      <w:r>
        <w:t xml:space="preserve">available to check that a required thread is still active.</w:t>
      </w:r>
    </w:p>
    <w:p>
      <w:pPr>
        <w:numPr>
          <w:ilvl w:val="0"/>
          <w:numId w:val="1124"/>
        </w:numPr>
      </w:pPr>
      <w:r>
        <w:t xml:space="preserve">Make the main program join all created threads that need to complete</w:t>
      </w:r>
      <w:r>
        <w:t xml:space="preserve"> </w:t>
      </w:r>
      <w:r>
        <w:t xml:space="preserve">normally.</w:t>
      </w:r>
    </w:p>
    <w:bookmarkEnd w:id="210"/>
    <w:bookmarkEnd w:id="211"/>
    <w:bookmarkStart w:id="233" w:name="CGM"/>
    <w:p>
      <w:pPr>
        <w:pStyle w:val="Heading2"/>
      </w:pPr>
      <w:r>
        <w:t xml:space="preserve">6.63 Protocol Lock Errors [CGM]</w:t>
      </w:r>
    </w:p>
    <w:bookmarkStart w:id="21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2"/>
    <w:bookmarkStart w:id="232" w:name="guidance-to-language-users"/>
    <w:p>
      <w:pPr>
        <w:pStyle w:val="Heading3"/>
      </w:pPr>
      <w:r>
        <w:t xml:space="preserve">6.63.2 Guidance to language users</w:t>
      </w:r>
    </w:p>
    <w:p>
      <w:pPr>
        <w:numPr>
          <w:ilvl w:val="0"/>
          <w:numId w:val="1125"/>
        </w:numPr>
      </w:pPr>
      <w:r>
        <w:t xml:space="preserve">Follow the guidelines of TR 24772-1 clause 6.63.5.</w:t>
      </w:r>
    </w:p>
    <w:p>
      <w:pPr>
        <w:numPr>
          <w:ilvl w:val="0"/>
          <w:numId w:val="112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5"/>
        </w:numPr>
      </w:pPr>
      <w:r>
        <w:t xml:space="preserve">Use higher level building blocks (such as TBB) in preference to …</w:t>
      </w:r>
    </w:p>
    <w:p>
      <w:pPr>
        <w:numPr>
          <w:ilvl w:val="0"/>
          <w:numId w:val="1125"/>
        </w:numPr>
      </w:pPr>
      <w:r>
        <w:t xml:space="preserve">Use the C++ Task mechanism in preference to threads …</w:t>
      </w:r>
    </w:p>
    <w:p>
      <w:pPr>
        <w:numPr>
          <w:ilvl w:val="0"/>
          <w:numId w:val="112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5"/>
        </w:numPr>
      </w:pPr>
      <w:r>
        <w:rPr>
          <w:i/>
          <w:b/>
        </w:rPr>
        <w:t xml:space="preserve">Do not use platform specific multi-threading facilities</w:t>
      </w:r>
    </w:p>
    <w:p>
      <w:pPr>
        <w:numPr>
          <w:ilvl w:val="0"/>
          <w:numId w:val="1125"/>
        </w:numPr>
      </w:pPr>
      <w:r>
        <w:rPr>
          <w:i/>
          <w:b/>
        </w:rPr>
        <w:t xml:space="preserve">A thread shall not access objects whose lifetime has expired</w:t>
      </w:r>
    </w:p>
    <w:p>
      <w:pPr>
        <w:numPr>
          <w:ilvl w:val="0"/>
          <w:numId w:val="1125"/>
        </w:numPr>
      </w:pPr>
      <w:hyperlink r:id="rId21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5"/>
        </w:numPr>
      </w:pPr>
      <w:hyperlink r:id="rId21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5"/>
        </w:numPr>
      </w:pPr>
      <w:hyperlink r:id="rId21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5"/>
        </w:numPr>
      </w:pPr>
      <w:hyperlink r:id="rId21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5"/>
        </w:numPr>
      </w:pPr>
      <w:hyperlink r:id="rId21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5"/>
        </w:numPr>
      </w:pPr>
      <w:hyperlink r:id="rId21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5"/>
        </w:numPr>
      </w:pPr>
      <w:hyperlink r:id="rId21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5"/>
        </w:numPr>
      </w:pPr>
      <w:hyperlink r:id="rId22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5"/>
        </w:numPr>
      </w:pPr>
      <w:hyperlink r:id="rId22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5"/>
        </w:numPr>
      </w:pPr>
      <w:hyperlink r:id="rId22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5"/>
        </w:numPr>
      </w:pPr>
      <w:hyperlink r:id="rId22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5"/>
        </w:numPr>
      </w:pPr>
      <w:hyperlink r:id="rId22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5"/>
        </w:numPr>
      </w:pPr>
      <w:hyperlink r:id="rId22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5"/>
        </w:numPr>
      </w:pPr>
      <w:hyperlink r:id="rId22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5"/>
        </w:numPr>
      </w:pPr>
      <w:hyperlink r:id="rId22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5"/>
        </w:numPr>
      </w:pPr>
      <w:hyperlink r:id="rId22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5"/>
        </w:numPr>
      </w:pPr>
      <w:r>
        <w:t xml:space="preserve">0.10.2 [36] Source CCG Rule CP.101: Distrust your</w:t>
      </w:r>
      <w:r>
        <w:t xml:space="preserve"> </w:t>
      </w:r>
      <w:r>
        <w:t xml:space="preserve">hardware/compiler combination</w:t>
      </w:r>
    </w:p>
    <w:p>
      <w:pPr>
        <w:numPr>
          <w:ilvl w:val="0"/>
          <w:numId w:val="1125"/>
        </w:numPr>
      </w:pPr>
      <w:r>
        <w:t xml:space="preserve">0.10.3 [37] Source CCG Rule CP.102: Carefully study the literature</w:t>
      </w:r>
    </w:p>
    <w:p>
      <w:pPr>
        <w:numPr>
          <w:ilvl w:val="0"/>
          <w:numId w:val="1125"/>
        </w:numPr>
      </w:pPr>
      <w:hyperlink r:id="rId22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5"/>
        </w:numPr>
      </w:pPr>
      <w:hyperlink r:id="rId23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5"/>
        </w:numPr>
      </w:pPr>
      <w:hyperlink r:id="rId23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2"/>
    <w:bookmarkEnd w:id="233"/>
    <w:bookmarkStart w:id="236" w:name="uncontrolled-format-string-shl"/>
    <w:p>
      <w:pPr>
        <w:pStyle w:val="Heading2"/>
      </w:pPr>
      <w:r>
        <w:t xml:space="preserve">6.64 Uncontrolled Format String [SHL]</w:t>
      </w:r>
    </w:p>
    <w:bookmarkStart w:id="23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4"/>
    <w:bookmarkStart w:id="235"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5"/>
    <w:bookmarkEnd w:id="236"/>
    <w:bookmarkEnd w:id="237"/>
    <w:bookmarkStart w:id="241" w:name="UJO"/>
    <w:p>
      <w:pPr>
        <w:pStyle w:val="Heading1"/>
      </w:pPr>
      <w:r>
        <w:t xml:space="preserve">6.65 Modifying constants [UJO]</w:t>
      </w:r>
    </w:p>
    <w:bookmarkStart w:id="239"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38" w:name="EWF"/>
      <w:r>
        <w:t xml:space="preserve">Undefined Behavior [EWF]</w:t>
      </w:r>
      <w:bookmarkEnd w:id="23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39"/>
    <w:bookmarkStart w:id="240"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6"/>
        </w:numPr>
      </w:pPr>
      <w:r>
        <w:t xml:space="preserve">Do not cast-away</w:t>
      </w:r>
      <w:r>
        <w:t xml:space="preserve"> </w:t>
      </w:r>
      <w:r>
        <w:rPr>
          <w:rStyle w:val="AttributeTok"/>
        </w:rPr>
        <w:t xml:space="preserve">const</w:t>
      </w:r>
      <w:r>
        <w:t xml:space="preserve">.</w:t>
      </w:r>
    </w:p>
    <w:p>
      <w:pPr>
        <w:numPr>
          <w:ilvl w:val="0"/>
          <w:numId w:val="112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6"/>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6"/>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0"/>
    <w:bookmarkEnd w:id="241"/>
    <w:bookmarkStart w:id="242"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2"/>
    <w:bookmarkStart w:id="244"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3"/>
      </w:r>
      <w:r>
        <w:t xml:space="preserve">.</w:t>
      </w:r>
    </w:p>
    <w:p>
      <w:pPr>
        <w:numPr>
          <w:ilvl w:val="0"/>
          <w:numId w:val="112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7"/>
        </w:numPr>
        <w:pStyle w:val="SourceCode"/>
      </w:pPr>
      <w:r>
        <w:rPr>
          <w:rStyle w:val="VerbatimChar"/>
        </w:rPr>
        <w:t xml:space="preserve">Creating an Annex that lists deprecated features.</w:t>
      </w:r>
    </w:p>
    <w:bookmarkEnd w:id="244"/>
    <w:bookmarkStart w:id="258"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5"/>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6">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7">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8">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9">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0">
        <w:r>
          <w:rPr>
            <w:rStyle w:val="Hyperlink"/>
          </w:rPr>
          <w:t xml:space="preserve">http://myweb.lmu.edu/dondi/share/pl/type-checking-v02.pdf</w:t>
        </w:r>
      </w:hyperlink>
    </w:p>
    <w:p>
      <w:pPr>
        <w:pStyle w:val="Bibliography1"/>
      </w:pPr>
      <w:r>
        <w:t xml:space="preserve">[32] MISRA Limited. "</w:t>
      </w:r>
      <w:hyperlink r:id="rId251">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2">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3">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4">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5">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6">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7">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8"/>
    <w:bookmarkStart w:id="259" w:name="index"/>
    <w:p>
      <w:pPr>
        <w:pStyle w:val="Heading1"/>
      </w:pPr>
      <w:r>
        <w:t xml:space="preserve">Index</w:t>
      </w:r>
    </w:p>
    <w:p>
      <w:pPr>
        <w:pStyle w:val="Bibliography1"/>
      </w:pPr>
      <w:r>
        <w:t xml:space="preserve">LHS (left-hand side), 22</w:t>
      </w:r>
    </w:p>
    <w:bookmarkEnd w:id="2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4" Target="http://archive.gao.gov/t2pbat6/145960.pdf" TargetMode="External" /><Relationship Type="http://schemas.openxmlformats.org/officeDocument/2006/relationships/hyperlink" Id="rId252" Target="http://cwe.mitre.org/" TargetMode="External" /><Relationship Type="http://schemas.openxmlformats.org/officeDocument/2006/relationships/hyperlink" Id="rId248" Target="http://en.wikisource.org/wiki/Ariane_501_Inquiry_Board_report" TargetMode="External" /><Relationship Type="http://schemas.openxmlformats.org/officeDocument/2006/relationships/hyperlink" Id="rId246" Target="http://esamultimedia.esa.int/docs/esa-x-1819eng.pdf" TargetMode="External" /><Relationship Type="http://schemas.openxmlformats.org/officeDocument/2006/relationships/hyperlink" Id="rId250" Target="http://myweb.lmu.edu/dondi/share/pl/type-checking-v02.pdf" TargetMode="External" /><Relationship Type="http://schemas.openxmlformats.org/officeDocument/2006/relationships/hyperlink" Id="rId257" Target="http://www.adaic.org/docs/95style/95style.pdf" TargetMode="External" /><Relationship Type="http://schemas.openxmlformats.org/officeDocument/2006/relationships/hyperlink" Id="rId249" Target="http://www.cert.org/books/secure-coding" TargetMode="External" /><Relationship Type="http://schemas.openxmlformats.org/officeDocument/2006/relationships/hyperlink" Id="rId247" Target="http://www.embedded.com/1999/9907/9907feat2.htm" TargetMode="External" /><Relationship Type="http://schemas.openxmlformats.org/officeDocument/2006/relationships/hyperlink" Id="rId251" Target="http://www.misra.org.uk/" TargetMode="External" /><Relationship Type="http://schemas.openxmlformats.org/officeDocument/2006/relationships/hyperlink" Id="rId253" Target="http://www.nsc.liu.se/wg25/book" TargetMode="External" /><Relationship Type="http://schemas.openxmlformats.org/officeDocument/2006/relationships/hyperlink" Id="rId255" Target="http://www.siam.org/siamnews/general/patriot.htm" TargetMode="External" /><Relationship Type="http://schemas.openxmlformats.org/officeDocument/2006/relationships/hyperlink" Id="rId227" Target="https://docs.google.com/document/d/14E0BYqsH_d7fMKvXvaZWoNWtIC65cYBw0aZp4dlev0Q/edit#heading=h.13kr181fh926" TargetMode="External" /><Relationship Type="http://schemas.openxmlformats.org/officeDocument/2006/relationships/hyperlink" Id="rId214" Target="https://docs.google.com/document/d/14E0BYqsH_d7fMKvXvaZWoNWtIC65cYBw0aZp4dlev0Q/edit#heading=h.1kfv9jdgd8ib" TargetMode="External" /><Relationship Type="http://schemas.openxmlformats.org/officeDocument/2006/relationships/hyperlink" Id="rId224" Target="https://docs.google.com/document/d/14E0BYqsH_d7fMKvXvaZWoNWtIC65cYBw0aZp4dlev0Q/edit#heading=h.3icrgfn0r3ae" TargetMode="External" /><Relationship Type="http://schemas.openxmlformats.org/officeDocument/2006/relationships/hyperlink" Id="rId215" Target="https://docs.google.com/document/d/14E0BYqsH_d7fMKvXvaZWoNWtIC65cYBw0aZp4dlev0Q/edit#heading=h.729gvquxakq8" TargetMode="External" /><Relationship Type="http://schemas.openxmlformats.org/officeDocument/2006/relationships/hyperlink" Id="rId222" Target="https://docs.google.com/document/d/14E0BYqsH_d7fMKvXvaZWoNWtIC65cYBw0aZp4dlev0Q/edit#heading=h.7pf8azwmy8l4" TargetMode="External" /><Relationship Type="http://schemas.openxmlformats.org/officeDocument/2006/relationships/hyperlink" Id="rId216" Target="https://docs.google.com/document/d/14E0BYqsH_d7fMKvXvaZWoNWtIC65cYBw0aZp4dlev0Q/edit#heading=h.920crsa3sscx" TargetMode="External" /><Relationship Type="http://schemas.openxmlformats.org/officeDocument/2006/relationships/hyperlink" Id="rId230" Target="https://docs.google.com/document/d/14E0BYqsH_d7fMKvXvaZWoNWtIC65cYBw0aZp4dlev0Q/edit#heading=h.9syx86lze887" TargetMode="External" /><Relationship Type="http://schemas.openxmlformats.org/officeDocument/2006/relationships/hyperlink" Id="rId229" Target="https://docs.google.com/document/d/14E0BYqsH_d7fMKvXvaZWoNWtIC65cYBw0aZp4dlev0Q/edit#heading=h.ca8el9ehijae" TargetMode="External" /><Relationship Type="http://schemas.openxmlformats.org/officeDocument/2006/relationships/hyperlink" Id="rId218" Target="https://docs.google.com/document/d/14E0BYqsH_d7fMKvXvaZWoNWtIC65cYBw0aZp4dlev0Q/edit#heading=h.d6qklu5mi3fn" TargetMode="External" /><Relationship Type="http://schemas.openxmlformats.org/officeDocument/2006/relationships/hyperlink" Id="rId220" Target="https://docs.google.com/document/d/14E0BYqsH_d7fMKvXvaZWoNWtIC65cYBw0aZp4dlev0Q/edit#heading=h.einwxosnxvhf" TargetMode="External" /><Relationship Type="http://schemas.openxmlformats.org/officeDocument/2006/relationships/hyperlink" Id="rId225" Target="https://docs.google.com/document/d/14E0BYqsH_d7fMKvXvaZWoNWtIC65cYBw0aZp4dlev0Q/edit#heading=h.g0cdm0bk7l9l" TargetMode="External" /><Relationship Type="http://schemas.openxmlformats.org/officeDocument/2006/relationships/hyperlink" Id="rId231" Target="https://docs.google.com/document/d/14E0BYqsH_d7fMKvXvaZWoNWtIC65cYBw0aZp4dlev0Q/edit#heading=h.gg4jn12ygzi5" TargetMode="External" /><Relationship Type="http://schemas.openxmlformats.org/officeDocument/2006/relationships/hyperlink" Id="rId219" Target="https://docs.google.com/document/d/14E0BYqsH_d7fMKvXvaZWoNWtIC65cYBw0aZp4dlev0Q/edit#heading=h.isn3bwogdp97" TargetMode="External" /><Relationship Type="http://schemas.openxmlformats.org/officeDocument/2006/relationships/hyperlink" Id="rId213" Target="https://docs.google.com/document/d/14E0BYqsH_d7fMKvXvaZWoNWtIC65cYBw0aZp4dlev0Q/edit#heading=h.kj1vcao94oy1" TargetMode="External" /><Relationship Type="http://schemas.openxmlformats.org/officeDocument/2006/relationships/hyperlink" Id="rId226" Target="https://docs.google.com/document/d/14E0BYqsH_d7fMKvXvaZWoNWtIC65cYBw0aZp4dlev0Q/edit#heading=h.ul4y0p7eoih1" TargetMode="External" /><Relationship Type="http://schemas.openxmlformats.org/officeDocument/2006/relationships/hyperlink" Id="rId221" Target="https://docs.google.com/document/d/14E0BYqsH_d7fMKvXvaZWoNWtIC65cYBw0aZp4dlev0Q/edit#heading=h.vq776pxv4nn5" TargetMode="External" /><Relationship Type="http://schemas.openxmlformats.org/officeDocument/2006/relationships/hyperlink" Id="rId217" Target="https://docs.google.com/document/d/14E0BYqsH_d7fMKvXvaZWoNWtIC65cYBw0aZp4dlev0Q/edit#heading=h.xufkh9tsiuk8" TargetMode="External" /><Relationship Type="http://schemas.openxmlformats.org/officeDocument/2006/relationships/hyperlink" Id="rId228" Target="https://docs.google.com/document/d/14E0BYqsH_d7fMKvXvaZWoNWtIC65cYBw0aZp4dlev0Q/edit#heading=h.yt0hxah53p9e" TargetMode="External" /><Relationship Type="http://schemas.openxmlformats.org/officeDocument/2006/relationships/hyperlink" Id="rId223" Target="https://docs.google.com/document/d/14E0BYqsH_d7fMKvXvaZWoNWtIC65cYBw0aZp4dlev0Q/edit#heading=h.z9k66jbl65u6"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6"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4" Target="http://archive.gao.gov/t2pbat6/145960.pdf" TargetMode="External" /><Relationship Type="http://schemas.openxmlformats.org/officeDocument/2006/relationships/hyperlink" Id="rId252" Target="http://cwe.mitre.org/" TargetMode="External" /><Relationship Type="http://schemas.openxmlformats.org/officeDocument/2006/relationships/hyperlink" Id="rId248" Target="http://en.wikisource.org/wiki/Ariane_501_Inquiry_Board_report" TargetMode="External" /><Relationship Type="http://schemas.openxmlformats.org/officeDocument/2006/relationships/hyperlink" Id="rId246" Target="http://esamultimedia.esa.int/docs/esa-x-1819eng.pdf" TargetMode="External" /><Relationship Type="http://schemas.openxmlformats.org/officeDocument/2006/relationships/hyperlink" Id="rId250" Target="http://myweb.lmu.edu/dondi/share/pl/type-checking-v02.pdf" TargetMode="External" /><Relationship Type="http://schemas.openxmlformats.org/officeDocument/2006/relationships/hyperlink" Id="rId257" Target="http://www.adaic.org/docs/95style/95style.pdf" TargetMode="External" /><Relationship Type="http://schemas.openxmlformats.org/officeDocument/2006/relationships/hyperlink" Id="rId249" Target="http://www.cert.org/books/secure-coding" TargetMode="External" /><Relationship Type="http://schemas.openxmlformats.org/officeDocument/2006/relationships/hyperlink" Id="rId247" Target="http://www.embedded.com/1999/9907/9907feat2.htm" TargetMode="External" /><Relationship Type="http://schemas.openxmlformats.org/officeDocument/2006/relationships/hyperlink" Id="rId251" Target="http://www.misra.org.uk/" TargetMode="External" /><Relationship Type="http://schemas.openxmlformats.org/officeDocument/2006/relationships/hyperlink" Id="rId253" Target="http://www.nsc.liu.se/wg25/book" TargetMode="External" /><Relationship Type="http://schemas.openxmlformats.org/officeDocument/2006/relationships/hyperlink" Id="rId255" Target="http://www.siam.org/siamnews/general/patriot.htm" TargetMode="External" /><Relationship Type="http://schemas.openxmlformats.org/officeDocument/2006/relationships/hyperlink" Id="rId227" Target="https://docs.google.com/document/d/14E0BYqsH_d7fMKvXvaZWoNWtIC65cYBw0aZp4dlev0Q/edit#heading=h.13kr181fh926" TargetMode="External" /><Relationship Type="http://schemas.openxmlformats.org/officeDocument/2006/relationships/hyperlink" Id="rId214" Target="https://docs.google.com/document/d/14E0BYqsH_d7fMKvXvaZWoNWtIC65cYBw0aZp4dlev0Q/edit#heading=h.1kfv9jdgd8ib" TargetMode="External" /><Relationship Type="http://schemas.openxmlformats.org/officeDocument/2006/relationships/hyperlink" Id="rId224" Target="https://docs.google.com/document/d/14E0BYqsH_d7fMKvXvaZWoNWtIC65cYBw0aZp4dlev0Q/edit#heading=h.3icrgfn0r3ae" TargetMode="External" /><Relationship Type="http://schemas.openxmlformats.org/officeDocument/2006/relationships/hyperlink" Id="rId215" Target="https://docs.google.com/document/d/14E0BYqsH_d7fMKvXvaZWoNWtIC65cYBw0aZp4dlev0Q/edit#heading=h.729gvquxakq8" TargetMode="External" /><Relationship Type="http://schemas.openxmlformats.org/officeDocument/2006/relationships/hyperlink" Id="rId222" Target="https://docs.google.com/document/d/14E0BYqsH_d7fMKvXvaZWoNWtIC65cYBw0aZp4dlev0Q/edit#heading=h.7pf8azwmy8l4" TargetMode="External" /><Relationship Type="http://schemas.openxmlformats.org/officeDocument/2006/relationships/hyperlink" Id="rId216" Target="https://docs.google.com/document/d/14E0BYqsH_d7fMKvXvaZWoNWtIC65cYBw0aZp4dlev0Q/edit#heading=h.920crsa3sscx" TargetMode="External" /><Relationship Type="http://schemas.openxmlformats.org/officeDocument/2006/relationships/hyperlink" Id="rId230" Target="https://docs.google.com/document/d/14E0BYqsH_d7fMKvXvaZWoNWtIC65cYBw0aZp4dlev0Q/edit#heading=h.9syx86lze887" TargetMode="External" /><Relationship Type="http://schemas.openxmlformats.org/officeDocument/2006/relationships/hyperlink" Id="rId229" Target="https://docs.google.com/document/d/14E0BYqsH_d7fMKvXvaZWoNWtIC65cYBw0aZp4dlev0Q/edit#heading=h.ca8el9ehijae" TargetMode="External" /><Relationship Type="http://schemas.openxmlformats.org/officeDocument/2006/relationships/hyperlink" Id="rId218" Target="https://docs.google.com/document/d/14E0BYqsH_d7fMKvXvaZWoNWtIC65cYBw0aZp4dlev0Q/edit#heading=h.d6qklu5mi3fn" TargetMode="External" /><Relationship Type="http://schemas.openxmlformats.org/officeDocument/2006/relationships/hyperlink" Id="rId220" Target="https://docs.google.com/document/d/14E0BYqsH_d7fMKvXvaZWoNWtIC65cYBw0aZp4dlev0Q/edit#heading=h.einwxosnxvhf" TargetMode="External" /><Relationship Type="http://schemas.openxmlformats.org/officeDocument/2006/relationships/hyperlink" Id="rId225" Target="https://docs.google.com/document/d/14E0BYqsH_d7fMKvXvaZWoNWtIC65cYBw0aZp4dlev0Q/edit#heading=h.g0cdm0bk7l9l" TargetMode="External" /><Relationship Type="http://schemas.openxmlformats.org/officeDocument/2006/relationships/hyperlink" Id="rId231" Target="https://docs.google.com/document/d/14E0BYqsH_d7fMKvXvaZWoNWtIC65cYBw0aZp4dlev0Q/edit#heading=h.gg4jn12ygzi5" TargetMode="External" /><Relationship Type="http://schemas.openxmlformats.org/officeDocument/2006/relationships/hyperlink" Id="rId219" Target="https://docs.google.com/document/d/14E0BYqsH_d7fMKvXvaZWoNWtIC65cYBw0aZp4dlev0Q/edit#heading=h.isn3bwogdp97" TargetMode="External" /><Relationship Type="http://schemas.openxmlformats.org/officeDocument/2006/relationships/hyperlink" Id="rId213" Target="https://docs.google.com/document/d/14E0BYqsH_d7fMKvXvaZWoNWtIC65cYBw0aZp4dlev0Q/edit#heading=h.kj1vcao94oy1" TargetMode="External" /><Relationship Type="http://schemas.openxmlformats.org/officeDocument/2006/relationships/hyperlink" Id="rId226" Target="https://docs.google.com/document/d/14E0BYqsH_d7fMKvXvaZWoNWtIC65cYBw0aZp4dlev0Q/edit#heading=h.ul4y0p7eoih1" TargetMode="External" /><Relationship Type="http://schemas.openxmlformats.org/officeDocument/2006/relationships/hyperlink" Id="rId221" Target="https://docs.google.com/document/d/14E0BYqsH_d7fMKvXvaZWoNWtIC65cYBw0aZp4dlev0Q/edit#heading=h.vq776pxv4nn5" TargetMode="External" /><Relationship Type="http://schemas.openxmlformats.org/officeDocument/2006/relationships/hyperlink" Id="rId217" Target="https://docs.google.com/document/d/14E0BYqsH_d7fMKvXvaZWoNWtIC65cYBw0aZp4dlev0Q/edit#heading=h.xufkh9tsiuk8" TargetMode="External" /><Relationship Type="http://schemas.openxmlformats.org/officeDocument/2006/relationships/hyperlink" Id="rId228" Target="https://docs.google.com/document/d/14E0BYqsH_d7fMKvXvaZWoNWtIC65cYBw0aZp4dlev0Q/edit#heading=h.yt0hxah53p9e" TargetMode="External" /><Relationship Type="http://schemas.openxmlformats.org/officeDocument/2006/relationships/hyperlink" Id="rId223" Target="https://docs.google.com/document/d/14E0BYqsH_d7fMKvXvaZWoNWtIC65cYBw0aZp4dlev0Q/edit#heading=h.z9k66jbl65u6"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6"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2022-03-21T14:37:10Z</dcterms:created>
  <dcterms:modified xsi:type="dcterms:W3CDTF">2022-03-21T14:37:10Z</dcterms:modified>
</cp:coreProperties>
</file>

<file path=docProps/custom.xml><?xml version="1.0" encoding="utf-8"?>
<Properties xmlns="http://schemas.openxmlformats.org/officeDocument/2006/custom-properties" xmlns:vt="http://schemas.openxmlformats.org/officeDocument/2006/docPropsVTypes"/>
</file>