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9"/>
        </w:numPr>
      </w:pPr>
      <w:r>
        <w:t xml:space="preserve">a and b are the same object,</w:t>
      </w:r>
    </w:p>
    <w:p>
      <w:pPr>
        <w:numPr>
          <w:ilvl w:val="0"/>
          <w:numId w:val="1029"/>
        </w:numPr>
      </w:pPr>
      <w:r>
        <w:t xml:space="preserve">either a or b is a standard-layout union object and the other is a</w:t>
      </w:r>
      <w:r>
        <w:t xml:space="preserve"> </w:t>
      </w:r>
      <w:r>
        <w:t xml:space="preserve">non-static data member of that object,</w:t>
      </w:r>
    </w:p>
    <w:p>
      <w:pPr>
        <w:numPr>
          <w:ilvl w:val="1"/>
          <w:numId w:val="1030"/>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9"/>
        </w:numPr>
      </w:pPr>
      <w:r>
        <w:t xml:space="preserve">either a or b is a standard-layout class object and the other is the</w:t>
      </w:r>
      <w:r>
        <w:t xml:space="preserve"> </w:t>
      </w:r>
      <w:r>
        <w:t xml:space="preserve">first non-static data member of that object,</w:t>
      </w:r>
    </w:p>
    <w:p>
      <w:pPr>
        <w:numPr>
          <w:ilvl w:val="1"/>
          <w:numId w:val="1031"/>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9"/>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2"/>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9"/>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4"/>
    <w:bookmarkStart w:id="65" w:name="guidance-to-language-users"/>
    <w:p>
      <w:pPr>
        <w:pStyle w:val="Heading3"/>
      </w:pPr>
      <w:r>
        <w:t xml:space="preserve">6.11.2 Guidance to language users</w:t>
      </w:r>
    </w:p>
    <w:p>
      <w:pPr>
        <w:numPr>
          <w:ilvl w:val="0"/>
          <w:numId w:val="1033"/>
        </w:numPr>
      </w:pPr>
      <w:r>
        <w:t xml:space="preserve">Follow the advice provided in ISO/IEC TR 24772-1:2019 clause 6.11.5.</w:t>
      </w:r>
    </w:p>
    <w:p>
      <w:pPr>
        <w:numPr>
          <w:ilvl w:val="0"/>
          <w:numId w:val="1033"/>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3"/>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4"/>
        </w:numPr>
        <w:pStyle w:val="SourceCode"/>
      </w:pPr>
      <w:r>
        <w:rPr>
          <w:rStyle w:val="VerbatimChar"/>
        </w:rPr>
        <w:t xml:space="preserve">  *C++ Core guidelines C.146, 1.47 and 1.48*</w:t>
      </w:r>
    </w:p>
    <w:p>
      <w:pPr>
        <w:numPr>
          <w:ilvl w:val="0"/>
          <w:numId w:val="1033"/>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5"/>
        </w:numPr>
        <w:pStyle w:val="SourceCode"/>
      </w:pPr>
      <w:r>
        <w:rPr>
          <w:rStyle w:val="VerbatimChar"/>
        </w:rPr>
        <w:t xml:space="preserve">  *C++ Core guidelines C.146*</w:t>
      </w:r>
    </w:p>
    <w:p>
      <w:pPr>
        <w:numPr>
          <w:ilvl w:val="0"/>
          <w:numId w:val="1033"/>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3"/>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6"/>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6"/>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6"/>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6"/>
        </w:numPr>
        <w:pStyle w:val="SourceCode"/>
      </w:pPr>
      <w:r>
        <w:rPr>
          <w:rStyle w:val="VerbatimChar"/>
        </w:rPr>
        <w:t xml:space="preserve">  MISRA C++ 10-1-1 - Classes should not be derived from virtual</w:t>
      </w:r>
    </w:p>
    <w:p>
      <w:pPr>
        <w:numPr>
          <w:ilvl w:val="1"/>
          <w:numId w:val="1000"/>
        </w:numPr>
      </w:pPr>
      <w:r>
        <w:t xml:space="preserve">bases.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7"/>
        </w:numPr>
      </w:pPr>
      <w:r>
        <w:t xml:space="preserve">Follow the guidance of clause 6.8.2. with respect to ordinary pointer arithmetic of a pointer to object.</w:t>
      </w:r>
    </w:p>
    <w:p>
      <w:pPr>
        <w:numPr>
          <w:ilvl w:val="0"/>
          <w:numId w:val="1037"/>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7"/>
        </w:numPr>
      </w:pPr>
      <w:r>
        <w:t xml:space="preserve">Compare pointers of unknown realm with the standard library comparison function objects instead of relational operators.</w:t>
      </w:r>
    </w:p>
    <w:p>
      <w:pPr>
        <w:numPr>
          <w:ilvl w:val="0"/>
          <w:numId w:val="1037"/>
        </w:numPr>
      </w:pPr>
      <w:r>
        <w:t xml:space="preserve">Consider an outright ban on pointer arithmetic due to the</w:t>
      </w:r>
      <w:r>
        <w:t xml:space="preserve"> </w:t>
      </w:r>
      <w:r>
        <w:t xml:space="preserve">error-prone nature of pointer arithmetic.</w:t>
      </w:r>
    </w:p>
    <w:p>
      <w:pPr>
        <w:numPr>
          <w:ilvl w:val="0"/>
          <w:numId w:val="1037"/>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8"/>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8"/>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8"/>
        </w:numPr>
        <w:pStyle w:val="Compact"/>
      </w:pPr>
      <w:r>
        <w:t xml:space="preserve">what is the lifetime of the pointee?</w:t>
      </w:r>
    </w:p>
    <w:p>
      <w:pPr>
        <w:numPr>
          <w:ilvl w:val="0"/>
          <w:numId w:val="1038"/>
        </w:numPr>
        <w:pStyle w:val="Compact"/>
      </w:pPr>
      <w:r>
        <w:t xml:space="preserve">who has ownership of the pointee?</w:t>
      </w:r>
    </w:p>
    <w:p>
      <w:pPr>
        <w:numPr>
          <w:ilvl w:val="0"/>
          <w:numId w:val="1038"/>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9"/>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9"/>
        </w:numPr>
      </w:pPr>
      <w:r>
        <w:t xml:space="preserve">Use references to reduce the number of places where pointers are dereferenced.</w:t>
      </w:r>
    </w:p>
    <w:p>
      <w:pPr>
        <w:numPr>
          <w:ilvl w:val="0"/>
          <w:numId w:val="1039"/>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9"/>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9"/>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9"/>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9"/>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0"/>
        </w:numPr>
      </w:pPr>
      <w:r>
        <w:t xml:space="preserve">References</w:t>
      </w:r>
    </w:p>
    <w:p>
      <w:pPr>
        <w:numPr>
          <w:ilvl w:val="0"/>
          <w:numId w:val="1040"/>
        </w:numPr>
      </w:pPr>
      <w:r>
        <w:t xml:space="preserve">Pointers</w:t>
      </w:r>
    </w:p>
    <w:p>
      <w:pPr>
        <w:numPr>
          <w:ilvl w:val="0"/>
          <w:numId w:val="1040"/>
        </w:numPr>
      </w:pPr>
      <w:r>
        <w:t xml:space="preserve">Iterators</w:t>
      </w:r>
    </w:p>
    <w:p>
      <w:pPr>
        <w:numPr>
          <w:ilvl w:val="0"/>
          <w:numId w:val="1040"/>
        </w:numPr>
      </w:pPr>
      <w:r>
        <w:rPr>
          <w:rStyle w:val="BuiltInTok"/>
        </w:rPr>
        <w:t xml:space="preserve">std::</w:t>
      </w:r>
      <w:r>
        <w:rPr>
          <w:rStyle w:val="NormalTok"/>
        </w:rPr>
        <w:t xml:space="preserve">string_view</w:t>
      </w:r>
    </w:p>
    <w:p>
      <w:pPr>
        <w:numPr>
          <w:ilvl w:val="0"/>
          <w:numId w:val="1040"/>
        </w:numPr>
      </w:pPr>
      <w:r>
        <w:rPr>
          <w:rStyle w:val="BuiltInTok"/>
        </w:rPr>
        <w:t xml:space="preserve">std::</w:t>
      </w:r>
      <w:r>
        <w:rPr>
          <w:rStyle w:val="NormalTok"/>
        </w:rPr>
        <w:t xml:space="preserve">span</w:t>
      </w:r>
    </w:p>
    <w:p>
      <w:pPr>
        <w:numPr>
          <w:ilvl w:val="0"/>
          <w:numId w:val="1040"/>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1"/>
        </w:numPr>
      </w:pPr>
      <w:r>
        <w:t xml:space="preserve">Do not rely on lifetime extension of temporaries by binding them to named references.</w:t>
      </w:r>
      <w:r>
        <w:t xml:space="preserve"> </w:t>
      </w:r>
      <w:r>
        <w:t xml:space="preserve">Use (local) variables instead.</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1"/>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1"/>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42"/>
        </w:numPr>
        <w:pStyle w:val="Compact"/>
      </w:pPr>
      <w:r>
        <w:t xml:space="preserve">Follow the advice of ISO/IEC TR 24772-1:2019 clause 6.16 *Using Shift Operations for Multiplication and Division [PIK].</w:t>
      </w:r>
    </w:p>
    <w:p>
      <w:pPr>
        <w:numPr>
          <w:ilvl w:val="0"/>
          <w:numId w:val="1042"/>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3"/>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44"/>
        </w:numPr>
      </w:pPr>
      <w:r>
        <w:t xml:space="preserve">Follow the advice of ISO/IEC 24772-1 clause 6.18.</w:t>
      </w:r>
    </w:p>
    <w:p>
      <w:pPr>
        <w:numPr>
          <w:ilvl w:val="0"/>
          <w:numId w:val="1044"/>
        </w:numPr>
      </w:pPr>
      <w:r>
        <w:t xml:space="preserve">Use compilers and static analysis tools to identify dead stores in</w:t>
      </w:r>
      <w:r>
        <w:t xml:space="preserve"> </w:t>
      </w:r>
      <w:r>
        <w:t xml:space="preserve">the program.</w:t>
      </w:r>
    </w:p>
    <w:p>
      <w:pPr>
        <w:numPr>
          <w:ilvl w:val="0"/>
          <w:numId w:val="1044"/>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45"/>
        </w:numPr>
      </w:pPr>
      <w:r>
        <w:t xml:space="preserve">Follow the guidance of ISO/IEC TR 24772-1:2019 clause 6.19.5.</w:t>
      </w:r>
    </w:p>
    <w:p>
      <w:pPr>
        <w:numPr>
          <w:ilvl w:val="0"/>
          <w:numId w:val="1045"/>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6"/>
        </w:numPr>
      </w:pPr>
      <w:r>
        <w:t xml:space="preserve">Follow the guidance of ISO/IEC TR 24772-1:2019 clause 6.20, with the</w:t>
      </w:r>
      <w:r>
        <w:t xml:space="preserve"> </w:t>
      </w:r>
      <w:r>
        <w:t xml:space="preserve">exclusion of guidance related to truncated identifiers.</w:t>
      </w:r>
    </w:p>
    <w:p>
      <w:pPr>
        <w:numPr>
          <w:ilvl w:val="0"/>
          <w:numId w:val="1046"/>
        </w:numPr>
      </w:pPr>
      <w:r>
        <w:t xml:space="preserve">Qualify names to disambiguate potential conflicts between names</w:t>
      </w:r>
      <w:r>
        <w:t xml:space="preserve"> </w:t>
      </w:r>
      <w:r>
        <w:t xml:space="preserve">introduced from different scopes.</w:t>
      </w:r>
    </w:p>
    <w:p>
      <w:pPr>
        <w:numPr>
          <w:ilvl w:val="0"/>
          <w:numId w:val="1046"/>
        </w:numPr>
      </w:pPr>
      <w:r>
        <w:t xml:space="preserve">Document argument-dependent lookup usage where name qualification is</w:t>
      </w:r>
      <w:r>
        <w:t xml:space="preserve"> </w:t>
      </w:r>
      <w:r>
        <w:t xml:space="preserve">not desirable.</w:t>
      </w:r>
    </w:p>
    <w:p>
      <w:pPr>
        <w:numPr>
          <w:ilvl w:val="0"/>
          <w:numId w:val="1046"/>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6"/>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6"/>
        </w:numPr>
      </w:pPr>
      <w:r>
        <w:t xml:space="preserve">Use modern integrated development environments that inform about the</w:t>
      </w:r>
      <w:r>
        <w:t xml:space="preserve"> </w:t>
      </w:r>
      <w:r>
        <w:t xml:space="preserve">declaration of any identifier occurrence.</w:t>
      </w:r>
    </w:p>
    <w:p>
      <w:pPr>
        <w:numPr>
          <w:ilvl w:val="0"/>
          <w:numId w:val="1046"/>
        </w:numPr>
      </w:pPr>
      <w:r>
        <w:t xml:space="preserve">Enable compiler diagnostics that inform about the hiding of</w:t>
      </w:r>
      <w:r>
        <w:t xml:space="preserve"> </w:t>
      </w:r>
      <w:r>
        <w:t xml:space="preserve">declarations.</w:t>
      </w:r>
    </w:p>
    <w:p>
      <w:pPr>
        <w:numPr>
          <w:ilvl w:val="1"/>
          <w:numId w:val="1047"/>
        </w:numPr>
        <w:pStyle w:val="SourceCode"/>
      </w:pPr>
      <w:r>
        <w:rPr>
          <w:rStyle w:val="VerbatimChar"/>
        </w:rPr>
        <w:t xml:space="preserve">  DCL60-CPP. Obey the one-definition</w:t>
      </w:r>
    </w:p>
    <w:p>
      <w:pPr>
        <w:numPr>
          <w:ilvl w:val="1"/>
          <w:numId w:val="1000"/>
        </w:numPr>
      </w:pPr>
      <w:r>
        <w:t xml:space="preserve">rule (6.21)</w:t>
      </w:r>
    </w:p>
    <w:p>
      <w:pPr>
        <w:numPr>
          <w:ilvl w:val="1"/>
          <w:numId w:val="104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8"/>
        </w:numPr>
      </w:pPr>
      <w:r>
        <w:t xml:space="preserve">Overloading, where clause 6.20 applies;</w:t>
      </w:r>
    </w:p>
    <w:p>
      <w:pPr>
        <w:numPr>
          <w:ilvl w:val="0"/>
          <w:numId w:val="1048"/>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9"/>
        </w:numPr>
        <w:pStyle w:val="Compact"/>
      </w:pPr>
      <w:r>
        <w:t xml:space="preserve">a new overload,</w:t>
      </w:r>
    </w:p>
    <w:p>
      <w:pPr>
        <w:numPr>
          <w:ilvl w:val="0"/>
          <w:numId w:val="1049"/>
        </w:numPr>
        <w:pStyle w:val="Compact"/>
      </w:pPr>
      <w:r>
        <w:t xml:space="preserve">a using directive</w:t>
      </w:r>
    </w:p>
    <w:p>
      <w:pPr>
        <w:numPr>
          <w:ilvl w:val="0"/>
          <w:numId w:val="1049"/>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9"/>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50"/>
        </w:numPr>
      </w:pPr>
      <w:r>
        <w:t xml:space="preserve">Follow the guidance of clauses 6.20.2 and 6.41.2 as applicable.</w:t>
      </w:r>
    </w:p>
    <w:p>
      <w:pPr>
        <w:numPr>
          <w:ilvl w:val="0"/>
          <w:numId w:val="1050"/>
        </w:numPr>
      </w:pPr>
      <w:r>
        <w:t xml:space="preserve">Consider using fully qualified names for calls that rely on an implicit conversions.</w:t>
      </w:r>
    </w:p>
    <w:p>
      <w:pPr>
        <w:numPr>
          <w:ilvl w:val="0"/>
          <w:numId w:val="1050"/>
        </w:numPr>
      </w:pPr>
      <w:r>
        <w:t xml:space="preserve">Prefer using declarations to using directives.</w:t>
      </w:r>
    </w:p>
    <w:p>
      <w:pPr>
        <w:numPr>
          <w:ilvl w:val="0"/>
          <w:numId w:val="1050"/>
        </w:numPr>
      </w:pPr>
      <w:r>
        <w:t xml:space="preserve">Do not overload and use default arguments for the same set of functions.</w:t>
      </w:r>
    </w:p>
    <w:p>
      <w:pPr>
        <w:numPr>
          <w:ilvl w:val="0"/>
          <w:numId w:val="1050"/>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51"/>
        </w:numPr>
        <w:pStyle w:val="Compact"/>
      </w:pPr>
      <w:r>
        <w:t xml:space="preserve">Follow the guidance provided in ISO IEC 24772-1 subclause 6.22.5</w:t>
      </w:r>
    </w:p>
    <w:p>
      <w:pPr>
        <w:numPr>
          <w:ilvl w:val="0"/>
          <w:numId w:val="1051"/>
        </w:numPr>
        <w:pStyle w:val="Compact"/>
      </w:pPr>
      <w:r>
        <w:t xml:space="preserve">Initialize every object defined, including data members.</w:t>
      </w:r>
    </w:p>
    <w:p>
      <w:pPr>
        <w:numPr>
          <w:ilvl w:val="0"/>
          <w:numId w:val="1051"/>
        </w:numPr>
        <w:pStyle w:val="Compact"/>
      </w:pPr>
      <w:r>
        <w:t xml:space="preserve">Do not depend on the order of dynamic initialization of namespace-scope variables, unless the initialization order is guaranteed by the language.</w:t>
      </w:r>
    </w:p>
    <w:p>
      <w:pPr>
        <w:numPr>
          <w:ilvl w:val="0"/>
          <w:numId w:val="1051"/>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51"/>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53"/>
        </w:numPr>
      </w:pPr>
      <w:r>
        <w:t xml:space="preserve">Follow the guidance provided in ISO/IEC TR 24772-1:2019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Consider using alternative tokens for the logical operators.</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Do not have conflicting side-effects in sub-expressions.</w:t>
      </w:r>
    </w:p>
    <w:p>
      <w:pPr>
        <w:numPr>
          <w:ilvl w:val="0"/>
          <w:numId w:val="1058"/>
        </w:numPr>
      </w:pPr>
      <w:r>
        <w:t xml:space="preserve">Follow the following C++ Core guidelines:</w:t>
      </w:r>
    </w:p>
    <w:p>
      <w:pPr>
        <w:numPr>
          <w:ilvl w:val="1"/>
          <w:numId w:val="1060"/>
        </w:numPr>
        <w:pStyle w:val="Compact"/>
      </w:pPr>
      <w:r>
        <w:t xml:space="preserve">ES 40 Avoid complicated expressions</w:t>
      </w:r>
    </w:p>
    <w:p>
      <w:pPr>
        <w:numPr>
          <w:ilvl w:val="1"/>
          <w:numId w:val="1060"/>
        </w:numPr>
        <w:pStyle w:val="Compact"/>
      </w:pPr>
      <w:r>
        <w:t xml:space="preserve">ES 41 If in doubt about operator precedence, parenthesize</w:t>
      </w:r>
    </w:p>
    <w:p>
      <w:pPr>
        <w:numPr>
          <w:ilvl w:val="1"/>
          <w:numId w:val="1060"/>
        </w:numPr>
        <w:pStyle w:val="Compact"/>
      </w:pPr>
      <w:r>
        <w:t xml:space="preserve">ES 44 Do not depend on order of evaluation</w:t>
      </w:r>
    </w:p>
    <w:p>
      <w:pPr>
        <w:numPr>
          <w:ilvl w:val="0"/>
          <w:numId w:val="1058"/>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61"/>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62"/>
        </w:numPr>
      </w:pPr>
      <w:r>
        <w:t xml:space="preserve">Apply the guidance provided in ISO/IEC TR 24772-1:2019 clause 6.27.5</w:t>
      </w:r>
    </w:p>
    <w:p>
      <w:pPr>
        <w:numPr>
          <w:ilvl w:val="0"/>
          <w:numId w:val="1062"/>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2"/>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2"/>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63"/>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4"/>
        </w:numPr>
      </w:pPr>
      <w:r>
        <w:t xml:space="preserve">Declare loop variables in the initializer of the loop statement</w:t>
      </w:r>
    </w:p>
    <w:p>
      <w:pPr>
        <w:numPr>
          <w:ilvl w:val="0"/>
          <w:numId w:val="1064"/>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5"/>
        </w:numPr>
      </w:pPr>
      <w:r>
        <w:t xml:space="preserve">Apply the guidance of ISO/IEC TR 24772-1:2019 clause 6.29.5.</w:t>
      </w:r>
    </w:p>
    <w:p>
      <w:pPr>
        <w:numPr>
          <w:ilvl w:val="0"/>
          <w:numId w:val="1065"/>
        </w:numPr>
      </w:pPr>
      <w:r>
        <w:t xml:space="preserve">Do not modify a loop control variable within a loop.</w:t>
      </w:r>
    </w:p>
    <w:p>
      <w:pPr>
        <w:numPr>
          <w:ilvl w:val="0"/>
          <w:numId w:val="1065"/>
        </w:numPr>
      </w:pPr>
      <w:r>
        <w:t xml:space="preserve">Use a range-for loop in preference to general loops.</w:t>
      </w:r>
    </w:p>
    <w:p>
      <w:pPr>
        <w:numPr>
          <w:ilvl w:val="0"/>
          <w:numId w:val="1065"/>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6"/>
        </w:numPr>
      </w:pPr>
      <w:r>
        <w:t xml:space="preserve">Range-based for loops</w:t>
      </w:r>
    </w:p>
    <w:p>
      <w:pPr>
        <w:numPr>
          <w:ilvl w:val="0"/>
          <w:numId w:val="1066"/>
        </w:numPr>
      </w:pPr>
      <w:r>
        <w:rPr>
          <w:rStyle w:val="NormalTok"/>
        </w:rPr>
        <w:t xml:space="preserve">std</w:t>
      </w:r>
      <w:r>
        <w:t xml:space="preserve"> </w:t>
      </w:r>
      <w:r>
        <w:t xml:space="preserve">algorithms</w:t>
      </w:r>
    </w:p>
    <w:p>
      <w:pPr>
        <w:numPr>
          <w:ilvl w:val="0"/>
          <w:numId w:val="1066"/>
        </w:numPr>
      </w:pPr>
      <w:r>
        <w:t xml:space="preserve">Iterator style loops terminated by</w:t>
      </w:r>
      <w:r>
        <w:t xml:space="preserve"> </w:t>
      </w:r>
      <w:r>
        <w:rPr>
          <w:rStyle w:val="NormalTok"/>
        </w:rPr>
        <w:t xml:space="preserve">!=</w:t>
      </w:r>
    </w:p>
    <w:p>
      <w:pPr>
        <w:numPr>
          <w:ilvl w:val="0"/>
          <w:numId w:val="1066"/>
        </w:numPr>
      </w:pPr>
      <w:r>
        <w:t xml:space="preserve">Container classes</w:t>
      </w:r>
    </w:p>
    <w:p>
      <w:pPr>
        <w:numPr>
          <w:ilvl w:val="0"/>
          <w:numId w:val="1066"/>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7"/>
        </w:numPr>
      </w:pPr>
      <w:r>
        <w:t xml:space="preserve">Follow the guidance of ISO/IEC TR 24772-1:2019 clause 6.30.5.</w:t>
      </w:r>
    </w:p>
    <w:p>
      <w:pPr>
        <w:numPr>
          <w:ilvl w:val="0"/>
          <w:numId w:val="1067"/>
        </w:numPr>
      </w:pPr>
      <w:r>
        <w:t xml:space="preserve">Use careful programming, testing of border conditions, and static</w:t>
      </w:r>
      <w:r>
        <w:t xml:space="preserve"> </w:t>
      </w:r>
      <w:r>
        <w:t xml:space="preserve">analysis tools to detect off-by-one errors in C++.</w:t>
      </w:r>
    </w:p>
    <w:p>
      <w:pPr>
        <w:numPr>
          <w:ilvl w:val="0"/>
          <w:numId w:val="1067"/>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8"/>
        </w:numPr>
      </w:pPr>
      <w:r>
        <w:t xml:space="preserve">Write clear and concise structured code to make code as</w:t>
      </w:r>
      <w:r>
        <w:t xml:space="preserve"> </w:t>
      </w:r>
      <w:r>
        <w:t xml:space="preserve">understandable as possible.</w:t>
      </w:r>
    </w:p>
    <w:p>
      <w:pPr>
        <w:numPr>
          <w:ilvl w:val="0"/>
          <w:numId w:val="1068"/>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9"/>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71"/>
        </w:numPr>
      </w:pPr>
      <w:r>
        <w:t xml:space="preserve">Follow the advice of ISO/IEC TR 24772-1:2019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2"/>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2"/>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2"/>
        </w:numPr>
      </w:pPr>
      <w:r>
        <w:t xml:space="preserve">Shift operators used for input and output: the result always refers</w:t>
      </w:r>
      <w:r>
        <w:t xml:space="preserve"> </w:t>
      </w:r>
      <w:r>
        <w:t xml:space="preserve">to the left parameter.</w:t>
      </w:r>
    </w:p>
    <w:p>
      <w:pPr>
        <w:numPr>
          <w:ilvl w:val="1"/>
          <w:numId w:val="1072"/>
        </w:numPr>
      </w:pPr>
      <w:r>
        <w:t xml:space="preserve">Prefix increment and decrement operators: the result always refers</w:t>
      </w:r>
      <w:r>
        <w:t xml:space="preserve"> </w:t>
      </w:r>
      <w:r>
        <w:t xml:space="preserve">to the parameter.</w:t>
      </w:r>
    </w:p>
    <w:p>
      <w:pPr>
        <w:numPr>
          <w:ilvl w:val="0"/>
          <w:numId w:val="1071"/>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7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73"/>
        </w:numPr>
      </w:pPr>
      <w:r>
        <w:t xml:space="preserve">Do not returning the address or reference of a local variable as the result of a</w:t>
      </w:r>
      <w:r>
        <w:t xml:space="preserve"> </w:t>
      </w:r>
      <w:r>
        <w:t xml:space="preserve">function call.</w:t>
      </w:r>
    </w:p>
    <w:p>
      <w:pPr>
        <w:numPr>
          <w:ilvl w:val="0"/>
          <w:numId w:val="107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73"/>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4"/>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5"/>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6"/>
        </w:numPr>
      </w:pPr>
      <w:r>
        <w:t xml:space="preserve">Follow the guidelines of ISO/IEC TR 24772-1:2019 clause 6.34.5.</w:t>
      </w:r>
    </w:p>
    <w:p>
      <w:pPr>
        <w:numPr>
          <w:ilvl w:val="0"/>
          <w:numId w:val="1076"/>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6"/>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7"/>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8"/>
        </w:numPr>
      </w:pPr>
      <w:r>
        <w:t xml:space="preserve">Follow the mitigation mechanisms of subclause 6.36.5 of ISO/IEC TR</w:t>
      </w:r>
      <w:r>
        <w:t xml:space="preserve"> </w:t>
      </w:r>
      <w:r>
        <w:t xml:space="preserve">24772-1:2019.</w:t>
      </w:r>
    </w:p>
    <w:p>
      <w:pPr>
        <w:numPr>
          <w:ilvl w:val="0"/>
          <w:numId w:val="1078"/>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8"/>
        </w:numPr>
      </w:pPr>
      <w:r>
        <w:t xml:space="preserve">Avoid error handling based on global state.</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8"/>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9"/>
        </w:numPr>
      </w:pPr>
      <w:r>
        <w:t xml:space="preserve">Follow the guidelines of ISO/IEC TR 24772-1:2019 clause 6.38.5.</w:t>
      </w:r>
    </w:p>
    <w:p>
      <w:pPr>
        <w:numPr>
          <w:ilvl w:val="0"/>
          <w:numId w:val="1079"/>
        </w:numPr>
      </w:pPr>
      <w:r>
        <w:t xml:space="preserve">When using unions, implement an explicit discriminant and check its</w:t>
      </w:r>
      <w:r>
        <w:t xml:space="preserve"> </w:t>
      </w:r>
      <w:r>
        <w:t xml:space="preserve">value before accessing the data in the union.</w:t>
      </w:r>
    </w:p>
    <w:p>
      <w:pPr>
        <w:numPr>
          <w:ilvl w:val="0"/>
          <w:numId w:val="1079"/>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9"/>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0"/>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0"/>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0"/>
        </w:numPr>
      </w:pPr>
      <w:r>
        <w:t xml:space="preserve">Avoid the use of raw pointers with the copy operation and (finish or</w:t>
      </w:r>
      <w:r>
        <w:t xml:space="preserve"> </w:t>
      </w:r>
      <w:r>
        <w:t xml:space="preserve">delete)</w:t>
      </w:r>
    </w:p>
    <w:p>
      <w:pPr>
        <w:numPr>
          <w:ilvl w:val="0"/>
          <w:numId w:val="1080"/>
        </w:numPr>
      </w:pPr>
      <w:r>
        <w:t xml:space="preserve">Follow the guidance of C++ core guidelines C.20, C.22, C.32, C.67</w:t>
      </w:r>
    </w:p>
    <w:p>
      <w:pPr>
        <w:numPr>
          <w:ilvl w:val="0"/>
          <w:numId w:val="1080"/>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1"/>
        </w:numPr>
      </w:pPr>
      <w:r>
        <w:t xml:space="preserve">When an unhandled exception escapes its thread of execution</w:t>
      </w:r>
    </w:p>
    <w:p>
      <w:pPr>
        <w:numPr>
          <w:ilvl w:val="0"/>
          <w:numId w:val="1081"/>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2"/>
        </w:numPr>
      </w:pPr>
      <w:r>
        <w:t xml:space="preserve">Use containers and smart pointers in preference to direct (manual)</w:t>
      </w:r>
      <w:r>
        <w:t xml:space="preserve"> </w:t>
      </w:r>
      <w:r>
        <w:t xml:space="preserve">memory management.</w:t>
      </w:r>
    </w:p>
    <w:p>
      <w:pPr>
        <w:numPr>
          <w:ilvl w:val="0"/>
          <w:numId w:val="1082"/>
        </w:numPr>
      </w:pPr>
      <w:r>
        <w:t xml:space="preserve">Follow C++ Core guidelines section R and CERT MEM51.</w:t>
      </w:r>
    </w:p>
    <w:p>
      <w:pPr>
        <w:numPr>
          <w:ilvl w:val="0"/>
          <w:numId w:val="1082"/>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2"/>
        </w:numPr>
      </w:pPr>
      <w:r>
        <w:t xml:space="preserve">Use dynamic analysis tools to detect cycles.</w:t>
      </w:r>
    </w:p>
    <w:p>
      <w:pPr>
        <w:numPr>
          <w:ilvl w:val="0"/>
          <w:numId w:val="1082"/>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2"/>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2"/>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3"/>
        </w:numPr>
      </w:pPr>
      <w:r>
        <w:t xml:space="preserve">They provide type safe generic in contrast to legacy void*-based or</w:t>
      </w:r>
      <w:r>
        <w:t xml:space="preserve"> </w:t>
      </w:r>
      <w:r>
        <w:t xml:space="preserve">macro-based genericity;</w:t>
      </w:r>
    </w:p>
    <w:p>
      <w:pPr>
        <w:numPr>
          <w:ilvl w:val="0"/>
          <w:numId w:val="1083"/>
        </w:numPr>
      </w:pPr>
      <w:r>
        <w:t xml:space="preserve">They have no runtime overhead for inline operations; and</w:t>
      </w:r>
    </w:p>
    <w:p>
      <w:pPr>
        <w:numPr>
          <w:ilvl w:val="0"/>
          <w:numId w:val="1083"/>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4"/>
        </w:numPr>
      </w:pPr>
      <w:r>
        <w:t xml:space="preserve">The program compiles and executes safely;</w:t>
      </w:r>
    </w:p>
    <w:p>
      <w:pPr>
        <w:numPr>
          <w:ilvl w:val="0"/>
          <w:numId w:val="1084"/>
        </w:numPr>
      </w:pPr>
      <w:r>
        <w:t xml:space="preserve">The program fails to compile; or</w:t>
      </w:r>
    </w:p>
    <w:p>
      <w:pPr>
        <w:numPr>
          <w:ilvl w:val="0"/>
          <w:numId w:val="1084"/>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5"/>
        </w:numPr>
      </w:pPr>
      <w:r>
        <w:t xml:space="preserve">the first template argument must be a forward iterator.</w:t>
      </w:r>
    </w:p>
    <w:p>
      <w:pPr>
        <w:numPr>
          <w:ilvl w:val="0"/>
          <w:numId w:val="1085"/>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6"/>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7"/>
        </w:numPr>
      </w:pPr>
      <w:r>
        <w:t xml:space="preserve">Consider using</w:t>
      </w:r>
      <w:r>
        <w:t xml:space="preserve"> </w:t>
      </w:r>
      <w:r>
        <w:rPr>
          <w:i/>
        </w:rPr>
        <w:t xml:space="preserve">concepts</w:t>
      </w:r>
      <w:r>
        <w:t xml:space="preserve"> </w:t>
      </w:r>
      <w:r>
        <w:t xml:space="preserve">for each template type parameter</w:t>
      </w:r>
    </w:p>
    <w:p>
      <w:pPr>
        <w:numPr>
          <w:ilvl w:val="0"/>
          <w:numId w:val="1087"/>
        </w:numPr>
        <w:pStyle w:val="SourceCode"/>
      </w:pPr>
      <w:r>
        <w:rPr>
          <w:rStyle w:val="VerbatimChar"/>
        </w:rPr>
        <w:t xml:space="preserve">  Create and use concepts that specify "meaningful" semantics</w:t>
      </w:r>
    </w:p>
    <w:p>
      <w:pPr>
        <w:numPr>
          <w:ilvl w:val="0"/>
          <w:numId w:val="1087"/>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7"/>
        </w:numPr>
      </w:pPr>
      <w:r>
        <w:t xml:space="preserve">Be aware that a constructor template or assignment operator function</w:t>
      </w:r>
      <w:r>
        <w:t xml:space="preserve"> </w:t>
      </w:r>
      <w:r>
        <w:t xml:space="preserve">template will not replace compiler-provided special member functions</w:t>
      </w:r>
    </w:p>
    <w:p>
      <w:pPr>
        <w:numPr>
          <w:ilvl w:val="0"/>
          <w:numId w:val="1087"/>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8"/>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9"/>
        </w:numPr>
      </w:pPr>
      <w:r>
        <w:t xml:space="preserve">For template specialization, declared the specialization:</w:t>
      </w:r>
    </w:p>
    <w:p>
      <w:pPr>
        <w:numPr>
          <w:ilvl w:val="1"/>
          <w:numId w:val="1090"/>
        </w:numPr>
      </w:pPr>
      <w:r>
        <w:t xml:space="preserve">In the same file as the primary template; or</w:t>
      </w:r>
    </w:p>
    <w:p>
      <w:pPr>
        <w:numPr>
          <w:ilvl w:val="1"/>
          <w:numId w:val="1090"/>
        </w:numPr>
      </w:pPr>
      <w:r>
        <w:t xml:space="preserve">In the same file as the user-defined type for which the</w:t>
      </w:r>
      <w:r>
        <w:t xml:space="preserve"> </w:t>
      </w:r>
      <w:r>
        <w:t xml:space="preserve">specialization is declared.</w:t>
      </w:r>
    </w:p>
    <w:p>
      <w:pPr>
        <w:numPr>
          <w:ilvl w:val="0"/>
          <w:numId w:val="1089"/>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2"/>
        </w:numPr>
        <w:pStyle w:val="SourceCode"/>
      </w:pPr>
      <w:r>
        <w:rPr>
          <w:rStyle w:val="VerbatimChar"/>
        </w:rPr>
        <w:t xml:space="preserve">  reduce the use of inheritance</w:t>
      </w:r>
    </w:p>
    <w:p>
      <w:pPr>
        <w:numPr>
          <w:ilvl w:val="0"/>
          <w:numId w:val="109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7"/>
        </w:numPr>
      </w:pPr>
      <w:r>
        <w:t xml:space="preserve">Guidance: Keep inheritance hierarchies short</w:t>
      </w:r>
    </w:p>
    <w:p>
      <w:pPr>
        <w:numPr>
          <w:ilvl w:val="0"/>
          <w:numId w:val="1097"/>
        </w:numPr>
      </w:pPr>
      <w:r>
        <w:t xml:space="preserve">Guidance: Qualify the program to invoke member functions in explicit</w:t>
      </w:r>
      <w:r>
        <w:t xml:space="preserve"> </w:t>
      </w:r>
      <w:r>
        <w:t xml:space="preserve">parent classes.</w:t>
      </w:r>
    </w:p>
    <w:p>
      <w:pPr>
        <w:numPr>
          <w:ilvl w:val="0"/>
          <w:numId w:val="109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8"/>
        </w:numPr>
      </w:pPr>
      <w:r>
        <w:t xml:space="preserve">Follow the guidance of ISO/IEC TR 24772-1:2019 clause 41.5.</w:t>
      </w:r>
    </w:p>
    <w:p>
      <w:pPr>
        <w:numPr>
          <w:ilvl w:val="0"/>
          <w:numId w:val="1098"/>
        </w:numPr>
      </w:pPr>
      <w:r>
        <w:t xml:space="preserve">Avoid the use of multiple inheritance whenever possible.</w:t>
      </w:r>
    </w:p>
    <w:p>
      <w:pPr>
        <w:numPr>
          <w:ilvl w:val="0"/>
          <w:numId w:val="1098"/>
        </w:numPr>
      </w:pPr>
      <w:r>
        <w:t xml:space="preserve">Avoid access to data components when getting and setting functions</w:t>
      </w:r>
      <w:r>
        <w:t xml:space="preserve"> </w:t>
      </w:r>
      <w:r>
        <w:t xml:space="preserve">are available for them.</w:t>
      </w:r>
    </w:p>
    <w:p>
      <w:pPr>
        <w:numPr>
          <w:ilvl w:val="0"/>
          <w:numId w:val="1098"/>
        </w:numPr>
      </w:pPr>
      <w:r>
        <w:t xml:space="preserve">Keep inheritance hierarchies short and narrow</w:t>
      </w:r>
    </w:p>
    <w:p>
      <w:pPr>
        <w:numPr>
          <w:ilvl w:val="0"/>
          <w:numId w:val="1098"/>
        </w:numPr>
      </w:pPr>
      <w:r>
        <w:t xml:space="preserve">Prefer non-virtual functions to virtual functions</w:t>
      </w:r>
    </w:p>
    <w:p>
      <w:pPr>
        <w:numPr>
          <w:ilvl w:val="0"/>
          <w:numId w:val="109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8"/>
        </w:numPr>
      </w:pPr>
      <w:r>
        <w:t xml:space="preserve">If any class invariant depends upon a value of a data member, then</w:t>
      </w:r>
      <w:r>
        <w:t xml:space="preserve"> </w:t>
      </w:r>
      <w:r>
        <w:t xml:space="preserve">make that member private</w:t>
      </w:r>
    </w:p>
    <w:p>
      <w:pPr>
        <w:numPr>
          <w:ilvl w:val="0"/>
          <w:numId w:val="1098"/>
        </w:numPr>
      </w:pPr>
      <w:r>
        <w:t xml:space="preserve">Make data members private and provide a public interface to access</w:t>
      </w:r>
      <w:r>
        <w:t xml:space="preserve"> </w:t>
      </w:r>
      <w:r>
        <w:t xml:space="preserve">them that preserves class invariants</w:t>
      </w:r>
    </w:p>
    <w:p>
      <w:pPr>
        <w:numPr>
          <w:ilvl w:val="0"/>
          <w:numId w:val="1098"/>
        </w:numPr>
      </w:pPr>
      <w:r>
        <w:t xml:space="preserve">Provide complete documentation of all encapsulated data, and how</w:t>
      </w:r>
      <w:r>
        <w:t xml:space="preserve"> </w:t>
      </w:r>
      <w:r>
        <w:t xml:space="preserve">each method affects that data for each object in the hierarchy.</w:t>
      </w:r>
    </w:p>
    <w:p>
      <w:pPr>
        <w:numPr>
          <w:ilvl w:val="0"/>
          <w:numId w:val="109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8"/>
        </w:numPr>
      </w:pPr>
      <w:r>
        <w:t xml:space="preserve">Provide a member function that provides versioning information for</w:t>
      </w:r>
      <w:r>
        <w:t xml:space="preserve"> </w:t>
      </w:r>
      <w:r>
        <w:t xml:space="preserve">each class.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8"/>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9"/>
        </w:numPr>
      </w:pPr>
      <w:r>
        <w:t xml:space="preserve">Obey all preconditions and postconditions of each member function,</w:t>
      </w:r>
      <w:r>
        <w:t xml:space="preserve"> </w:t>
      </w:r>
      <w:r>
        <w:t xml:space="preserve">whether they are specified in the language or not.</w:t>
      </w:r>
    </w:p>
    <w:p>
      <w:pPr>
        <w:numPr>
          <w:ilvl w:val="0"/>
          <w:numId w:val="1099"/>
        </w:numPr>
      </w:pPr>
      <w:r>
        <w:t xml:space="preserve">Prohibit the strengthening of preconditions (specified or not) by</w:t>
      </w:r>
      <w:r>
        <w:t xml:space="preserve"> </w:t>
      </w:r>
      <w:r>
        <w:t xml:space="preserve">overriding member functions.</w:t>
      </w:r>
    </w:p>
    <w:p>
      <w:pPr>
        <w:numPr>
          <w:ilvl w:val="0"/>
          <w:numId w:val="1099"/>
        </w:numPr>
      </w:pPr>
      <w:r>
        <w:t xml:space="preserve">Prohibit the weakening of postconditions (specified or not) by</w:t>
      </w:r>
      <w:r>
        <w:t xml:space="preserve"> </w:t>
      </w:r>
      <w:r>
        <w:t xml:space="preserve">overriding member functions.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9"/>
        </w:numPr>
      </w:pPr>
      <w:r>
        <w:t xml:space="preserve">Use static analysis tools that identify misuse of inheritance in the</w:t>
      </w:r>
      <w:r>
        <w:t xml:space="preserve"> </w:t>
      </w:r>
      <w:r>
        <w:t xml:space="preserve">contract model.</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0"/>
        </w:numPr>
      </w:pPr>
      <w:r>
        <w:t xml:space="preserve">At a call site, consider whether virtual dispatch is desired. If</w:t>
      </w:r>
      <w:r>
        <w:t xml:space="preserve"> </w:t>
      </w:r>
      <w:r>
        <w:t xml:space="preserve">not, construct the call using the qualified name.</w:t>
      </w:r>
    </w:p>
    <w:p>
      <w:pPr>
        <w:numPr>
          <w:ilvl w:val="0"/>
          <w:numId w:val="110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2"/>
        </w:numPr>
      </w:pPr>
      <w:r>
        <w:t xml:space="preserve">are the only ones that can be performed implicitly</w:t>
      </w:r>
    </w:p>
    <w:p>
      <w:pPr>
        <w:numPr>
          <w:ilvl w:val="0"/>
          <w:numId w:val="1102"/>
        </w:numPr>
      </w:pPr>
      <w:r>
        <w:t xml:space="preserve">can cause object slicing</w:t>
      </w:r>
      <w:r>
        <w:t xml:space="preserve"> </w:t>
      </w:r>
      <w:r>
        <w:t xml:space="preserve">when a copy of a base class object is created from a derived class object.</w:t>
      </w:r>
    </w:p>
    <w:p>
      <w:pPr>
        <w:numPr>
          <w:ilvl w:val="0"/>
          <w:numId w:val="110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3"/>
        </w:numPr>
      </w:pPr>
      <w:r>
        <w:t xml:space="preserve">are explicit;</w:t>
      </w:r>
    </w:p>
    <w:p>
      <w:pPr>
        <w:numPr>
          <w:ilvl w:val="0"/>
          <w:numId w:val="1103"/>
        </w:numPr>
      </w:pPr>
      <w:r>
        <w:t xml:space="preserve">can be done safely with</w:t>
      </w:r>
      <w:r>
        <w:t xml:space="preserve"> </w:t>
      </w:r>
      <w:r>
        <w:rPr>
          <w:rStyle w:val="KeywordTok"/>
        </w:rPr>
        <w:t xml:space="preserve">dynamic_cast</w:t>
      </w:r>
    </w:p>
    <w:p>
      <w:pPr>
        <w:numPr>
          <w:ilvl w:val="0"/>
          <w:numId w:val="110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4"/>
        </w:numPr>
      </w:pPr>
      <w:r>
        <w:t xml:space="preserve">are explicit</w:t>
      </w:r>
    </w:p>
    <w:p>
      <w:pPr>
        <w:numPr>
          <w:ilvl w:val="0"/>
          <w:numId w:val="110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5"/>
        </w:numPr>
      </w:pPr>
      <w:r>
        <w:t xml:space="preserve">Follow the advice provided in ISO/IEC 24772-1 clause 6.44.5.</w:t>
      </w:r>
    </w:p>
    <w:p>
      <w:pPr>
        <w:numPr>
          <w:ilvl w:val="0"/>
          <w:numId w:val="110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5"/>
        </w:numPr>
      </w:pPr>
      <w:r>
        <w:t xml:space="preserve">Avoid designs relying on downcasts or crosscasts;</w:t>
      </w:r>
      <w:r>
        <w:t xml:space="preserve"> </w:t>
      </w:r>
      <w:r>
        <w:t xml:space="preserve">rely on proper virtual member functions in the base classes instead.</w:t>
      </w:r>
    </w:p>
    <w:p>
      <w:pPr>
        <w:numPr>
          <w:ilvl w:val="0"/>
          <w:numId w:val="1105"/>
        </w:numPr>
      </w:pPr>
      <w:r>
        <w:t xml:space="preserve">Avoid explicit upcast, rely on implicit conversion.</w:t>
      </w:r>
    </w:p>
    <w:p>
      <w:pPr>
        <w:numPr>
          <w:ilvl w:val="0"/>
          <w:numId w:val="110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5"/>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7"/>
        </w:numPr>
      </w:pPr>
      <w:r>
        <w:t xml:space="preserve">Follow the guidelines of ISO/IEC TR 24772-1 clause 6.47.5.</w:t>
      </w:r>
    </w:p>
    <w:p>
      <w:pPr>
        <w:numPr>
          <w:ilvl w:val="0"/>
          <w:numId w:val="110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8"/>
        </w:numPr>
      </w:pPr>
      <w:r>
        <w:t xml:space="preserve">Follow the guidance contained in ISO/IEC TR 24772-1:2019 clause</w:t>
      </w:r>
      <w:r>
        <w:t xml:space="preserve"> </w:t>
      </w:r>
      <w:r>
        <w:t xml:space="preserve">6.47.5</w:t>
      </w:r>
    </w:p>
    <w:p>
      <w:pPr>
        <w:numPr>
          <w:ilvl w:val="0"/>
          <w:numId w:val="1108"/>
        </w:numPr>
      </w:pPr>
      <w:r>
        <w:t xml:space="preserve">Use standard layout types for the interoperable interfaces.</w:t>
      </w:r>
    </w:p>
    <w:p>
      <w:pPr>
        <w:numPr>
          <w:ilvl w:val="1"/>
          <w:numId w:val="110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8"/>
        </w:numPr>
      </w:pPr>
      <w:r>
        <w:t xml:space="preserve">Be aware that C++ exceptions are not usually compatible with</w:t>
      </w:r>
      <w:r>
        <w:t xml:space="preserve"> </w:t>
      </w:r>
      <w:r>
        <w:t xml:space="preserve">exceptions in other languages.</w:t>
      </w:r>
    </w:p>
    <w:p>
      <w:pPr>
        <w:numPr>
          <w:ilvl w:val="0"/>
          <w:numId w:val="110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0"/>
        </w:numPr>
      </w:pPr>
      <w:r>
        <w:t xml:space="preserve">Follow the guidance of ISO/IEC TR 24772-1:2019 clause 6.49.5.</w:t>
      </w:r>
    </w:p>
    <w:p>
      <w:pPr>
        <w:numPr>
          <w:ilvl w:val="0"/>
          <w:numId w:val="111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1"/>
        </w:numPr>
      </w:pPr>
      <w:r>
        <w:t xml:space="preserve">Follow the advice of clause 6.36.2 for catching and handling</w:t>
      </w:r>
      <w:r>
        <w:t xml:space="preserve"> </w:t>
      </w:r>
      <w:r>
        <w:t xml:space="preserve">exceptions.</w:t>
      </w:r>
    </w:p>
    <w:p>
      <w:pPr>
        <w:numPr>
          <w:ilvl w:val="0"/>
          <w:numId w:val="1111"/>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2"/>
        </w:numPr>
      </w:pPr>
      <w:r>
        <w:t xml:space="preserve">If a function-like macro must be used, ensure that its</w:t>
      </w:r>
      <w:r>
        <w:t xml:space="preserve"> </w:t>
      </w:r>
      <w:r>
        <w:t xml:space="preserve">parameters and body are parenthesized.</w:t>
      </w:r>
    </w:p>
    <w:p>
      <w:pPr>
        <w:numPr>
          <w:ilvl w:val="0"/>
          <w:numId w:val="1112"/>
        </w:numPr>
      </w:pPr>
      <w:r>
        <w:t xml:space="preserve">In a function-like macro, ensure that each argument is evaluated at</w:t>
      </w:r>
      <w:r>
        <w:t xml:space="preserve"> </w:t>
      </w:r>
      <w:r>
        <w:t xml:space="preserve">most once.</w:t>
      </w:r>
    </w:p>
    <w:p>
      <w:pPr>
        <w:numPr>
          <w:ilvl w:val="0"/>
          <w:numId w:val="111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3"/>
        </w:numPr>
      </w:pPr>
      <w:r>
        <w:t xml:space="preserve">Follow the guidelines of ISO/IEC TR 24772-1:2019 clause 6.53.5.</w:t>
      </w:r>
    </w:p>
    <w:p>
      <w:pPr>
        <w:numPr>
          <w:ilvl w:val="0"/>
          <w:numId w:val="1113"/>
        </w:numPr>
      </w:pPr>
      <w:r>
        <w:t xml:space="preserve">Enable checks that warn about unsafe operations.</w:t>
      </w:r>
    </w:p>
    <w:p>
      <w:pPr>
        <w:numPr>
          <w:ilvl w:val="0"/>
          <w:numId w:val="111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5"/>
        </w:numPr>
      </w:pPr>
      <w:r>
        <w:t xml:space="preserve">Follow the guidelines of ISO/IEC TR 24772-1:2019 clause 6.56.5.</w:t>
      </w:r>
    </w:p>
    <w:p>
      <w:pPr>
        <w:numPr>
          <w:ilvl w:val="0"/>
          <w:numId w:val="1115"/>
        </w:numPr>
      </w:pPr>
      <w:r>
        <w:t xml:space="preserve">Augment static analysis tool usage with runtime tools such as ASAN</w:t>
      </w:r>
      <w:r>
        <w:t xml:space="preserve"> </w:t>
      </w:r>
      <w:r>
        <w:t xml:space="preserve">(address sanitizer) and related tools.</w:t>
      </w:r>
    </w:p>
    <w:p>
      <w:pPr>
        <w:numPr>
          <w:ilvl w:val="0"/>
          <w:numId w:val="1115"/>
        </w:numPr>
      </w:pPr>
      <w:r>
        <w:t xml:space="preserve">Use static analysis tools to help identify occurrences of undefined</w:t>
      </w:r>
      <w:r>
        <w:t xml:space="preserve"> </w:t>
      </w:r>
      <w:r>
        <w:t xml:space="preserve">behaviour.</w:t>
      </w:r>
    </w:p>
    <w:p>
      <w:pPr>
        <w:numPr>
          <w:ilvl w:val="0"/>
          <w:numId w:val="111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6"/>
        </w:numPr>
      </w:pPr>
      <w:r>
        <w:t xml:space="preserve">Follow the guidelines of ISO/IEC TR 24772-1:2019 clause 6.57.5.</w:t>
      </w:r>
    </w:p>
    <w:p>
      <w:pPr>
        <w:numPr>
          <w:ilvl w:val="0"/>
          <w:numId w:val="111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6"/>
        </w:numPr>
      </w:pPr>
      <w:r>
        <w:t xml:space="preserve">Use multiple compilers/tools to increase your chance of identifying</w:t>
      </w:r>
      <w:r>
        <w:t xml:space="preserve"> </w:t>
      </w:r>
      <w:r>
        <w:t xml:space="preserve">constructs that have implementation-defined behaviours.</w:t>
      </w:r>
    </w:p>
    <w:p>
      <w:pPr>
        <w:numPr>
          <w:ilvl w:val="0"/>
          <w:numId w:val="111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7"/>
        </w:numPr>
      </w:pPr>
      <w:r>
        <w:t xml:space="preserve">Follow the guidelines of ISO/IEC TR 24772-1 clause 6.58.5.</w:t>
      </w:r>
    </w:p>
    <w:p>
      <w:pPr>
        <w:numPr>
          <w:ilvl w:val="0"/>
          <w:numId w:val="1117"/>
        </w:numPr>
      </w:pPr>
      <w:r>
        <w:t xml:space="preserve">Enable compiler options or static analysis tools that identify the</w:t>
      </w:r>
      <w:r>
        <w:t xml:space="preserve"> </w:t>
      </w:r>
      <w:r>
        <w:t xml:space="preserve">use of deprecated features.</w:t>
      </w:r>
    </w:p>
    <w:p>
      <w:pPr>
        <w:numPr>
          <w:ilvl w:val="0"/>
          <w:numId w:val="111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8"/>
        </w:numPr>
        <w:pStyle w:val="Compact"/>
      </w:pPr>
      <w:r>
        <w:t xml:space="preserve">6.61 Concurrent Data Access,</w:t>
      </w:r>
    </w:p>
    <w:p>
      <w:pPr>
        <w:numPr>
          <w:ilvl w:val="0"/>
          <w:numId w:val="1118"/>
        </w:numPr>
        <w:pStyle w:val="Compact"/>
      </w:pPr>
      <w:r>
        <w:t xml:space="preserve">6.14 and 6.33 dangling of data reference, if data is passed to the thread function as reference or pointer, instead of passing a copy.</w:t>
      </w:r>
    </w:p>
    <w:p>
      <w:pPr>
        <w:numPr>
          <w:ilvl w:val="0"/>
          <w:numId w:val="111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9"/>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20"/>
        </w:numPr>
      </w:pPr>
      <w:r>
        <w:t xml:space="preserve">Follow the guidance of ISO/IEC TR 24772-1 clause 6.62.5.</w:t>
      </w:r>
    </w:p>
    <w:p>
      <w:pPr>
        <w:numPr>
          <w:ilvl w:val="0"/>
          <w:numId w:val="1120"/>
        </w:numPr>
      </w:pPr>
      <w:r>
        <w:t xml:space="preserve">Use mutexes, condition variables (convar) in preference to atomic</w:t>
      </w:r>
      <w:r>
        <w:t xml:space="preserve"> </w:t>
      </w:r>
      <w:r>
        <w:t xml:space="preserve">variables to protect data from simultaneous access.</w:t>
      </w:r>
    </w:p>
    <w:p>
      <w:pPr>
        <w:numPr>
          <w:ilvl w:val="0"/>
          <w:numId w:val="1120"/>
        </w:numPr>
      </w:pPr>
      <w:r>
        <w:t xml:space="preserve">Use volatile only for synchronizing abstract machine state from</w:t>
      </w:r>
      <w:r>
        <w:t xml:space="preserve"> </w:t>
      </w:r>
      <w:r>
        <w:t xml:space="preserve">memory.</w:t>
      </w:r>
    </w:p>
    <w:p>
      <w:pPr>
        <w:numPr>
          <w:ilvl w:val="0"/>
          <w:numId w:val="1120"/>
        </w:numPr>
      </w:pPr>
      <w:r>
        <w:t xml:space="preserve">Avoid the use of volatile for synchronizing access to shared memory</w:t>
      </w:r>
      <w:r>
        <w:t xml:space="preserve"> </w:t>
      </w:r>
      <w:r>
        <w:t xml:space="preserve">between threads (which needs mutex, condvar, or atomics)</w:t>
      </w:r>
    </w:p>
    <w:p>
      <w:pPr>
        <w:numPr>
          <w:ilvl w:val="1"/>
          <w:numId w:val="112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0"/>
        </w:numPr>
      </w:pPr>
      <w:r>
        <w:t xml:space="preserve">Avoid relaxed atomic operations whenever possible. Prefer the</w:t>
      </w:r>
      <w:r>
        <w:t xml:space="preserve"> </w:t>
      </w:r>
      <w:r>
        <w:t xml:space="preserve">sequentially consistent std::memory_order_seq_cst instead .</w:t>
      </w:r>
    </w:p>
    <w:p>
      <w:pPr>
        <w:numPr>
          <w:ilvl w:val="0"/>
          <w:numId w:val="1120"/>
        </w:numPr>
      </w:pPr>
      <w:r>
        <w:t xml:space="preserve">Use mutexes appropriately to protect accesses to non-atomic shared</w:t>
      </w:r>
      <w:r>
        <w:t xml:space="preserve"> </w:t>
      </w:r>
      <w:r>
        <w:t xml:space="preserve">objects.</w:t>
      </w:r>
    </w:p>
    <w:p>
      <w:pPr>
        <w:numPr>
          <w:ilvl w:val="0"/>
          <w:numId w:val="1120"/>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2"/>
        </w:numPr>
      </w:pPr>
      <w:r>
        <w:t xml:space="preserve">Follow the guidelines of TR 24772-1 clause 6.63.5.</w:t>
      </w:r>
    </w:p>
    <w:p>
      <w:pPr>
        <w:numPr>
          <w:ilvl w:val="0"/>
          <w:numId w:val="1122"/>
        </w:numPr>
      </w:pPr>
      <w:r>
        <w:t xml:space="preserve">Use low-level operating system primitives or other APIs where</w:t>
      </w:r>
      <w:r>
        <w:t xml:space="preserve"> </w:t>
      </w:r>
      <w:r>
        <w:t xml:space="preserve">available to check that a required thread is still active.</w:t>
      </w:r>
    </w:p>
    <w:p>
      <w:pPr>
        <w:numPr>
          <w:ilvl w:val="0"/>
          <w:numId w:val="1122"/>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3"/>
        </w:numPr>
      </w:pPr>
      <w:r>
        <w:t xml:space="preserve">Follow the guidelines of TR 24772-1 clause 6.63.5.</w:t>
      </w:r>
    </w:p>
    <w:p>
      <w:pPr>
        <w:numPr>
          <w:ilvl w:val="0"/>
          <w:numId w:val="112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3"/>
        </w:numPr>
      </w:pPr>
      <w:r>
        <w:t xml:space="preserve">Use higher level building blocks (such as TBB) in preference to …</w:t>
      </w:r>
    </w:p>
    <w:p>
      <w:pPr>
        <w:numPr>
          <w:ilvl w:val="0"/>
          <w:numId w:val="1123"/>
        </w:numPr>
      </w:pPr>
      <w:r>
        <w:t xml:space="preserve">Use the C++ Task mechanism in preference to threads …</w:t>
      </w:r>
    </w:p>
    <w:p>
      <w:pPr>
        <w:numPr>
          <w:ilvl w:val="0"/>
          <w:numId w:val="112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3"/>
        </w:numPr>
      </w:pPr>
      <w:r>
        <w:rPr>
          <w:i/>
          <w:b/>
        </w:rPr>
        <w:t xml:space="preserve">Do not use platform specific multi-threading facilities</w:t>
      </w:r>
    </w:p>
    <w:p>
      <w:pPr>
        <w:numPr>
          <w:ilvl w:val="0"/>
          <w:numId w:val="1123"/>
        </w:numPr>
      </w:pPr>
      <w:r>
        <w:rPr>
          <w:i/>
          <w:b/>
        </w:rPr>
        <w:t xml:space="preserve">A thread shall not access objects whose lifetime has expired</w:t>
      </w:r>
    </w:p>
    <w:p>
      <w:pPr>
        <w:numPr>
          <w:ilvl w:val="0"/>
          <w:numId w:val="1123"/>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3"/>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3"/>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3"/>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3"/>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3"/>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3"/>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3"/>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3"/>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3"/>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3"/>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3"/>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3"/>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3"/>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3"/>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3"/>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3"/>
        </w:numPr>
      </w:pPr>
      <w:r>
        <w:t xml:space="preserve">0.10.2 [36] Source CCG Rule CP.101: Distrust your</w:t>
      </w:r>
      <w:r>
        <w:t xml:space="preserve"> </w:t>
      </w:r>
      <w:r>
        <w:t xml:space="preserve">hardware/compiler combination</w:t>
      </w:r>
    </w:p>
    <w:p>
      <w:pPr>
        <w:numPr>
          <w:ilvl w:val="0"/>
          <w:numId w:val="1123"/>
        </w:numPr>
      </w:pPr>
      <w:r>
        <w:t xml:space="preserve">0.10.3 [37] Source CCG Rule CP.102: Carefully study the literature</w:t>
      </w:r>
    </w:p>
    <w:p>
      <w:pPr>
        <w:numPr>
          <w:ilvl w:val="0"/>
          <w:numId w:val="1123"/>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3"/>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3"/>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4"/>
        </w:numPr>
      </w:pPr>
      <w:r>
        <w:t xml:space="preserve">Do not cast-away</w:t>
      </w:r>
      <w:r>
        <w:t xml:space="preserve"> </w:t>
      </w:r>
      <w:r>
        <w:rPr>
          <w:rStyle w:val="AttributeTok"/>
        </w:rPr>
        <w:t xml:space="preserve">const</w:t>
      </w:r>
      <w:r>
        <w:t xml:space="preserve">.</w:t>
      </w:r>
    </w:p>
    <w:p>
      <w:pPr>
        <w:numPr>
          <w:ilvl w:val="0"/>
          <w:numId w:val="112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4"/>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5"/>
        </w:numPr>
        <w:pStyle w:val="SourceCode"/>
      </w:pPr>
      <w:r>
        <w:rPr>
          <w:rStyle w:val="VerbatimChar"/>
        </w:rPr>
        <w:t xml:space="preserve">Defining an array type that does automatic bounds checking.</w:t>
      </w:r>
    </w:p>
    <w:p>
      <w:pPr>
        <w:numPr>
          <w:ilvl w:val="0"/>
          <w:numId w:val="112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5"/>
        </w:numPr>
        <w:pStyle w:val="SourceCode"/>
      </w:pPr>
      <w:r>
        <w:rPr>
          <w:rStyle w:val="VerbatimChar"/>
        </w:rPr>
        <w:t xml:space="preserve">Defining an array type that does automatic bounds checking.</w:t>
      </w:r>
    </w:p>
    <w:p>
      <w:pPr>
        <w:numPr>
          <w:ilvl w:val="0"/>
          <w:numId w:val="112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5"/>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2022-04-19T17:06:27Z</dcterms:created>
  <dcterms:modified xsi:type="dcterms:W3CDTF">2022-04-19T17:06:27Z</dcterms:modified>
</cp:coreProperties>
</file>

<file path=docProps/custom.xml><?xml version="1.0" encoding="utf-8"?>
<Properties xmlns="http://schemas.openxmlformats.org/officeDocument/2006/custom-properties" xmlns:vt="http://schemas.openxmlformats.org/officeDocument/2006/docPropsVTypes"/>
</file>