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1"/>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1"/>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1"/>
        </w:numPr>
      </w:pPr>
      <w:r>
        <w:t xml:space="preserve">Do not create a bit-field of a signed type and size one.</w:t>
      </w:r>
    </w:p>
    <w:p>
      <w:pPr>
        <w:pStyle w:val="FirstParagraph"/>
      </w:pPr>
      <w:r>
        <w:t xml:space="preserve">See AUTOSAR A9-6-1</w:t>
      </w:r>
    </w:p>
    <w:p>
      <w:pPr>
        <w:numPr>
          <w:ilvl w:val="0"/>
          <w:numId w:val="1012"/>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2"/>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2"/>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3"/>
        </w:numPr>
      </w:pPr>
      <w:r>
        <w:t xml:space="preserve">Follow the general advice of ISO/IEC TR 24772-1:2019 clause 6.4.5</w:t>
      </w:r>
    </w:p>
    <w:p>
      <w:pPr>
        <w:numPr>
          <w:ilvl w:val="0"/>
          <w:numId w:val="1013"/>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3"/>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4"/>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5"/>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5"/>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5"/>
        </w:numPr>
        <w:pStyle w:val="SourceCode"/>
      </w:pPr>
      <w:r>
        <w:rPr>
          <w:rStyle w:val="VerbatimChar"/>
        </w:rPr>
        <w:t xml:space="preserve">  See MISRA C++ 28.5.5</w:t>
      </w:r>
    </w:p>
    <w:p>
      <w:pPr>
        <w:numPr>
          <w:ilvl w:val="0"/>
          <w:numId w:val="1014"/>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4"/>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6"/>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4"/>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4"/>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and type punning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1"/>
        </w:numPr>
      </w:pPr>
      <w:r>
        <w:t xml:space="preserve">Avoid widening the result of an arithmetic operation; prefer instead to widen the type of 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 using</w:t>
      </w:r>
      <w:r>
        <w:t xml:space="preserve"> </w:t>
      </w:r>
      <w:r>
        <w:rPr>
          <w:rStyle w:val="KeywordTok"/>
        </w:rPr>
        <w:t xml:space="preserve">auto</w:t>
      </w:r>
      <w:r>
        <w:t xml:space="preserve"> </w:t>
      </w:r>
      <w:r>
        <w:t xml:space="preserve">for the predefined types</w:t>
      </w:r>
      <w:r>
        <w:t xml:space="preserve"> </w:t>
      </w:r>
      <w:r>
        <w:t xml:space="preserve">it 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3"/>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3"/>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3"/>
        </w:numPr>
      </w:pPr>
      <w:r>
        <w:t xml:space="preserve">If C-style strings are used, follow the guidance of ISO/IEC 24772-3 clause 6.7.2.</w:t>
      </w:r>
    </w:p>
    <w:p>
      <w:pPr>
        <w:numPr>
          <w:ilvl w:val="0"/>
          <w:numId w:val="1023"/>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3"/>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0">
        <w:r>
          <w:rPr>
            <w:rStyle w:val="Hyperlink"/>
          </w:rPr>
          <w:t xml:space="preserve">SEI CTR50-CPP</w:t>
        </w:r>
      </w:hyperlink>
    </w:p>
    <w:p>
      <w:pPr>
        <w:numPr>
          <w:ilvl w:val="0"/>
          <w:numId w:val="1026"/>
        </w:numPr>
        <w:pStyle w:val="Compact"/>
      </w:pPr>
      <w:hyperlink r:id="rId51">
        <w:r>
          <w:rPr>
            <w:rStyle w:val="Hyperlink"/>
          </w:rPr>
          <w:t xml:space="preserve">SEI CTR53-CPP</w:t>
        </w:r>
      </w:hyperlink>
    </w:p>
    <w:p>
      <w:pPr>
        <w:numPr>
          <w:ilvl w:val="0"/>
          <w:numId w:val="1026"/>
        </w:numPr>
        <w:pStyle w:val="Compact"/>
      </w:pPr>
      <w:hyperlink r:id="rId52">
        <w:r>
          <w:rPr>
            <w:rStyle w:val="Hyperlink"/>
          </w:rPr>
          <w:t xml:space="preserve">SEI CTR55-CPP</w:t>
        </w:r>
      </w:hyperlink>
    </w:p>
    <w:p>
      <w:pPr>
        <w:numPr>
          <w:ilvl w:val="0"/>
          <w:numId w:val="1026"/>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7"/>
        </w:numPr>
      </w:pPr>
      <w:r>
        <w:t xml:space="preserve">Follow the advice provided in ISO/IEC 24772-1:2022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To model a fixed-size array, use a library class such as</w:t>
      </w:r>
      <w:r>
        <w:t xml:space="preserve"> </w:t>
      </w:r>
      <w:r>
        <w:rPr>
          <w:rStyle w:val="VerbatimChar"/>
        </w:rPr>
        <w:t xml:space="preserve">std::array</w:t>
      </w:r>
      <w:r>
        <w:t xml:space="preserve">.</w:t>
      </w:r>
    </w:p>
    <w:p>
      <w:pPr>
        <w:numPr>
          <w:ilvl w:val="0"/>
          <w:numId w:val="1027"/>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7"/>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7"/>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8"/>
        </w:numPr>
      </w:pPr>
      <w:r>
        <w:t xml:space="preserve">Follow the advice provided in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8"/>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9"/>
        </w:numPr>
      </w:pPr>
      <w:r>
        <w:t xml:space="preserve">Follow the advice provided in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30"/>
        </w:numPr>
      </w:pPr>
      <w:r>
        <w:t xml:space="preserve">Follow the advice provided in ISO/IEC TR 24772-1:2019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1"/>
        </w:numPr>
      </w:pPr>
      <w:r>
        <w:t xml:space="preserve">Follow the guidance of clause 6.8.2. with respect to ordinary pointer arithmetic of a pointer to object.</w:t>
      </w:r>
    </w:p>
    <w:p>
      <w:pPr>
        <w:numPr>
          <w:ilvl w:val="0"/>
          <w:numId w:val="1031"/>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1"/>
        </w:numPr>
      </w:pPr>
      <w:r>
        <w:t xml:space="preserve">Compare pointers of unknown realm with the standard library comparison function objects instead of relational operators.</w:t>
      </w:r>
    </w:p>
    <w:p>
      <w:pPr>
        <w:numPr>
          <w:ilvl w:val="0"/>
          <w:numId w:val="1031"/>
        </w:numPr>
      </w:pPr>
      <w:r>
        <w:t xml:space="preserve">Consider an outright ban on pointer arithmetic due to the</w:t>
      </w:r>
      <w:r>
        <w:t xml:space="preserve"> </w:t>
      </w:r>
      <w:r>
        <w:t xml:space="preserve">error-prone nature of pointer arithmetic.</w:t>
      </w:r>
    </w:p>
    <w:p>
      <w:pPr>
        <w:numPr>
          <w:ilvl w:val="0"/>
          <w:numId w:val="1031"/>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pointee?</w:t>
      </w:r>
    </w:p>
    <w:p>
      <w:pPr>
        <w:numPr>
          <w:ilvl w:val="0"/>
          <w:numId w:val="1032"/>
        </w:numPr>
        <w:pStyle w:val="Compact"/>
      </w:pPr>
      <w:r>
        <w:t xml:space="preserve">who has ownership of the pointee?</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3"/>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3"/>
        </w:numPr>
      </w:pPr>
      <w:r>
        <w:t xml:space="preserve">Use references to reduce the number of places where pointers are dereferenced.</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3"/>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3"/>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3"/>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4"/>
        </w:numPr>
      </w:pPr>
      <w:r>
        <w:t xml:space="preserve">References</w:t>
      </w:r>
    </w:p>
    <w:p>
      <w:pPr>
        <w:numPr>
          <w:ilvl w:val="0"/>
          <w:numId w:val="1034"/>
        </w:numPr>
      </w:pPr>
      <w:r>
        <w:t xml:space="preserve">Pointers</w:t>
      </w:r>
    </w:p>
    <w:p>
      <w:pPr>
        <w:numPr>
          <w:ilvl w:val="0"/>
          <w:numId w:val="1034"/>
        </w:numPr>
      </w:pPr>
      <w:r>
        <w:t xml:space="preserve">Iterators</w:t>
      </w:r>
    </w:p>
    <w:p>
      <w:pPr>
        <w:numPr>
          <w:ilvl w:val="0"/>
          <w:numId w:val="1034"/>
        </w:numPr>
      </w:pPr>
      <w:r>
        <w:rPr>
          <w:rStyle w:val="BuiltInTok"/>
        </w:rPr>
        <w:t xml:space="preserve">std::</w:t>
      </w:r>
      <w:r>
        <w:rPr>
          <w:rStyle w:val="NormalTok"/>
        </w:rPr>
        <w:t xml:space="preserve">string_view</w:t>
      </w:r>
    </w:p>
    <w:p>
      <w:pPr>
        <w:numPr>
          <w:ilvl w:val="0"/>
          <w:numId w:val="1034"/>
        </w:numPr>
      </w:pPr>
      <w:r>
        <w:rPr>
          <w:rStyle w:val="BuiltInTok"/>
        </w:rPr>
        <w:t xml:space="preserve">std::</w:t>
      </w:r>
      <w:r>
        <w:rPr>
          <w:rStyle w:val="NormalTok"/>
        </w:rPr>
        <w:t xml:space="preserve">span</w:t>
      </w:r>
    </w:p>
    <w:p>
      <w:pPr>
        <w:numPr>
          <w:ilvl w:val="0"/>
          <w:numId w:val="1034"/>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5"/>
        </w:numPr>
      </w:pPr>
      <w:r>
        <w:t xml:space="preserve">Do not rely on lifetime extension of temporaries by binding them to named references.</w:t>
      </w:r>
      <w:r>
        <w:t xml:space="preserve"> </w:t>
      </w:r>
      <w:r>
        <w:t xml:space="preserve">Use (local) variables instead.</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5"/>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5"/>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6"/>
        </w:numPr>
        <w:pStyle w:val="Compact"/>
      </w:pPr>
      <w:r>
        <w:t xml:space="preserve">Follow the advice of ISO/IEC TR 24772-1:2019 clause 6.16 *Using Shift Operations for Multiplication and Division [PIK].</w:t>
      </w:r>
    </w:p>
    <w:p>
      <w:pPr>
        <w:numPr>
          <w:ilvl w:val="0"/>
          <w:numId w:val="1036"/>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7"/>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7"/>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8"/>
        </w:numPr>
      </w:pPr>
      <w:r>
        <w:t xml:space="preserve">Follow the advice of ISO/IEC 24772-1 clause 6.18.</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39"/>
        </w:numPr>
      </w:pPr>
      <w:r>
        <w:t xml:space="preserve">Follow the guidance of ISO/IEC TR 24772-1:2019 clause 6.19.5.</w:t>
      </w:r>
    </w:p>
    <w:p>
      <w:pPr>
        <w:numPr>
          <w:ilvl w:val="0"/>
          <w:numId w:val="1039"/>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40"/>
        </w:numPr>
      </w:pPr>
      <w:r>
        <w:t xml:space="preserve">Follow the guidance of ISO/IEC TR 24772-1:2019 clause 6.20,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2"/>
        </w:numPr>
        <w:pStyle w:val="Compact"/>
      </w:pPr>
      <w:r>
        <w:t xml:space="preserve">Template specialization, where clause 6.40 [#SYM] applies;</w:t>
      </w:r>
    </w:p>
    <w:p>
      <w:pPr>
        <w:numPr>
          <w:ilvl w:val="0"/>
          <w:numId w:val="1042"/>
        </w:numPr>
        <w:pStyle w:val="Compact"/>
      </w:pPr>
      <w:r>
        <w:t xml:space="preserve">Overloading, where clause 6.20 [#YOW] applies;</w:t>
      </w:r>
    </w:p>
    <w:p>
      <w:pPr>
        <w:numPr>
          <w:ilvl w:val="0"/>
          <w:numId w:val="104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3"/>
        </w:numPr>
        <w:pStyle w:val="Compact"/>
      </w:pPr>
      <w:r>
        <w:t xml:space="preserve">an overload,</w:t>
      </w:r>
    </w:p>
    <w:p>
      <w:pPr>
        <w:numPr>
          <w:ilvl w:val="0"/>
          <w:numId w:val="1043"/>
        </w:numPr>
        <w:pStyle w:val="Compact"/>
      </w:pPr>
      <w:r>
        <w:t xml:space="preserve">a using directive,</w:t>
      </w:r>
    </w:p>
    <w:p>
      <w:pPr>
        <w:numPr>
          <w:ilvl w:val="0"/>
          <w:numId w:val="104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3"/>
        </w:numPr>
        <w:pStyle w:val="Compact"/>
      </w:pPr>
      <w:r>
        <w:t xml:space="preserve">a non-template function that is preferred to a function template,</w:t>
      </w:r>
    </w:p>
    <w:p>
      <w:pPr>
        <w:numPr>
          <w:ilvl w:val="0"/>
          <w:numId w:val="104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guidance-to-language-users"/>
    <w:p>
      <w:pPr>
        <w:pStyle w:val="Heading3"/>
      </w:pPr>
      <w:r>
        <w:t xml:space="preserve">6.21.2 Guidance to language users</w:t>
      </w:r>
    </w:p>
    <w:p>
      <w:pPr>
        <w:numPr>
          <w:ilvl w:val="0"/>
          <w:numId w:val="1044"/>
        </w:numPr>
      </w:pPr>
      <w:r>
        <w:t xml:space="preserve">Follow the guidance of clauses 6.20.2, 6.40.2, and 6.41.2 as applicable.</w:t>
      </w:r>
    </w:p>
    <w:p>
      <w:pPr>
        <w:numPr>
          <w:ilvl w:val="0"/>
          <w:numId w:val="1044"/>
        </w:numPr>
      </w:pPr>
      <w:r>
        <w:t xml:space="preserve">Consider using fully qualified names for calls that rely on an implicit conversions.</w:t>
      </w:r>
    </w:p>
    <w:p>
      <w:pPr>
        <w:numPr>
          <w:ilvl w:val="0"/>
          <w:numId w:val="1044"/>
        </w:numPr>
      </w:pPr>
      <w:r>
        <w:t xml:space="preserve">Arguments to called functions should not be subject to implicit conversions.</w:t>
      </w:r>
    </w:p>
    <w:p>
      <w:pPr>
        <w:numPr>
          <w:ilvl w:val="0"/>
          <w:numId w:val="1044"/>
        </w:numPr>
      </w:pPr>
      <w:r>
        <w:t xml:space="preserve">Prefer using declarations to using directives.</w:t>
      </w:r>
    </w:p>
    <w:p>
      <w:pPr>
        <w:numPr>
          <w:ilvl w:val="0"/>
          <w:numId w:val="1044"/>
        </w:numPr>
      </w:pPr>
      <w:r>
        <w:t xml:space="preserve">Do not overload and use default arguments for the same set of functions.</w:t>
      </w:r>
    </w:p>
    <w:p>
      <w:pPr>
        <w:numPr>
          <w:ilvl w:val="0"/>
          <w:numId w:val="1044"/>
        </w:numPr>
      </w:pPr>
      <w:r>
        <w:t xml:space="preserve">Do not specialize function templates.</w:t>
      </w:r>
    </w:p>
    <w:p>
      <w:pPr>
        <w:numPr>
          <w:ilvl w:val="0"/>
          <w:numId w:val="1044"/>
        </w:numPr>
      </w:pPr>
      <w:r>
        <w:t xml:space="preserve">For template specialization, ensure that specializations are declared as follows:</w:t>
      </w:r>
    </w:p>
    <w:p>
      <w:pPr>
        <w:numPr>
          <w:ilvl w:val="1"/>
          <w:numId w:val="1045"/>
        </w:numPr>
      </w:pPr>
      <w:r>
        <w:t xml:space="preserve">In the same file as the primary template; or</w:t>
      </w:r>
    </w:p>
    <w:p>
      <w:pPr>
        <w:numPr>
          <w:ilvl w:val="1"/>
          <w:numId w:val="1045"/>
        </w:numPr>
      </w:pPr>
      <w:r>
        <w:t xml:space="preserve">In the same file as the user-defined type for which the</w:t>
      </w:r>
      <w:r>
        <w:t xml:space="preserve"> </w:t>
      </w:r>
      <w:r>
        <w:t xml:space="preserve">specialization is declared.</w:t>
      </w:r>
    </w:p>
    <w:p>
      <w:pPr>
        <w:numPr>
          <w:ilvl w:val="0"/>
          <w:numId w:val="1044"/>
        </w:numPr>
      </w:pPr>
      <w:r>
        <w:t xml:space="preserve">Define an entity in only one file to prevent ODR-violations.</w:t>
      </w:r>
    </w:p>
    <w:p>
      <w:pPr>
        <w:numPr>
          <w:ilvl w:val="0"/>
          <w:numId w:val="1044"/>
        </w:numPr>
      </w:pPr>
      <w:r>
        <w:t xml:space="preserve">Ensure that no ODR-violations occur, i.e., through a static analysis tool.</w:t>
      </w:r>
    </w:p>
    <w:p>
      <w:pPr>
        <w:numPr>
          <w:ilvl w:val="0"/>
          <w:numId w:val="1044"/>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6"/>
        </w:numPr>
        <w:pStyle w:val="Compact"/>
      </w:pPr>
      <w:r>
        <w:t xml:space="preserve">Follow the guidance provided in ISO IEC 24772-1 subclause 6.22.5</w:t>
      </w:r>
    </w:p>
    <w:p>
      <w:pPr>
        <w:numPr>
          <w:ilvl w:val="0"/>
          <w:numId w:val="1046"/>
        </w:numPr>
        <w:pStyle w:val="Compact"/>
      </w:pPr>
      <w:r>
        <w:t xml:space="preserve">Initialize every object defined, including data members.</w:t>
      </w:r>
    </w:p>
    <w:p>
      <w:pPr>
        <w:numPr>
          <w:ilvl w:val="0"/>
          <w:numId w:val="1046"/>
        </w:numPr>
        <w:pStyle w:val="Compact"/>
      </w:pPr>
      <w:r>
        <w:t xml:space="preserve">Do not depend on the order of dynamic initialization of namespace-scope variables, unless the initialization order is guaranteed by the language.</w:t>
      </w:r>
    </w:p>
    <w:p>
      <w:pPr>
        <w:numPr>
          <w:ilvl w:val="0"/>
          <w:numId w:val="1046"/>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6"/>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 and</w:t>
      </w:r>
    </w:p>
    <w:p>
      <w:pPr>
        <w:numPr>
          <w:ilvl w:val="0"/>
          <w:numId w:val="104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8"/>
        </w:numPr>
      </w:pPr>
      <w:r>
        <w:t xml:space="preserve">Follow the guidance provided in ISO/IEC TR 24772-1:2019 Clause</w:t>
      </w:r>
      <w:r>
        <w:t xml:space="preserve"> </w:t>
      </w:r>
      <w:r>
        <w:t xml:space="preserve">6.23.5 [JCW].</w:t>
      </w:r>
    </w:p>
    <w:p>
      <w:pPr>
        <w:numPr>
          <w:ilvl w:val="0"/>
          <w:numId w:val="104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8"/>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9"/>
        </w:numPr>
      </w:pPr>
      <w:r>
        <w:t xml:space="preserve">Write accesses to objects in that expression,</w:t>
      </w:r>
    </w:p>
    <w:p>
      <w:pPr>
        <w:numPr>
          <w:ilvl w:val="0"/>
          <w:numId w:val="1049"/>
        </w:numPr>
      </w:pPr>
      <w:r>
        <w:t xml:space="preserve">Reading a volatile object,</w:t>
      </w:r>
    </w:p>
    <w:p>
      <w:pPr>
        <w:numPr>
          <w:ilvl w:val="0"/>
          <w:numId w:val="1049"/>
        </w:numPr>
      </w:pPr>
      <w:r>
        <w:t xml:space="preserve">Calling a library I/O function, and</w:t>
      </w:r>
    </w:p>
    <w:p>
      <w:pPr>
        <w:numPr>
          <w:ilvl w:val="0"/>
          <w:numId w:val="104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50"/>
        </w:numPr>
      </w:pPr>
      <w:r>
        <w:t xml:space="preserve">Follow the guidance provided in ISO/IEC TR 24772-1:2019 Clause</w:t>
      </w:r>
      <w:r>
        <w:t xml:space="preserve"> </w:t>
      </w:r>
      <w:r>
        <w:t xml:space="preserve">6.24.5.</w:t>
      </w:r>
    </w:p>
    <w:p>
      <w:pPr>
        <w:numPr>
          <w:ilvl w:val="0"/>
          <w:numId w:val="105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0"/>
        </w:numPr>
      </w:pPr>
      <w:r>
        <w:t xml:space="preserve">Avoid overloading logical operators (&amp;&amp; and ||), as these</w:t>
      </w:r>
      <w:r>
        <w:t xml:space="preserve"> </w:t>
      </w:r>
      <w:r>
        <w:t xml:space="preserve">overloaded versions will not short-circuit.</w:t>
      </w:r>
    </w:p>
    <w:p>
      <w:pPr>
        <w:numPr>
          <w:ilvl w:val="0"/>
          <w:numId w:val="105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0"/>
        </w:numPr>
      </w:pPr>
      <w:r>
        <w:t xml:space="preserve">Avoid placing multiple operations with side effects in a single</w:t>
      </w:r>
      <w:r>
        <w:t xml:space="preserve"> </w:t>
      </w:r>
      <w:r>
        <w:t xml:space="preserve">expression.</w:t>
      </w:r>
    </w:p>
    <w:p>
      <w:pPr>
        <w:numPr>
          <w:ilvl w:val="0"/>
          <w:numId w:val="1050"/>
        </w:numPr>
      </w:pPr>
      <w:r>
        <w:t xml:space="preserve">Write simple code expressions and statements so that within any</w:t>
      </w:r>
      <w:r>
        <w:t xml:space="preserve"> </w:t>
      </w:r>
      <w:r>
        <w:t xml:space="preserve">expression or statement an object is one of:</w:t>
      </w:r>
    </w:p>
    <w:p>
      <w:pPr>
        <w:numPr>
          <w:ilvl w:val="1"/>
          <w:numId w:val="1051"/>
        </w:numPr>
        <w:pStyle w:val="SourceCode"/>
      </w:pPr>
      <w:r>
        <w:rPr>
          <w:rStyle w:val="VerbatimChar"/>
        </w:rPr>
        <w:t xml:space="preserve">  Read from;</w:t>
      </w:r>
    </w:p>
    <w:p>
      <w:pPr>
        <w:numPr>
          <w:ilvl w:val="1"/>
          <w:numId w:val="1051"/>
        </w:numPr>
        <w:pStyle w:val="SourceCode"/>
      </w:pPr>
      <w:r>
        <w:rPr>
          <w:rStyle w:val="VerbatimChar"/>
        </w:rPr>
        <w:t xml:space="preserve">  Only modified once; or</w:t>
      </w:r>
    </w:p>
    <w:p>
      <w:pPr>
        <w:numPr>
          <w:ilvl w:val="1"/>
          <w:numId w:val="105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0"/>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3"/>
        </w:numPr>
      </w:pPr>
      <w:r>
        <w:t xml:space="preserve">Simplify expressions to aid in code readability and help future maintainers</w:t>
      </w:r>
      <w:r>
        <w:t xml:space="preserve"> </w:t>
      </w:r>
      <w:r>
        <w:t xml:space="preserve">understand the intent and nuances of the code. For example,</w:t>
      </w:r>
    </w:p>
    <w:p>
      <w:pPr>
        <w:numPr>
          <w:ilvl w:val="1"/>
          <w:numId w:val="1054"/>
        </w:numPr>
        <w:pStyle w:val="Compact"/>
      </w:pPr>
      <w:r>
        <w:t xml:space="preserve">by extracting intermediate results into const variables with a meaningful name, or</w:t>
      </w:r>
    </w:p>
    <w:p>
      <w:pPr>
        <w:numPr>
          <w:ilvl w:val="1"/>
          <w:numId w:val="1054"/>
        </w:numPr>
        <w:pStyle w:val="Compact"/>
      </w:pPr>
      <w:r>
        <w:t xml:space="preserve">by extracting a subexpression into a function with a meaningful name.</w:t>
      </w:r>
    </w:p>
    <w:p>
      <w:pPr>
        <w:numPr>
          <w:ilvl w:val="0"/>
          <w:numId w:val="1053"/>
        </w:numPr>
      </w:pPr>
      <w:r>
        <w:t xml:space="preserve">Avoid assignments embedded within other statements and expressions.</w:t>
      </w:r>
    </w:p>
    <w:p>
      <w:pPr>
        <w:numPr>
          <w:ilvl w:val="0"/>
          <w:numId w:val="1053"/>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3"/>
        </w:numPr>
      </w:pPr>
      <w:r>
        <w:t xml:space="preserve">Consider using alternative tokens for the logical operators.</w:t>
      </w:r>
    </w:p>
    <w:p>
      <w:pPr>
        <w:numPr>
          <w:ilvl w:val="0"/>
          <w:numId w:val="105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3"/>
        </w:numPr>
      </w:pPr>
      <w:r>
        <w:t xml:space="preserve">Do not have conflicting side-effects in sub-expressions.</w:t>
      </w:r>
    </w:p>
    <w:p>
      <w:pPr>
        <w:numPr>
          <w:ilvl w:val="0"/>
          <w:numId w:val="1053"/>
        </w:numPr>
      </w:pPr>
      <w:r>
        <w:t xml:space="preserve">Follow the following C++ Core guidelines:</w:t>
      </w:r>
    </w:p>
    <w:p>
      <w:pPr>
        <w:numPr>
          <w:ilvl w:val="1"/>
          <w:numId w:val="1055"/>
        </w:numPr>
        <w:pStyle w:val="Compact"/>
      </w:pPr>
      <w:r>
        <w:t xml:space="preserve">ES 40 Avoid complicated expressions</w:t>
      </w:r>
    </w:p>
    <w:p>
      <w:pPr>
        <w:numPr>
          <w:ilvl w:val="1"/>
          <w:numId w:val="1055"/>
        </w:numPr>
        <w:pStyle w:val="Compact"/>
      </w:pPr>
      <w:r>
        <w:t xml:space="preserve">ES 41 If in doubt about operator precedence, parenthesize</w:t>
      </w:r>
    </w:p>
    <w:p>
      <w:pPr>
        <w:numPr>
          <w:ilvl w:val="1"/>
          <w:numId w:val="1055"/>
        </w:numPr>
        <w:pStyle w:val="Compact"/>
      </w:pPr>
      <w:r>
        <w:t xml:space="preserve">ES 44 Do not depend on order of evaluation</w:t>
      </w:r>
    </w:p>
    <w:p>
      <w:pPr>
        <w:numPr>
          <w:ilvl w:val="0"/>
          <w:numId w:val="1053"/>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56"/>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7"/>
        </w:numPr>
      </w:pPr>
      <w:r>
        <w:t xml:space="preserve">Apply the guidance provided in ISO/IEC TR 24772-1:2019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8"/>
        </w:numPr>
      </w:pPr>
      <w:r>
        <w:t xml:space="preserve">Follow the rules provided in ISO/IEC TR 24772-1:2019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9"/>
        </w:numPr>
      </w:pPr>
      <w:r>
        <w:t xml:space="preserve">Apply the guidance of ISO/IEC TR 24772-1:2019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1"/>
        </w:numPr>
      </w:pPr>
      <w:r>
        <w:t xml:space="preserve">Follow the guidance of ISO/IEC TR 24772-1:2019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2"/>
        </w:numPr>
      </w:pPr>
      <w:r>
        <w:t xml:space="preserve">Follow the guidance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4"/>
        </w:numPr>
      </w:pPr>
      <w:r>
        <w:t xml:space="preserve">Follow the advice of ISO/IEC TR 24772-1:2019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6"/>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6"/>
        </w:numPr>
      </w:pPr>
      <w:r>
        <w:t xml:space="preserve">Do not returning the address or reference of a local variable as the result of a</w:t>
      </w:r>
      <w:r>
        <w:t xml:space="preserve"> </w:t>
      </w:r>
      <w:r>
        <w:t xml:space="preserve">function call.</w:t>
      </w:r>
    </w:p>
    <w:p>
      <w:pPr>
        <w:numPr>
          <w:ilvl w:val="0"/>
          <w:numId w:val="1066"/>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6"/>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9"/>
        </w:numPr>
      </w:pPr>
      <w:r>
        <w:t xml:space="preserve">Follow the guidelines of ISO/IEC TR 24772-1:2019 clause 6.34.5.</w:t>
      </w:r>
    </w:p>
    <w:p>
      <w:pPr>
        <w:numPr>
          <w:ilvl w:val="0"/>
          <w:numId w:val="1069"/>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0"/>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1"/>
        </w:numPr>
      </w:pPr>
      <w:r>
        <w:t xml:space="preserve">Follow the mitigation mechanisms of subclause 6.36.5 of ISO/IEC TR</w:t>
      </w:r>
      <w:r>
        <w:t xml:space="preserve"> </w:t>
      </w:r>
      <w:r>
        <w:t xml:space="preserve">24772-1:2019.</w:t>
      </w:r>
    </w:p>
    <w:p>
      <w:pPr>
        <w:numPr>
          <w:ilvl w:val="0"/>
          <w:numId w:val="1071"/>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1"/>
        </w:numPr>
      </w:pPr>
      <w:r>
        <w:t xml:space="preserve">Avoid error handling based on global state.</w:t>
      </w:r>
    </w:p>
    <w:p>
      <w:pPr>
        <w:numPr>
          <w:ilvl w:val="0"/>
          <w:numId w:val="1071"/>
        </w:numPr>
      </w:pPr>
      <w:r>
        <w:t xml:space="preserve">Use static analysis tools to detect and report missing or</w:t>
      </w:r>
      <w:r>
        <w:t xml:space="preserve"> </w:t>
      </w:r>
      <w:r>
        <w:t xml:space="preserve">ineffective error detection or handling.</w:t>
      </w:r>
    </w:p>
    <w:p>
      <w:pPr>
        <w:numPr>
          <w:ilvl w:val="0"/>
          <w:numId w:val="1071"/>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1"/>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1"/>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1"/>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1"/>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1"/>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2"/>
        </w:numPr>
      </w:pPr>
      <w:r>
        <w:t xml:space="preserve">Follow the guidelines of ISO/IEC TR 24772-1:2019 clause 6.38.5.</w:t>
      </w:r>
    </w:p>
    <w:p>
      <w:pPr>
        <w:numPr>
          <w:ilvl w:val="0"/>
          <w:numId w:val="1072"/>
        </w:numPr>
      </w:pPr>
      <w:r>
        <w:t xml:space="preserve">When using unions, implement an explicit discriminant and check its</w:t>
      </w:r>
      <w:r>
        <w:t xml:space="preserve"> </w:t>
      </w:r>
      <w:r>
        <w:t xml:space="preserve">value before accessing the data in the union.</w:t>
      </w:r>
    </w:p>
    <w:p>
      <w:pPr>
        <w:numPr>
          <w:ilvl w:val="0"/>
          <w:numId w:val="1072"/>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2"/>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3"/>
        </w:numPr>
      </w:pPr>
      <w:r>
        <w:t xml:space="preserve">Follow the guidance given in ISO/IEC 24772-1 clause 6.38.5.</w:t>
      </w:r>
    </w:p>
    <w:p>
      <w:pPr>
        <w:numPr>
          <w:ilvl w:val="0"/>
          <w:numId w:val="1073"/>
        </w:numPr>
      </w:pPr>
      <w:r>
        <w:t xml:space="preserve">Prefer to use and create value types.</w:t>
      </w:r>
    </w:p>
    <w:p>
      <w:pPr>
        <w:numPr>
          <w:ilvl w:val="0"/>
          <w:numId w:val="1073"/>
        </w:numPr>
      </w:pPr>
      <w:r>
        <w:t xml:space="preserve">Consider relationship types only when the lifetime of the referent can be ensured, and</w:t>
      </w:r>
    </w:p>
    <w:p>
      <w:pPr>
        <w:numPr>
          <w:ilvl w:val="1"/>
          <w:numId w:val="1074"/>
        </w:numPr>
        <w:pStyle w:val="Compact"/>
      </w:pPr>
      <w:r>
        <w:t xml:space="preserve">when reference semantics is required, e.g., for side effects, or</w:t>
      </w:r>
    </w:p>
    <w:p>
      <w:pPr>
        <w:numPr>
          <w:ilvl w:val="1"/>
          <w:numId w:val="1074"/>
        </w:numPr>
        <w:pStyle w:val="Compact"/>
      </w:pPr>
      <w:r>
        <w:t xml:space="preserve">when copying is prohibitively expensive.</w:t>
      </w:r>
    </w:p>
    <w:p>
      <w:pPr>
        <w:numPr>
          <w:ilvl w:val="0"/>
          <w:numId w:val="1073"/>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3"/>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3"/>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5"/>
        </w:numPr>
      </w:pPr>
      <w:r>
        <w:t xml:space="preserve">When an unhandled exception escapes its thread of execution</w:t>
      </w:r>
    </w:p>
    <w:p>
      <w:pPr>
        <w:numPr>
          <w:ilvl w:val="0"/>
          <w:numId w:val="1075"/>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6"/>
        </w:numPr>
      </w:pPr>
      <w:r>
        <w:t xml:space="preserve">Use containers and smart pointers in preference to direct (manual)</w:t>
      </w:r>
      <w:r>
        <w:t xml:space="preserve"> </w:t>
      </w:r>
      <w:r>
        <w:t xml:space="preserve">memory management.</w:t>
      </w:r>
    </w:p>
    <w:p>
      <w:pPr>
        <w:numPr>
          <w:ilvl w:val="0"/>
          <w:numId w:val="1076"/>
        </w:numPr>
      </w:pPr>
      <w:r>
        <w:t xml:space="preserve">Follow C++ Core guidelines section R and CERT MEM51.</w:t>
      </w:r>
    </w:p>
    <w:p>
      <w:pPr>
        <w:numPr>
          <w:ilvl w:val="0"/>
          <w:numId w:val="1076"/>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6"/>
        </w:numPr>
      </w:pPr>
      <w:r>
        <w:t xml:space="preserve">Use dynamic analysis tools to detect cycles.</w:t>
      </w:r>
    </w:p>
    <w:p>
      <w:pPr>
        <w:numPr>
          <w:ilvl w:val="0"/>
          <w:numId w:val="1076"/>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6"/>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6"/>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8"/>
        </w:numPr>
      </w:pPr>
      <w:r>
        <w:t xml:space="preserve">Follow the guidance contained in ISO/IEC TR 24772-1:2019,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2"/>
        </w:numPr>
      </w:pPr>
      <w:r>
        <w:rPr>
          <w:i/>
        </w:rPr>
        <w:t xml:space="preserve">Breaking of class invariants</w:t>
      </w:r>
      <w:r>
        <w:t xml:space="preserve"> </w:t>
      </w:r>
      <w:r>
        <w:t xml:space="preserve">should be ensured by proper initialization even with the default constructor and</w:t>
      </w:r>
      <w:r>
        <w:t xml:space="preserve"> </w:t>
      </w:r>
      <w:r>
        <w:t xml:space="preserve">by defining data members private if the class invariant depends on them.</w:t>
      </w:r>
    </w:p>
    <w:bookmarkEnd w:id="154"/>
    <w:bookmarkStart w:id="155" w:name="guidance-to-language-users"/>
    <w:p>
      <w:pPr>
        <w:pStyle w:val="Heading2"/>
      </w:pPr>
      <w:r>
        <w:t xml:space="preserve">6.41.2 Guidance to language users</w:t>
      </w:r>
    </w:p>
    <w:p>
      <w:pPr>
        <w:numPr>
          <w:ilvl w:val="0"/>
          <w:numId w:val="1083"/>
        </w:numPr>
      </w:pPr>
      <w:r>
        <w:t xml:space="preserve">Follow the guidance of ISO/IEC TR 24772-1:2019 clause 41.5.</w:t>
      </w:r>
    </w:p>
    <w:p>
      <w:pPr>
        <w:numPr>
          <w:ilvl w:val="0"/>
          <w:numId w:val="1083"/>
        </w:numPr>
      </w:pPr>
      <w:r>
        <w:t xml:space="preserve">Avoid the use of multiple inheritance with virtual member functions whenever possible. Multiple</w:t>
      </w:r>
      <w:r>
        <w:t xml:space="preserve"> </w:t>
      </w:r>
      <w:r>
        <w:rPr>
          <w:i/>
        </w:rPr>
        <w:t xml:space="preserve">mix-in empty bases</w:t>
      </w:r>
      <w:r>
        <w:t xml:space="preserve"> </w:t>
      </w:r>
      <w:r>
        <w:t xml:space="preserve">are typically fine.</w:t>
      </w:r>
    </w:p>
    <w:p>
      <w:pPr>
        <w:numPr>
          <w:ilvl w:val="0"/>
          <w:numId w:val="1083"/>
        </w:numPr>
      </w:pPr>
      <w:r>
        <w:t xml:space="preserve">Define members to be used only by derived classes as protected.</w:t>
      </w:r>
    </w:p>
    <w:p>
      <w:pPr>
        <w:numPr>
          <w:ilvl w:val="0"/>
          <w:numId w:val="1083"/>
        </w:numPr>
      </w:pPr>
      <w:r>
        <w:t xml:space="preserve">Define as private base-class’ data-members that must not be used directly by derived classes.</w:t>
      </w:r>
    </w:p>
    <w:p>
      <w:pPr>
        <w:numPr>
          <w:ilvl w:val="0"/>
          <w:numId w:val="1083"/>
        </w:numPr>
      </w:pPr>
      <w:r>
        <w:t xml:space="preserve">Keep inheritance hierarchies flat.</w:t>
      </w:r>
    </w:p>
    <w:p>
      <w:pPr>
        <w:numPr>
          <w:ilvl w:val="0"/>
          <w:numId w:val="1083"/>
        </w:numPr>
      </w:pPr>
      <w:r>
        <w:t xml:space="preserve">Restrict the use of virtual member functions to situations where unbounded run-time polymorphism is beneficial.</w:t>
      </w:r>
    </w:p>
    <w:p>
      <w:pPr>
        <w:numPr>
          <w:ilvl w:val="0"/>
          <w:numId w:val="108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3"/>
        </w:numPr>
      </w:pPr>
      <w:r>
        <w:t xml:space="preserve">Ensure re-compilation of all derived classes when a base class changes.</w:t>
      </w:r>
    </w:p>
    <w:p>
      <w:pPr>
        <w:numPr>
          <w:ilvl w:val="0"/>
          <w:numId w:val="1083"/>
        </w:numPr>
      </w:pPr>
      <w:r>
        <w:t xml:space="preserve">Consider using fully-qualified names to address members of a base class.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3"/>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4"/>
        </w:numPr>
      </w:pPr>
      <w:r>
        <w:t xml:space="preserve">Obey all preconditions and postconditions of each member function,</w:t>
      </w:r>
      <w:r>
        <w:t xml:space="preserve"> </w:t>
      </w:r>
      <w:r>
        <w:t xml:space="preserve">whether they are specified in the language or not.</w:t>
      </w:r>
    </w:p>
    <w:p>
      <w:pPr>
        <w:numPr>
          <w:ilvl w:val="0"/>
          <w:numId w:val="1084"/>
        </w:numPr>
      </w:pPr>
      <w:r>
        <w:t xml:space="preserve">Prohibit the strengthening of preconditions (specified or not) by</w:t>
      </w:r>
      <w:r>
        <w:t xml:space="preserve"> </w:t>
      </w:r>
      <w:r>
        <w:t xml:space="preserve">overriding member functions.</w:t>
      </w:r>
    </w:p>
    <w:p>
      <w:pPr>
        <w:numPr>
          <w:ilvl w:val="0"/>
          <w:numId w:val="1084"/>
        </w:numPr>
      </w:pPr>
      <w:r>
        <w:t xml:space="preserve">Prohibit the weakening of postconditions (specified or not) by</w:t>
      </w:r>
      <w:r>
        <w:t xml:space="preserve"> </w:t>
      </w:r>
      <w:r>
        <w:t xml:space="preserve">overriding member functions.</w:t>
      </w:r>
    </w:p>
    <w:p>
      <w:pPr>
        <w:numPr>
          <w:ilvl w:val="0"/>
          <w:numId w:val="108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4"/>
        </w:numPr>
      </w:pPr>
      <w:r>
        <w:t xml:space="preserve">Use static analysis tools that identify misuse of inheritance in the</w:t>
      </w:r>
      <w:r>
        <w:t xml:space="preserve"> </w:t>
      </w:r>
      <w:r>
        <w:t xml:space="preserve">contract model.</w:t>
      </w:r>
    </w:p>
    <w:p>
      <w:pPr>
        <w:numPr>
          <w:ilvl w:val="0"/>
          <w:numId w:val="108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5"/>
        </w:numPr>
      </w:pPr>
      <w:r>
        <w:t xml:space="preserve">At a call site, consider whether virtual dispatch is desired. If</w:t>
      </w:r>
      <w:r>
        <w:t xml:space="preserve"> </w:t>
      </w:r>
      <w:r>
        <w:t xml:space="preserve">not, construct the call using the qualified name.</w:t>
      </w:r>
    </w:p>
    <w:p>
      <w:pPr>
        <w:numPr>
          <w:ilvl w:val="0"/>
          <w:numId w:val="1085"/>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7"/>
        </w:numPr>
      </w:pPr>
      <w:r>
        <w:t xml:space="preserve">are the only ones that can be performed implicitly</w:t>
      </w:r>
    </w:p>
    <w:p>
      <w:pPr>
        <w:numPr>
          <w:ilvl w:val="0"/>
          <w:numId w:val="1087"/>
        </w:numPr>
      </w:pPr>
      <w:r>
        <w:t xml:space="preserve">can cause object slicing</w:t>
      </w:r>
      <w:r>
        <w:t xml:space="preserve"> </w:t>
      </w:r>
      <w:r>
        <w:t xml:space="preserve">when a copy of a base class object is created from a derived class object.</w:t>
      </w:r>
    </w:p>
    <w:p>
      <w:pPr>
        <w:numPr>
          <w:ilvl w:val="0"/>
          <w:numId w:val="108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8"/>
        </w:numPr>
      </w:pPr>
      <w:r>
        <w:t xml:space="preserve">are explicit;</w:t>
      </w:r>
    </w:p>
    <w:p>
      <w:pPr>
        <w:numPr>
          <w:ilvl w:val="0"/>
          <w:numId w:val="1088"/>
        </w:numPr>
      </w:pPr>
      <w:r>
        <w:t xml:space="preserve">can be done safely with</w:t>
      </w:r>
      <w:r>
        <w:t xml:space="preserve"> </w:t>
      </w:r>
      <w:r>
        <w:rPr>
          <w:rStyle w:val="KeywordTok"/>
        </w:rPr>
        <w:t xml:space="preserve">dynamic_cast</w:t>
      </w:r>
    </w:p>
    <w:p>
      <w:pPr>
        <w:numPr>
          <w:ilvl w:val="0"/>
          <w:numId w:val="108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9"/>
        </w:numPr>
      </w:pPr>
      <w:r>
        <w:t xml:space="preserve">are explicit</w:t>
      </w:r>
    </w:p>
    <w:p>
      <w:pPr>
        <w:numPr>
          <w:ilvl w:val="0"/>
          <w:numId w:val="108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90"/>
        </w:numPr>
      </w:pPr>
      <w:r>
        <w:t xml:space="preserve">Follow the advice provided in ISO/IEC 24772-1 clause 6.44.5.</w:t>
      </w:r>
    </w:p>
    <w:p>
      <w:pPr>
        <w:numPr>
          <w:ilvl w:val="0"/>
          <w:numId w:val="109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0"/>
        </w:numPr>
      </w:pPr>
      <w:r>
        <w:t xml:space="preserve">Avoid designs relying on downcasts or crosscasts;</w:t>
      </w:r>
      <w:r>
        <w:t xml:space="preserve"> </w:t>
      </w:r>
      <w:r>
        <w:t xml:space="preserve">rely on proper virtual member functions in the base classes instead.</w:t>
      </w:r>
    </w:p>
    <w:p>
      <w:pPr>
        <w:numPr>
          <w:ilvl w:val="0"/>
          <w:numId w:val="1090"/>
        </w:numPr>
      </w:pPr>
      <w:r>
        <w:t xml:space="preserve">Avoid explicit upcast, rely on implicit conversion.</w:t>
      </w:r>
    </w:p>
    <w:p>
      <w:pPr>
        <w:numPr>
          <w:ilvl w:val="0"/>
          <w:numId w:val="109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0"/>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0"/>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1"/>
        </w:numPr>
      </w:pPr>
      <w:r>
        <w:t xml:space="preserve">Follow the guidelines of ISO/IEC TR 24772-1 clause 6.47.5.</w:t>
      </w:r>
    </w:p>
    <w:p>
      <w:pPr>
        <w:numPr>
          <w:ilvl w:val="0"/>
          <w:numId w:val="1091"/>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1"/>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2"/>
        </w:numPr>
      </w:pPr>
      <w:r>
        <w:t xml:space="preserve">Follow the guidance contained in ISO/IEC TR 24772-1:2019 clause</w:t>
      </w:r>
      <w:r>
        <w:t xml:space="preserve"> </w:t>
      </w:r>
      <w:r>
        <w:t xml:space="preserve">6.47.5</w:t>
      </w:r>
    </w:p>
    <w:p>
      <w:pPr>
        <w:numPr>
          <w:ilvl w:val="0"/>
          <w:numId w:val="1092"/>
        </w:numPr>
      </w:pPr>
      <w:r>
        <w:t xml:space="preserve">Use standard layout types for the interoperable interfaces.</w:t>
      </w:r>
    </w:p>
    <w:p>
      <w:pPr>
        <w:numPr>
          <w:ilvl w:val="1"/>
          <w:numId w:val="1093"/>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3"/>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3"/>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2"/>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2"/>
        </w:numPr>
      </w:pPr>
      <w:r>
        <w:t xml:space="preserve">Be aware that C++ exceptions are not usually compatible with</w:t>
      </w:r>
      <w:r>
        <w:t xml:space="preserve"> </w:t>
      </w:r>
      <w:r>
        <w:t xml:space="preserve">exceptions in other languages.</w:t>
      </w:r>
    </w:p>
    <w:p>
      <w:pPr>
        <w:numPr>
          <w:ilvl w:val="0"/>
          <w:numId w:val="1092"/>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2"/>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Xfd4a54be17d3eceb94ec5c5981ef893e36604c5"/>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4"/>
    <w:bookmarkStart w:id="175" w:name="guidance-to-language-users"/>
    <w:p>
      <w:pPr>
        <w:pStyle w:val="Heading3"/>
      </w:pPr>
      <w:r>
        <w:t xml:space="preserve">6.48.2 Guidance to language users</w:t>
      </w:r>
    </w:p>
    <w:p>
      <w:pPr>
        <w:pStyle w:val="FirstParagraph"/>
      </w:pPr>
      <w:r>
        <w:t xml:space="preserve">Follow the guidance of ISO/IEC TR 24772-1:2019 clause 6.48.5.</w:t>
      </w:r>
    </w:p>
    <w:bookmarkEnd w:id="175"/>
    <w:bookmarkEnd w:id="176"/>
    <w:bookmarkStart w:id="179" w:name="library-signatur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pStyle w:val="FirstParagraph"/>
      </w:pPr>
      <w:r>
        <w:t xml:space="preserve">From Part 1, 6.49.5</w:t>
      </w:r>
    </w:p>
    <w:p>
      <w:pPr>
        <w:numPr>
          <w:ilvl w:val="0"/>
          <w:numId w:val="1094"/>
        </w:numPr>
      </w:pPr>
      <w:r>
        <w:t xml:space="preserve">Follow the guidance of ISO/IEC TR 24772-1:2019 clause 6.49.5.</w:t>
      </w:r>
    </w:p>
    <w:p>
      <w:pPr>
        <w:numPr>
          <w:ilvl w:val="0"/>
          <w:numId w:val="1094"/>
        </w:numPr>
      </w:pPr>
      <w:r>
        <w:t xml:space="preserve">Follow the advice of clause 6.47.2 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obscure-language-features-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guidelines of ISO/IEC TR 24772-1:2019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2022-10-31T18:01:20Z</dcterms:created>
  <dcterms:modified xsi:type="dcterms:W3CDTF">2022-10-31T18:01:20Z</dcterms:modified>
</cp:coreProperties>
</file>

<file path=docProps/custom.xml><?xml version="1.0" encoding="utf-8"?>
<Properties xmlns="http://schemas.openxmlformats.org/officeDocument/2006/custom-properties" xmlns:vt="http://schemas.openxmlformats.org/officeDocument/2006/docPropsVTypes"/>
</file>