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40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numPr>
          <w:ilvl w:val="0"/>
          <w:numId w:val="1032"/>
        </w:numPr>
      </w:pPr>
      <w:r>
        <w:rPr>
          <w:strike/>
        </w:rPr>
        <w:t xml:space="preserve">For copies of fixed-sized arrays, perform range checking to</w:t>
      </w:r>
      <w:r>
        <w:rPr>
          <w:strike/>
        </w:rPr>
        <w:t xml:space="preserve"> </w:t>
      </w:r>
      <w:r>
        <w:rPr>
          <w:strike/>
        </w:rPr>
        <w:t xml:space="preserve">prevent out-of-bounds access on the target and the source arrays. In</w:t>
      </w:r>
      <w:r>
        <w:rPr>
          <w:strike/>
        </w:rPr>
        <w:t xml:space="preserve"> </w:t>
      </w:r>
      <w:r>
        <w:rPr>
          <w:strike/>
        </w:rPr>
        <w:t xml:space="preserve">the interest of speed and efficiency, range checking only needs to</w:t>
      </w:r>
      <w:r>
        <w:rPr>
          <w:strike/>
        </w:rPr>
        <w:t xml:space="preserve"> </w:t>
      </w:r>
      <w:r>
        <w:rPr>
          <w:strike/>
        </w:rPr>
        <w:t xml:space="preserve">be done when it cannot be statically shown that an access outside of</w:t>
      </w:r>
      <w:r>
        <w:rPr>
          <w:strike/>
        </w:rPr>
        <w:t xml:space="preserve"> </w:t>
      </w:r>
      <w:r>
        <w:rPr>
          <w:strike/>
        </w:rPr>
        <w:t xml:space="preserve">the arrays cannot occur.</w:t>
      </w:r>
    </w:p>
    <w:p>
      <w:pPr>
        <w:numPr>
          <w:ilvl w:val="0"/>
          <w:numId w:val="1032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FirstParagraph"/>
      </w:pPr>
      <w:r>
        <w:rPr>
          <w:i/>
        </w:rPr>
        <w:t xml:space="preserve">In this clause, all C++ references, in addition to pointers. The</w:t>
      </w:r>
      <w:r>
        <w:rPr>
          <w:i/>
        </w:rPr>
        <w:t xml:space="preserve"> </w:t>
      </w:r>
      <w:r>
        <w:rPr>
          <w:rStyle w:val="NormalTok"/>
        </w:rPr>
        <w:t xml:space="preserve">shared_ptr</w:t>
      </w:r>
      <w:r>
        <w:rPr>
          <w:i/>
        </w:rPr>
        <w:t xml:space="preserve"> </w:t>
      </w:r>
      <w:r>
        <w:rPr>
          <w:i/>
        </w:rPr>
        <w:t xml:space="preserve">casts</w:t>
      </w:r>
    </w:p>
    <w:p>
      <w:pPr>
        <w:pStyle w:val="BodyText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BodyText"/>
      </w:pPr>
      <w:r>
        <w:rPr>
          <w:i/>
        </w:rPr>
        <w:t xml:space="preserve">C++ Dynamic cast and the use of it during construction and destruction needs further exposition. The this pointer type can have surprising effects.</w:t>
      </w:r>
    </w:p>
    <w:p>
      <w:pPr>
        <w:pStyle w:val="BodyText"/>
      </w:pPr>
      <w:r>
        <w:rPr>
          <w:i/>
        </w:rPr>
        <w:t xml:space="preserve">AI</w:t>
      </w:r>
      <w:r>
        <w:t xml:space="preserve"> </w:t>
      </w:r>
      <w:r>
        <w:rPr>
          <w:i/>
        </w:rPr>
        <w:t xml:space="preserve">–</w:t>
      </w:r>
      <w:r>
        <w:t xml:space="preserve"> </w:t>
      </w:r>
      <w:r>
        <w:rPr>
          <w:i/>
        </w:rPr>
        <w:t xml:space="preserve">Paul, Richard to review</w:t>
      </w:r>
      <w:r>
        <w:t xml:space="preserve"> </w:t>
      </w:r>
      <w:r>
        <w:rPr>
          <w:i/>
        </w:rPr>
        <w:t xml:space="preserve">– Writeup about incomplete objects before or after their lifetime and related to translation units.</w:t>
      </w:r>
    </w:p>
    <w:p>
      <w:pPr>
        <w:pStyle w:val="BodyText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3"/>
        </w:numPr>
      </w:pPr>
      <w:r>
        <w:t xml:space="preserve">a and b are the same object,</w:t>
      </w:r>
    </w:p>
    <w:p>
      <w:pPr>
        <w:numPr>
          <w:ilvl w:val="0"/>
          <w:numId w:val="1033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4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3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3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3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7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7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7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7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7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8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7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7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1"/>
        </w:numPr>
      </w:pPr>
      <w:r>
        <w:t xml:space="preserve">Follow the guidance of clause 6.8.2.</w:t>
      </w:r>
    </w:p>
    <w:p>
      <w:pPr>
        <w:numPr>
          <w:ilvl w:val="0"/>
          <w:numId w:val="1041"/>
        </w:numPr>
      </w:pPr>
      <w:r>
        <w:t xml:space="preserve">Prefer standard algorithms to hand-written loops</w:t>
      </w:r>
    </w:p>
    <w:p>
      <w:pPr>
        <w:numPr>
          <w:ilvl w:val="1"/>
          <w:numId w:val="1042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1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1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1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1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3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3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3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3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BodyText"/>
      </w:pPr>
      <w:r>
        <w:rPr>
          <w:i/>
        </w:rPr>
        <w:t xml:space="preserve">Capture notion that std::make_shared does not guarantee</w:t>
      </w:r>
      <w:r>
        <w:t xml:space="preserve"> </w:t>
      </w:r>
      <w:r>
        <w:rPr>
          <w:i/>
        </w:rPr>
        <w:t xml:space="preserve">atomaticity</w:t>
      </w:r>
      <w:r>
        <w:t xml:space="preserve"> </w:t>
      </w:r>
      <w:r>
        <w:rPr>
          <w:i/>
        </w:rPr>
        <w:t xml:space="preserve">of the referenced object.</w:t>
      </w:r>
    </w:p>
    <w:p>
      <w:pPr>
        <w:pStyle w:val="BodyText"/>
      </w:pPr>
      <w:r>
        <w:t xml:space="preserve">std::span, std.vector and std.array::provide …</w:t>
      </w:r>
    </w:p>
    <w:p>
      <w:pPr>
        <w:pStyle w:val="BodyText"/>
      </w:pPr>
      <w:r>
        <w:t xml:space="preserve">std::span is more lightweight and permit resizing .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pStyle w:val="FirstParagraph"/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4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4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4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5"/>
        </w:numPr>
      </w:pPr>
      <w:r>
        <w:t xml:space="preserve">References</w:t>
      </w:r>
    </w:p>
    <w:p>
      <w:pPr>
        <w:numPr>
          <w:ilvl w:val="0"/>
          <w:numId w:val="1045"/>
        </w:numPr>
      </w:pPr>
      <w:r>
        <w:t xml:space="preserve">Pointers</w:t>
      </w:r>
    </w:p>
    <w:p>
      <w:pPr>
        <w:numPr>
          <w:ilvl w:val="0"/>
          <w:numId w:val="1045"/>
        </w:numPr>
      </w:pPr>
      <w:r>
        <w:t xml:space="preserve">Iterators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5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6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6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6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6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FirstParagraph"/>
      </w:pPr>
      <w:r>
        <w:t xml:space="preserve">REWORD: The issues for C++ are well defined in TR 24772-1 clause 6.16</w:t>
      </w:r>
      <w:r>
        <w:t xml:space="preserve"> </w:t>
      </w:r>
      <w:r>
        <w:rPr>
          <w:i/>
        </w:rPr>
        <w:t xml:space="preserve">Using Shift Operations for Multiplication and Division [PIK].</w:t>
      </w:r>
      <w:r>
        <w:t xml:space="preserve"> </w:t>
      </w:r>
      <w:r>
        <w:t xml:space="preserve">Also</w:t>
      </w:r>
      <w:r>
        <w:t xml:space="preserve"> </w:t>
      </w:r>
      <w:r>
        <w:t xml:space="preserve">see clause</w:t>
      </w:r>
      <w:r>
        <w:t xml:space="preserve"> </w:t>
      </w:r>
      <w:r>
        <w:rPr>
          <w:i/>
        </w:rPr>
        <w:t xml:space="preserve">6.15 Arithmetic Wrap-around Error [FIF]</w:t>
      </w:r>
      <w:r>
        <w:t xml:space="preserve">.</w:t>
      </w:r>
    </w:p>
    <w:p>
      <w:pPr>
        <w:pStyle w:val="BodyText"/>
      </w:pPr>
      <w:r>
        <w:t xml:space="preserve">In C++, shifts with too large an argument is defined as Undefined</w:t>
      </w:r>
      <w:r>
        <w:t xml:space="preserve"> </w:t>
      </w:r>
      <w:r>
        <w:t xml:space="preserve">Behaviour. See 6.56 Undefined Behaviour and ISO/IEC 14882:2017 C++</w:t>
      </w:r>
      <w:r>
        <w:t xml:space="preserve"> </w:t>
      </w:r>
      <w:r>
        <w:t xml:space="preserve">reference manual</w:t>
      </w:r>
    </w:p>
    <w:p>
      <w:pPr>
        <w:pStyle w:val="BlockText"/>
      </w:pPr>
      <w:r>
        <w:t xml:space="preserve">From the C++ standard 14882:2017 clause 8.8 [expr.shift],</w:t>
      </w:r>
      <w:r>
        <w:br/>
      </w:r>
      <w:r>
        <w:t xml:space="preserve">The shift operators &lt;&lt; and</w:t>
      </w:r>
      <w:r>
        <w:t xml:space="preserve"> </w:t>
      </w:r>
      <w:r>
        <w:rPr>
          <w:rStyle w:val="NormalTok"/>
        </w:rPr>
        <w:t xml:space="preserve">\&gt;\&gt;</w:t>
      </w:r>
      <w:r>
        <w:t xml:space="preserve"> </w:t>
      </w:r>
      <w:r>
        <w:t xml:space="preserve">group</w:t>
      </w:r>
      <w:r>
        <w:t xml:space="preserve"> </w:t>
      </w:r>
      <w:r>
        <w:t xml:space="preserve">left-to-right.</w:t>
      </w:r>
      <w:r>
        <w:br/>
      </w:r>
      <w:r>
        <w:t xml:space="preserve">shift-expression:</w:t>
      </w:r>
      <w:r>
        <w:br/>
      </w:r>
      <w:r>
        <w:rPr>
          <w:rStyle w:val="NormalTok"/>
        </w:rPr>
        <w:t xml:space="preserve">additive-expression\ shift-expression \&lt;\&lt; additive-expression\ shift-expression \&gt;\&gt; additive-expression</w:t>
      </w:r>
      <w:r>
        <w:br/>
      </w:r>
      <w:r>
        <w:t xml:space="preserve">The operands shall be of integral or unscoped enumeration type and</w:t>
      </w:r>
      <w:r>
        <w:t xml:space="preserve"> </w:t>
      </w:r>
      <w:r>
        <w:t xml:space="preserve">integral promotions are performed. The type of the result is that of</w:t>
      </w:r>
      <w:r>
        <w:t xml:space="preserve"> </w:t>
      </w:r>
      <w:r>
        <w:t xml:space="preserve">the promoted left operand. The behavior is undefined if the right</w:t>
      </w:r>
      <w:r>
        <w:t xml:space="preserve"> </w:t>
      </w:r>
      <w:r>
        <w:t xml:space="preserve">operand is negative, or greater than or equal to the length in bits of</w:t>
      </w:r>
      <w:r>
        <w:t xml:space="preserve"> </w:t>
      </w:r>
      <w:r>
        <w:t xml:space="preserve">the promoted left operand.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\&lt;\&lt;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left-shifted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positions; vacated bits are zero-filled.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type, the value of the result is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, reduced modulo one more than the maximum</w:t>
      </w:r>
      <w:r>
        <w:t xml:space="preserve"> </w:t>
      </w:r>
      <w:r>
        <w:t xml:space="preserve">value representable in the result type. Otherwise,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non-negative value,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E1 × </w:t>
      </w:r>
      <w:r>
        <w:rPr>
          <w:rStyle w:val="FloatTok"/>
        </w:rPr>
        <w:t xml:space="preserve">2E2</w:t>
      </w:r>
      <w:r>
        <w:t xml:space="preserve"> </w:t>
      </w:r>
      <w:r>
        <w:t xml:space="preserve">is representable in the</w:t>
      </w:r>
      <w:r>
        <w:t xml:space="preserve"> </w:t>
      </w:r>
      <w:r>
        <w:t xml:space="preserve">corresponding unsigned type of the result type, then that value,</w:t>
      </w:r>
      <w:r>
        <w:t xml:space="preserve"> </w:t>
      </w:r>
      <w:r>
        <w:t xml:space="preserve">converted to the result type, is the resulting value; otherwise, the</w:t>
      </w:r>
      <w:r>
        <w:t xml:space="preserve"> </w:t>
      </w:r>
      <w:r>
        <w:t xml:space="preserve">behavior is undefined.</w:t>
      </w:r>
      <w:r>
        <w:br/>
      </w:r>
      <w:r>
        <w:br/>
      </w:r>
      <w:r>
        <w:t xml:space="preserve">The value of</w:t>
      </w:r>
      <w:r>
        <w:t xml:space="preserve"> </w:t>
      </w:r>
      <w:r>
        <w:rPr>
          <w:rStyle w:val="NormalTok"/>
        </w:rPr>
        <w:t xml:space="preserve">E1 \&gt;\&gt; E2</w:t>
      </w:r>
      <w:r>
        <w:t xml:space="preserve"> </w:t>
      </w:r>
      <w:r>
        <w:t xml:space="preserve">is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right-shifted</w:t>
      </w:r>
      <w:r>
        <w:t xml:space="preserve"> </w:t>
      </w:r>
      <w:r>
        <w:rPr>
          <w:rStyle w:val="NormalTok"/>
        </w:rPr>
        <w:t xml:space="preserve">E2</w:t>
      </w:r>
      <w:r>
        <w:t xml:space="preserve"> </w:t>
      </w:r>
      <w:r>
        <w:t xml:space="preserve">bit</w:t>
      </w:r>
      <w:r>
        <w:t xml:space="preserve"> </w:t>
      </w:r>
      <w:r>
        <w:t xml:space="preserve">positions.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an unsigned type or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 signed type and a non-negative value,</w:t>
      </w:r>
      <w:r>
        <w:t xml:space="preserve"> </w:t>
      </w:r>
      <w:r>
        <w:t xml:space="preserve">the value of the result is the integral part of the quotient of</w:t>
      </w:r>
      <w:r>
        <w:t xml:space="preserve"> </w:t>
      </w:r>
      <w:r>
        <w:rPr>
          <w:rStyle w:val="NormalTok"/>
        </w:rPr>
        <w:t xml:space="preserve">E1/</w:t>
      </w:r>
      <w:r>
        <w:rPr>
          <w:rStyle w:val="FloatTok"/>
        </w:rPr>
        <w:t xml:space="preserve">2E2</w:t>
      </w:r>
      <w:r>
        <w:t xml:space="preserve">. If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has a</w:t>
      </w:r>
      <w:r>
        <w:t xml:space="preserve"> </w:t>
      </w:r>
      <w:r>
        <w:t xml:space="preserve">signed type and a negative value, the resulting value is</w:t>
      </w:r>
      <w:r>
        <w:t xml:space="preserve"> </w:t>
      </w:r>
      <w:r>
        <w:t xml:space="preserve">implementation-defined.</w:t>
      </w:r>
    </w:p>
    <w:p>
      <w:pPr>
        <w:pStyle w:val="BlockText"/>
      </w:pPr>
      <w:r>
        <w:t xml:space="preserve">The expression</w:t>
      </w:r>
      <w:r>
        <w:t xml:space="preserve"> </w:t>
      </w:r>
      <w:r>
        <w:rPr>
          <w:rStyle w:val="NormalTok"/>
        </w:rPr>
        <w:t xml:space="preserve">E1</w:t>
      </w:r>
      <w:r>
        <w:t xml:space="preserve"> </w:t>
      </w:r>
      <w:r>
        <w:t xml:space="preserve">is sequenced before the</w:t>
      </w:r>
      <w:r>
        <w:t xml:space="preserve"> </w:t>
      </w:r>
      <w:r>
        <w:t xml:space="preserve">expression</w:t>
      </w:r>
      <w:r>
        <w:t xml:space="preserve"> </w:t>
      </w:r>
      <w:r>
        <w:rPr>
          <w:rStyle w:val="NormalTok"/>
        </w:rPr>
        <w:t xml:space="preserve">E2</w:t>
      </w:r>
      <w:r>
        <w:t xml:space="preserve">.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8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issues.. TBD!!!</w:t>
      </w:r>
    </w:p>
    <w:p>
      <w:pPr>
        <w:pStyle w:val="BodyText"/>
      </w:pPr>
      <w:r>
        <w:t xml:space="preserve">Think about discussing reserved names. Maybe also in Part 1.</w:t>
      </w:r>
    </w:p>
    <w:p>
      <w:pPr>
        <w:pStyle w:val="BodyText"/>
      </w:pPr>
      <w:r>
        <w:t xml:space="preserve">C is somewhat susceptible to errors resulting from the use of similarly</w:t>
      </w:r>
      <w:r>
        <w:t xml:space="preserve"> </w:t>
      </w:r>
      <w:r>
        <w:t xml:space="preserve">appearing names. C does require the declaration of variables before they</w:t>
      </w:r>
      <w:r>
        <w:t xml:space="preserve"> </w:t>
      </w:r>
      <w:r>
        <w:t xml:space="preserve">are used. However, C allows scoping so that a variable that is not</w:t>
      </w:r>
      <w:r>
        <w:t xml:space="preserve"> </w:t>
      </w:r>
      <w:r>
        <w:t xml:space="preserve">declared locally may be resolved to some outer block and a human</w:t>
      </w:r>
      <w:r>
        <w:t xml:space="preserve"> </w:t>
      </w:r>
      <w:r>
        <w:t xml:space="preserve">reviewer may not notice that resolution. Variable name length is</w:t>
      </w:r>
      <w:r>
        <w:t xml:space="preserve"> </w:t>
      </w:r>
      <w:r>
        <w:t xml:space="preserve">implementation specific and so one implementation may resolve names to</w:t>
      </w:r>
      <w:r>
        <w:t xml:space="preserve"> </w:t>
      </w:r>
      <w:r>
        <w:t xml:space="preserve">one length whereas another implementation may resolve names to another</w:t>
      </w:r>
      <w:r>
        <w:t xml:space="preserve"> </w:t>
      </w:r>
      <w:r>
        <w:t xml:space="preserve">length resulting in unintended behaviour.</w:t>
      </w:r>
    </w:p>
    <w:p>
      <w:pPr>
        <w:pStyle w:val="BodyText"/>
      </w:pPr>
      <w:r>
        <w:t xml:space="preserve">As with the general case, calls to the wrong subprogram or references to</w:t>
      </w:r>
      <w:r>
        <w:t xml:space="preserve"> </w:t>
      </w:r>
      <w:r>
        <w:t xml:space="preserve">the wrong data element (when missed by human review) can result in</w:t>
      </w:r>
      <w:r>
        <w:t xml:space="preserve"> </w:t>
      </w:r>
      <w:r>
        <w:t xml:space="preserve">unintended behaviour.ISO/IEC 14882:2017 C++ clause 20.5.4</w:t>
      </w:r>
      <w:r>
        <w:t xml:space="preserve"> </w:t>
      </w:r>
      <w:r>
        <w:t xml:space="preserve">[constraints] – reserved names, from C++, also from C, deprecated</w:t>
      </w:r>
      <w:r>
        <w:t xml:space="preserve"> </w:t>
      </w:r>
      <w:r>
        <w:t xml:space="preserve">names</w:t>
      </w:r>
    </w:p>
    <w:p>
      <w:pPr>
        <w:pStyle w:val="BodyText"/>
      </w:pPr>
      <w:r>
        <w:rPr>
          <w:rStyle w:val="NormalTok"/>
        </w:rPr>
        <w:t xml:space="preserve">Numeric_limits</w:t>
      </w:r>
      <w:r>
        <w:t xml:space="preserve"> </w:t>
      </w:r>
      <w:r>
        <w:t xml:space="preserve">are in std namespace,</w:t>
      </w:r>
    </w:p>
    <w:p>
      <w:pPr>
        <w:pStyle w:val="BodyText"/>
      </w:pPr>
      <w:r>
        <w:t xml:space="preserve">To Do</w:t>
      </w:r>
      <w:r>
        <w:t xml:space="preserve"> </w:t>
      </w:r>
      <w:r>
        <w:rPr>
          <w:i/>
        </w:rPr>
        <w:t xml:space="preserve">(Paul)</w:t>
      </w:r>
    </w:p>
    <w:p>
      <w:pPr>
        <w:numPr>
          <w:ilvl w:val="0"/>
          <w:numId w:val="1047"/>
        </w:numPr>
      </w:pPr>
      <w:r>
        <w:t xml:space="preserve">One can add names to a templates as part of specialization.</w:t>
      </w:r>
    </w:p>
    <w:p>
      <w:pPr>
        <w:numPr>
          <w:ilvl w:val="0"/>
          <w:numId w:val="1047"/>
        </w:numPr>
      </w:pPr>
      <w:r>
        <w:t xml:space="preserve">Example extending a hash function from std::</w:t>
      </w:r>
    </w:p>
    <w:p>
      <w:pPr>
        <w:numPr>
          <w:ilvl w:val="0"/>
          <w:numId w:val="1047"/>
        </w:numPr>
      </w:pPr>
      <w:r>
        <w:t xml:space="preserve">Also inline namespaces.</w:t>
      </w:r>
    </w:p>
    <w:p>
      <w:pPr>
        <w:numPr>
          <w:ilvl w:val="0"/>
          <w:numId w:val="1047"/>
        </w:numPr>
      </w:pPr>
      <w:r>
        <w:t xml:space="preserve">Also the use of underscores in symbol names.</w:t>
      </w:r>
    </w:p>
    <w:p>
      <w:pPr>
        <w:numPr>
          <w:ilvl w:val="0"/>
          <w:numId w:val="1047"/>
        </w:numPr>
      </w:pPr>
      <w:r>
        <w:t xml:space="preserve">Also Unicode in identfiers.</w:t>
      </w:r>
    </w:p>
    <w:bookmarkEnd w:id="76"/>
    <w:bookmarkStart w:id="77" w:name="guidance-to-language-users"/>
    <w:p>
      <w:pPr>
        <w:pStyle w:val="Heading3"/>
      </w:pPr>
      <w:r>
        <w:t xml:space="preserve">6.17.2 Guidance to language users</w:t>
      </w:r>
    </w:p>
    <w:p>
      <w:pPr>
        <w:numPr>
          <w:ilvl w:val="0"/>
          <w:numId w:val="1048"/>
        </w:numPr>
      </w:pPr>
      <w:r>
        <w:t xml:space="preserve">Follow the guidance of ISO/IEC 148822017 clause 20.5.4 regarding</w:t>
      </w:r>
      <w:r>
        <w:t xml:space="preserve"> </w:t>
      </w:r>
      <w:r>
        <w:t xml:space="preserve">names to refrain from usage.</w:t>
      </w:r>
    </w:p>
    <w:p>
      <w:pPr>
        <w:numPr>
          <w:ilvl w:val="0"/>
          <w:numId w:val="1048"/>
        </w:numPr>
      </w:pPr>
      <w:r>
        <w:t xml:space="preserve">Use names that are clear and non-confusing.</w:t>
      </w:r>
    </w:p>
    <w:p>
      <w:pPr>
        <w:numPr>
          <w:ilvl w:val="0"/>
          <w:numId w:val="1048"/>
        </w:numPr>
      </w:pPr>
      <w:r>
        <w:t xml:space="preserve">Use consistency in choosing names.</w:t>
      </w:r>
    </w:p>
    <w:p>
      <w:pPr>
        <w:numPr>
          <w:ilvl w:val="0"/>
          <w:numId w:val="1048"/>
        </w:numPr>
      </w:pPr>
      <w:r>
        <w:t xml:space="preserve">Keep the scope of names as small as reasonable.</w:t>
      </w:r>
    </w:p>
    <w:p>
      <w:pPr>
        <w:numPr>
          <w:ilvl w:val="0"/>
          <w:numId w:val="1048"/>
        </w:numPr>
      </w:pPr>
      <w:r>
        <w:t xml:space="preserve">Keep names short and concise in order to make the code easier to</w:t>
      </w:r>
      <w:r>
        <w:t xml:space="preserve"> </w:t>
      </w:r>
      <w:r>
        <w:t xml:space="preserve">understand.</w:t>
      </w:r>
    </w:p>
    <w:p>
      <w:pPr>
        <w:numPr>
          <w:ilvl w:val="0"/>
          <w:numId w:val="1048"/>
        </w:numPr>
      </w:pPr>
      <w:r>
        <w:t xml:space="preserve">Use longer names for longer-lived objects.</w:t>
      </w:r>
    </w:p>
    <w:p>
      <w:pPr>
        <w:numPr>
          <w:ilvl w:val="0"/>
          <w:numId w:val="1048"/>
        </w:numPr>
      </w:pPr>
      <w:r>
        <w:t xml:space="preserve">Choose names that are appropriately rich in meaning for the context.</w:t>
      </w:r>
    </w:p>
    <w:p>
      <w:pPr>
        <w:numPr>
          <w:ilvl w:val="0"/>
          <w:numId w:val="1048"/>
        </w:numPr>
      </w:pPr>
      <w:r>
        <w:t xml:space="preserve">When choosing names, keep in mind that code will be reused and</w:t>
      </w:r>
      <w:r>
        <w:t xml:space="preserve"> </w:t>
      </w:r>
      <w:r>
        <w:t xml:space="preserve">combined in ways that the original developers never imagined.</w:t>
      </w:r>
    </w:p>
    <w:p>
      <w:pPr>
        <w:numPr>
          <w:ilvl w:val="0"/>
          <w:numId w:val="1048"/>
        </w:numPr>
      </w:pPr>
      <w:r>
        <w:t xml:space="preserve">Do not differentiate names through only a mixture of case or the</w:t>
      </w:r>
      <w:r>
        <w:t xml:space="preserve"> </w:t>
      </w:r>
      <w:r>
        <w:t xml:space="preserve">presence/absence of an underscore character. (this is in Part 1?)</w:t>
      </w:r>
    </w:p>
    <w:p>
      <w:pPr>
        <w:numPr>
          <w:ilvl w:val="0"/>
          <w:numId w:val="1048"/>
        </w:numPr>
      </w:pPr>
      <w:r>
        <w:t xml:space="preserve">Do not choose names that conflict with (unreserved) keywords or</w:t>
      </w:r>
      <w:r>
        <w:t xml:space="preserve"> </w:t>
      </w:r>
      <w:r>
        <w:t xml:space="preserve">language-defined library names for the language being used, as</w:t>
      </w:r>
      <w:r>
        <w:t xml:space="preserve"> </w:t>
      </w:r>
      <w:r>
        <w:t xml:space="preserve">follows:</w:t>
      </w:r>
    </w:p>
    <w:p>
      <w:pPr>
        <w:numPr>
          <w:ilvl w:val="1"/>
          <w:numId w:val="1049"/>
        </w:numPr>
        <w:pStyle w:val="SourceCode"/>
      </w:pPr>
      <w:r>
        <w:rPr>
          <w:rStyle w:val="VerbatimChar"/>
        </w:rPr>
        <w:t xml:space="preserve">  Names that begin with two or more underscore;</w:t>
      </w:r>
    </w:p>
    <w:p>
      <w:pPr>
        <w:numPr>
          <w:ilvl w:val="1"/>
          <w:numId w:val="1049"/>
        </w:numPr>
        <w:pStyle w:val="SourceCode"/>
      </w:pPr>
      <w:r>
        <w:rPr>
          <w:rStyle w:val="VerbatimChar"/>
        </w:rPr>
        <w:t xml:space="preserve">  Names that begin with a single underscore followed by an</w:t>
      </w:r>
    </w:p>
    <w:p>
      <w:pPr>
        <w:numPr>
          <w:ilvl w:val="1"/>
          <w:numId w:val="1000"/>
        </w:numPr>
      </w:pPr>
      <w:r>
        <w:t xml:space="preserve">uppercase letter;</w:t>
      </w:r>
    </w:p>
    <w:p>
      <w:pPr>
        <w:numPr>
          <w:ilvl w:val="1"/>
          <w:numId w:val="1049"/>
        </w:numPr>
      </w:pPr>
      <w:r>
        <w:t xml:space="preserve">Contextual keywords such as module, final and override;</w:t>
      </w:r>
    </w:p>
    <w:p>
      <w:pPr>
        <w:numPr>
          <w:ilvl w:val="1"/>
          <w:numId w:val="1049"/>
        </w:numPr>
      </w:pPr>
      <w:r>
        <w:t xml:space="preserve">In the global namespace, identifiers commencing with std</w:t>
      </w:r>
      <w:r>
        <w:t xml:space="preserve"> </w:t>
      </w:r>
      <w:r>
        <w:t xml:space="preserve">followed by any string of digits;</w:t>
      </w:r>
    </w:p>
    <w:p>
      <w:pPr>
        <w:pStyle w:val="BlockText"/>
      </w:pPr>
      <w:r>
        <w:t xml:space="preserve">Follow common conventions for naming macros:</w:t>
      </w:r>
    </w:p>
    <w:p>
      <w:pPr>
        <w:numPr>
          <w:ilvl w:val="0"/>
          <w:numId w:val="1050"/>
        </w:numPr>
      </w:pPr>
      <w:r>
        <w:t xml:space="preserve">Avoid names for macros that are not all uppercase;</w:t>
      </w:r>
    </w:p>
    <w:p>
      <w:pPr>
        <w:numPr>
          <w:ilvl w:val="0"/>
          <w:numId w:val="1050"/>
        </w:numPr>
      </w:pPr>
      <w:r>
        <w:t xml:space="preserve">Avoid names that are all uppercase not used for macros;</w:t>
      </w:r>
    </w:p>
    <w:p>
      <w:pPr>
        <w:numPr>
          <w:ilvl w:val="0"/>
          <w:numId w:val="1051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7"/>
    <w:bookmarkEnd w:id="78"/>
    <w:bookmarkStart w:id="81" w:name="dead-store-wxq"/>
    <w:p>
      <w:pPr>
        <w:pStyle w:val="Heading2"/>
      </w:pPr>
      <w:r>
        <w:t xml:space="preserve">6.18 Dead Store [WXQ]</w:t>
      </w:r>
    </w:p>
    <w:bookmarkStart w:id="79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For Volatile, what do you do to ensure that a write reaches memory?</w:t>
      </w:r>
    </w:p>
    <w:p>
      <w:pPr>
        <w:pStyle w:val="BodyText"/>
      </w:pPr>
      <w:r>
        <w:t xml:space="preserve">Initializing part of an array zeros the rest in C++</w:t>
      </w:r>
    </w:p>
    <w:p>
      <w:pPr>
        <w:pStyle w:val="BodyText"/>
      </w:pPr>
      <w:r>
        <w:t xml:space="preserve">For the definition of</w:t>
      </w:r>
      <w:r>
        <w:t xml:space="preserve"> </w:t>
      </w:r>
      <w:r>
        <w:t xml:space="preserve">“</w:t>
      </w:r>
      <w:r>
        <w:t xml:space="preserve">dead store</w:t>
      </w:r>
      <w:r>
        <w:t xml:space="preserve">”</w:t>
      </w:r>
      <w:r>
        <w:t xml:space="preserve"> </w:t>
      </w:r>
      <w:r>
        <w:t xml:space="preserve">in C++, non-trivial destructors</w:t>
      </w:r>
      <w:r>
        <w:t xml:space="preserve"> </w:t>
      </w:r>
      <w:r>
        <w:t xml:space="preserve">constitute</w:t>
      </w:r>
      <w:r>
        <w:t xml:space="preserve"> </w:t>
      </w:r>
      <w:r>
        <w:t xml:space="preserve">“</w:t>
      </w:r>
      <w:r>
        <w:t xml:space="preserve">use of an object</w:t>
      </w:r>
      <w:r>
        <w:t xml:space="preserve">”</w:t>
      </w:r>
      <w:r>
        <w:t xml:space="preserve"> </w:t>
      </w:r>
      <w:r>
        <w:t xml:space="preserve">.</w:t>
      </w:r>
    </w:p>
    <w:bookmarkEnd w:id="79"/>
    <w:bookmarkStart w:id="80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52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52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52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80"/>
    <w:bookmarkEnd w:id="81"/>
    <w:bookmarkStart w:id="84" w:name="unused-variable-yzs"/>
    <w:p>
      <w:pPr>
        <w:pStyle w:val="Heading2"/>
      </w:pPr>
      <w:r>
        <w:t xml:space="preserve">6.19 Unused Variable [YZS]</w:t>
      </w:r>
    </w:p>
    <w:bookmarkStart w:id="82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2"/>
    <w:bookmarkStart w:id="83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3"/>
        </w:numPr>
      </w:pPr>
      <w:r>
        <w:t xml:space="preserve">Follow the guidance of ISO/IEC TR 24772-1:2019 clause 6.19.5.</w:t>
      </w:r>
    </w:p>
    <w:p>
      <w:pPr>
        <w:numPr>
          <w:ilvl w:val="0"/>
          <w:numId w:val="1053"/>
        </w:numPr>
      </w:pPr>
      <w:r>
        <w:t xml:space="preserve">Resolve all compiler warnings for unused variables.</w:t>
      </w:r>
    </w:p>
    <w:bookmarkEnd w:id="83"/>
    <w:bookmarkEnd w:id="84"/>
    <w:bookmarkStart w:id="87" w:name="identifier-name-reuse-yow"/>
    <w:p>
      <w:pPr>
        <w:pStyle w:val="Heading2"/>
      </w:pPr>
      <w:r>
        <w:t xml:space="preserve">6.20 Identifier Name Reuse [YOW]</w:t>
      </w:r>
    </w:p>
    <w:bookmarkStart w:id="85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5"/>
    <w:bookmarkStart w:id="86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4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4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4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4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4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4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4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6"/>
    <w:bookmarkEnd w:id="87"/>
    <w:bookmarkStart w:id="90" w:name="namespace-issues-bjl"/>
    <w:p>
      <w:pPr>
        <w:pStyle w:val="Heading2"/>
      </w:pPr>
      <w:r>
        <w:t xml:space="preserve">6.21 Namespace Issues [BJL]</w:t>
      </w:r>
    </w:p>
    <w:bookmarkStart w:id="88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6"/>
        </w:numPr>
      </w:pPr>
      <w:r>
        <w:t xml:space="preserve">Overloading, where clause 6.20 applies;</w:t>
      </w:r>
    </w:p>
    <w:p>
      <w:pPr>
        <w:numPr>
          <w:ilvl w:val="0"/>
          <w:numId w:val="1056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8"/>
    <w:bookmarkStart w:id="89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7"/>
        </w:numPr>
      </w:pPr>
      <w:r>
        <w:t xml:space="preserve">Follow the guidance of clauses 6.20.2 and 6.41.2 as applicable.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9"/>
    <w:bookmarkEnd w:id="90"/>
    <w:bookmarkStart w:id="93" w:name="initialization-of-variables-lav"/>
    <w:p>
      <w:pPr>
        <w:pStyle w:val="Heading2"/>
      </w:pPr>
      <w:r>
        <w:t xml:space="preserve">6.22 Initialization of Variables [LAV]</w:t>
      </w:r>
    </w:p>
    <w:bookmarkStart w:id="91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1"/>
    <w:bookmarkStart w:id="92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9"/>
        </w:numPr>
      </w:pPr>
      <w:r>
        <w:t xml:space="preserve">Follow the guidance provided in</w:t>
      </w:r>
    </w:p>
    <w:p>
      <w:pPr>
        <w:numPr>
          <w:ilvl w:val="1"/>
          <w:numId w:val="1060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60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2"/>
    <w:bookmarkEnd w:id="93"/>
    <w:bookmarkStart w:id="97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5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61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4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62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62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5"/>
    <w:bookmarkStart w:id="96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3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3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3"/>
        </w:numPr>
      </w:pPr>
      <w:r>
        <w:t xml:space="preserve">Avoid overloading the following operators: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3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6"/>
    <w:bookmarkEnd w:id="97"/>
    <w:bookmarkStart w:id="100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8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5"/>
        </w:numPr>
      </w:pPr>
      <w:r>
        <w:t xml:space="preserve">Write accesses to objects in that expression,</w:t>
      </w:r>
    </w:p>
    <w:p>
      <w:pPr>
        <w:numPr>
          <w:ilvl w:val="0"/>
          <w:numId w:val="1065"/>
        </w:numPr>
      </w:pPr>
      <w:r>
        <w:t xml:space="preserve">Reading a volatile object,</w:t>
      </w:r>
    </w:p>
    <w:p>
      <w:pPr>
        <w:numPr>
          <w:ilvl w:val="0"/>
          <w:numId w:val="1065"/>
        </w:numPr>
      </w:pPr>
      <w:r>
        <w:t xml:space="preserve">Calling a library I/O function, and</w:t>
      </w:r>
    </w:p>
    <w:p>
      <w:pPr>
        <w:numPr>
          <w:ilvl w:val="0"/>
          <w:numId w:val="1065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8"/>
    <w:bookmarkStart w:id="99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6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6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6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6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6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6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6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6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9"/>
    <w:bookmarkEnd w:id="100"/>
    <w:bookmarkStart w:id="103" w:name="likely-incorrect-expression-koa"/>
    <w:p>
      <w:pPr>
        <w:pStyle w:val="Heading2"/>
      </w:pPr>
      <w:r>
        <w:t xml:space="preserve">6.25 Likely Incorrect Expression [KOA]</w:t>
      </w:r>
    </w:p>
    <w:bookmarkStart w:id="101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8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Unary minus on unsigned type (MISRA 5-3-2)</w:t>
      </w:r>
    </w:p>
    <w:p>
      <w:pPr>
        <w:numPr>
          <w:ilvl w:val="0"/>
          <w:numId w:val="1069"/>
        </w:numPr>
      </w:pPr>
      <w:r>
        <w:t xml:space="preserve">Size of a pointer</w:t>
      </w:r>
    </w:p>
    <w:bookmarkEnd w:id="101"/>
    <w:bookmarkStart w:id="102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70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70"/>
        </w:numPr>
        <w:pStyle w:val="BlockText"/>
      </w:pPr>
      <w:r>
        <w:t xml:space="preserve">From Core guidelines: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71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70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72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72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2"/>
    <w:bookmarkEnd w:id="103"/>
    <w:bookmarkStart w:id="106" w:name="dead-and-deactivated-code-xyq"/>
    <w:p>
      <w:pPr>
        <w:pStyle w:val="Heading2"/>
      </w:pPr>
      <w:r>
        <w:t xml:space="preserve">6.26 Dead and Deactivated Code [XYQ]</w:t>
      </w:r>
    </w:p>
    <w:bookmarkStart w:id="104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4"/>
    <w:bookmarkStart w:id="105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3"/>
        </w:numPr>
        <w:pStyle w:val="Compact"/>
      </w:pPr>
      <w:r>
        <w:t xml:space="preserve">Follow the guidance of ISO/IEC TR 24772-1:2019 clause 6.26.5.</w:t>
      </w:r>
    </w:p>
    <w:bookmarkEnd w:id="105"/>
    <w:bookmarkEnd w:id="106"/>
    <w:bookmarkStart w:id="109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7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7"/>
    <w:bookmarkStart w:id="108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4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4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4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8"/>
    <w:bookmarkEnd w:id="109"/>
    <w:bookmarkStart w:id="112" w:name="demarcation-of-control-flow-eoj"/>
    <w:p>
      <w:pPr>
        <w:pStyle w:val="Heading2"/>
      </w:pPr>
      <w:r>
        <w:t xml:space="preserve">6.28 Demarcation of Control Flow [EOJ]</w:t>
      </w:r>
    </w:p>
    <w:bookmarkStart w:id="110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10"/>
    <w:bookmarkStart w:id="111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5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6"/>
        </w:numPr>
      </w:pPr>
      <w:r>
        <w:t xml:space="preserve">Declare loop variables in the initializer of the loop statement</w:t>
      </w:r>
    </w:p>
    <w:p>
      <w:pPr>
        <w:numPr>
          <w:ilvl w:val="0"/>
          <w:numId w:val="1076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1"/>
    <w:bookmarkEnd w:id="112"/>
    <w:bookmarkStart w:id="115" w:name="loop-control-variables-tex"/>
    <w:p>
      <w:pPr>
        <w:pStyle w:val="Heading2"/>
      </w:pPr>
      <w:r>
        <w:t xml:space="preserve">6.29 Loop Control Variables [TEX]</w:t>
      </w:r>
    </w:p>
    <w:bookmarkStart w:id="113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3"/>
    <w:bookmarkStart w:id="114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7"/>
        </w:numPr>
      </w:pPr>
      <w:r>
        <w:t xml:space="preserve">Apply the guidance of ISO/IEC TR 24772-1:2019 clause 6.29.5.</w:t>
      </w:r>
    </w:p>
    <w:p>
      <w:pPr>
        <w:numPr>
          <w:ilvl w:val="0"/>
          <w:numId w:val="1077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7"/>
        </w:numPr>
      </w:pPr>
      <w:r>
        <w:t xml:space="preserve">Use a range for loop in preference to general loops</w:t>
      </w:r>
    </w:p>
    <w:p>
      <w:pPr>
        <w:numPr>
          <w:ilvl w:val="0"/>
          <w:numId w:val="1077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7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4"/>
    <w:bookmarkEnd w:id="115"/>
    <w:bookmarkStart w:id="118" w:name="off-by-one-error-xzh"/>
    <w:p>
      <w:pPr>
        <w:pStyle w:val="Heading2"/>
      </w:pPr>
      <w:r>
        <w:t xml:space="preserve">6.30 Off-by-one Error [XZH]</w:t>
      </w:r>
    </w:p>
    <w:bookmarkStart w:id="116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8"/>
        </w:numPr>
      </w:pPr>
      <w:r>
        <w:t xml:space="preserve">Range-based for loops</w:t>
      </w:r>
    </w:p>
    <w:p>
      <w:pPr>
        <w:numPr>
          <w:ilvl w:val="0"/>
          <w:numId w:val="1078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8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8"/>
        </w:numPr>
      </w:pPr>
      <w:r>
        <w:t xml:space="preserve">Container classes</w:t>
      </w:r>
    </w:p>
    <w:p>
      <w:pPr>
        <w:numPr>
          <w:ilvl w:val="0"/>
          <w:numId w:val="1078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6"/>
    <w:bookmarkStart w:id="117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9"/>
        </w:numPr>
      </w:pPr>
      <w:r>
        <w:t xml:space="preserve">Follow the guidance of ISO/IEC TR 24772-1:2019 clause 6.30.5.</w:t>
      </w:r>
    </w:p>
    <w:p>
      <w:pPr>
        <w:numPr>
          <w:ilvl w:val="0"/>
          <w:numId w:val="1079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9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7"/>
    <w:bookmarkEnd w:id="118"/>
    <w:bookmarkStart w:id="121" w:name="structured-programming-ewd"/>
    <w:p>
      <w:pPr>
        <w:pStyle w:val="Heading2"/>
      </w:pPr>
      <w:r>
        <w:t xml:space="preserve">6.31 Structured Programming [EWD]</w:t>
      </w:r>
    </w:p>
    <w:bookmarkStart w:id="119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9"/>
    <w:bookmarkStart w:id="120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80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80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80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20"/>
    <w:bookmarkEnd w:id="121"/>
    <w:bookmarkStart w:id="124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2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2"/>
    <w:bookmarkStart w:id="123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81"/>
        </w:numPr>
      </w:pPr>
      <w:r>
        <w:t xml:space="preserve">Follow the advice of ISO/IEC TR 24772-1:2019 clause 6.32.5.</w:t>
      </w:r>
    </w:p>
    <w:p>
      <w:pPr>
        <w:numPr>
          <w:ilvl w:val="0"/>
          <w:numId w:val="1081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81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3"/>
    <w:bookmarkEnd w:id="124"/>
    <w:bookmarkStart w:id="127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5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5"/>
    <w:bookmarkStart w:id="126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82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82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82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82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6"/>
    <w:bookmarkEnd w:id="127"/>
    <w:bookmarkStart w:id="130" w:name="subprogram-signature-mismatch-otr"/>
    <w:p>
      <w:pPr>
        <w:pStyle w:val="Heading2"/>
      </w:pPr>
      <w:r>
        <w:t xml:space="preserve">6.34 Subprogram Signature Mismatch [OTR]</w:t>
      </w:r>
    </w:p>
    <w:bookmarkStart w:id="128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3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4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8"/>
    <w:bookmarkStart w:id="129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6.34.5.</w:t>
      </w:r>
    </w:p>
    <w:p>
      <w:pPr>
        <w:numPr>
          <w:ilvl w:val="0"/>
          <w:numId w:val="1085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5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9"/>
    <w:bookmarkEnd w:id="130"/>
    <w:bookmarkStart w:id="133" w:name="recursion-gdl"/>
    <w:p>
      <w:pPr>
        <w:pStyle w:val="Heading2"/>
      </w:pPr>
      <w:r>
        <w:t xml:space="preserve">6.35 Recursion [GDL]</w:t>
      </w:r>
    </w:p>
    <w:bookmarkStart w:id="131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1"/>
    <w:bookmarkStart w:id="132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6"/>
        </w:numPr>
        <w:pStyle w:val="Compact"/>
      </w:pPr>
      <w:r>
        <w:t xml:space="preserve">Apply the guidance described in TR 24772-1 clause 6.35.5.</w:t>
      </w:r>
    </w:p>
    <w:bookmarkEnd w:id="132"/>
    <w:bookmarkEnd w:id="133"/>
    <w:bookmarkStart w:id="140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8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4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7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8"/>
    <w:bookmarkStart w:id="139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7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7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7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7"/>
        </w:numPr>
      </w:pPr>
      <w:r>
        <w:t xml:space="preserve">Avoid error handling based on global state.</w:t>
      </w:r>
    </w:p>
    <w:p>
      <w:pPr>
        <w:numPr>
          <w:ilvl w:val="0"/>
          <w:numId w:val="1087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7"/>
        </w:numPr>
      </w:pPr>
      <w:r>
        <w:t xml:space="preserve">Prefer throwing exceptions to returning error values.</w:t>
      </w:r>
    </w:p>
    <w:p>
      <w:pPr>
        <w:numPr>
          <w:ilvl w:val="0"/>
          <w:numId w:val="1087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7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7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7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7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7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9"/>
    <w:bookmarkEnd w:id="140"/>
    <w:bookmarkStart w:id="143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1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1"/>
    <w:bookmarkStart w:id="142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8"/>
        </w:numPr>
      </w:pPr>
      <w:r>
        <w:t xml:space="preserve">Follow the guidelines of ISO/IEC TR 24772-1:2019 clause 6.38.5.</w:t>
      </w:r>
    </w:p>
    <w:p>
      <w:pPr>
        <w:numPr>
          <w:ilvl w:val="0"/>
          <w:numId w:val="1088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8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8"/>
        </w:numPr>
      </w:pPr>
      <w:r>
        <w:t xml:space="preserve">Avoid the use of C-style casts and reinterpret_cast</w:t>
      </w:r>
    </w:p>
    <w:bookmarkEnd w:id="142"/>
    <w:bookmarkEnd w:id="143"/>
    <w:bookmarkStart w:id="146" w:name="deep-vs.-shallow-copying-yan"/>
    <w:p>
      <w:pPr>
        <w:pStyle w:val="Heading2"/>
      </w:pPr>
      <w:r>
        <w:t xml:space="preserve">6.38 Deep vs. Shallow Copying [YAN]</w:t>
      </w:r>
    </w:p>
    <w:bookmarkStart w:id="144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4"/>
    <w:bookmarkStart w:id="145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9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9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9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9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9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5"/>
    <w:bookmarkEnd w:id="146"/>
    <w:bookmarkStart w:id="149" w:name="memory-leak-and-heap-fragmentation-xyl"/>
    <w:p>
      <w:pPr>
        <w:pStyle w:val="Heading2"/>
      </w:pPr>
      <w:r>
        <w:t xml:space="preserve">6.39 Memory Leak and Heap Fragmentation [XYL]</w:t>
      </w:r>
    </w:p>
    <w:bookmarkStart w:id="147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90"/>
        </w:numPr>
      </w:pPr>
      <w:r>
        <w:t xml:space="preserve">When an unhandled exception escapes its thread of execution</w:t>
      </w:r>
    </w:p>
    <w:p>
      <w:pPr>
        <w:numPr>
          <w:ilvl w:val="0"/>
          <w:numId w:val="1090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7"/>
    <w:bookmarkStart w:id="148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91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91"/>
        </w:numPr>
      </w:pPr>
      <w:r>
        <w:t xml:space="preserve">Follow C++ Core guidelines section R and CERT MEM51.</w:t>
      </w:r>
    </w:p>
    <w:p>
      <w:pPr>
        <w:numPr>
          <w:ilvl w:val="0"/>
          <w:numId w:val="1091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91"/>
        </w:numPr>
      </w:pPr>
      <w:r>
        <w:t xml:space="preserve">Use dynamic analysis tools to detect cycles.</w:t>
      </w:r>
    </w:p>
    <w:p>
      <w:pPr>
        <w:numPr>
          <w:ilvl w:val="0"/>
          <w:numId w:val="1091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91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91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8"/>
    <w:bookmarkEnd w:id="149"/>
    <w:bookmarkStart w:id="152" w:name="templates-and-generics-sym"/>
    <w:p>
      <w:pPr>
        <w:pStyle w:val="Heading2"/>
      </w:pPr>
      <w:r>
        <w:t xml:space="preserve">6.40 Templates and Generics [SYM]</w:t>
      </w:r>
    </w:p>
    <w:bookmarkStart w:id="150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92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92"/>
        </w:numPr>
      </w:pPr>
      <w:r>
        <w:t xml:space="preserve">They have no runtime overhead for inline operations; and</w:t>
      </w:r>
    </w:p>
    <w:p>
      <w:pPr>
        <w:numPr>
          <w:ilvl w:val="0"/>
          <w:numId w:val="1092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3"/>
        </w:numPr>
      </w:pPr>
      <w:r>
        <w:t xml:space="preserve">The program compiles and executes safely;</w:t>
      </w:r>
    </w:p>
    <w:p>
      <w:pPr>
        <w:numPr>
          <w:ilvl w:val="0"/>
          <w:numId w:val="1093"/>
        </w:numPr>
      </w:pPr>
      <w:r>
        <w:t xml:space="preserve">The program fails to compile; or</w:t>
      </w:r>
    </w:p>
    <w:p>
      <w:pPr>
        <w:numPr>
          <w:ilvl w:val="0"/>
          <w:numId w:val="1093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4"/>
        </w:numPr>
      </w:pPr>
      <w:r>
        <w:t xml:space="preserve">the first template argument must be a forward iterator.</w:t>
      </w:r>
    </w:p>
    <w:p>
      <w:pPr>
        <w:numPr>
          <w:ilvl w:val="0"/>
          <w:numId w:val="1094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50"/>
    <w:bookmarkStart w:id="151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5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5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5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6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5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5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5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7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8"/>
        </w:numPr>
      </w:pPr>
      <w:r>
        <w:t xml:space="preserve">For template specialization, declared the specialization:</w:t>
      </w:r>
    </w:p>
    <w:p>
      <w:pPr>
        <w:numPr>
          <w:ilvl w:val="1"/>
          <w:numId w:val="1099"/>
        </w:numPr>
      </w:pPr>
      <w:r>
        <w:t xml:space="preserve">In the same file as the primary template; or</w:t>
      </w:r>
    </w:p>
    <w:p>
      <w:pPr>
        <w:numPr>
          <w:ilvl w:val="1"/>
          <w:numId w:val="1099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8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1"/>
    <w:bookmarkEnd w:id="152"/>
    <w:bookmarkStart w:id="153" w:name="inheritance-rip"/>
    <w:p>
      <w:pPr>
        <w:pStyle w:val="Heading2"/>
      </w:pPr>
      <w:r>
        <w:t xml:space="preserve">6.41 Inheritance [RIP]</w:t>
      </w:r>
    </w:p>
    <w:bookmarkEnd w:id="153"/>
    <w:bookmarkStart w:id="154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100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100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0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3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100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4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100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5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6"/>
        </w:numPr>
      </w:pPr>
      <w:r>
        <w:t xml:space="preserve">Guidance: Keep inheritance hierarchies short</w:t>
      </w:r>
    </w:p>
    <w:p>
      <w:pPr>
        <w:numPr>
          <w:ilvl w:val="0"/>
          <w:numId w:val="1106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6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4"/>
    <w:bookmarkStart w:id="155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7"/>
        </w:numPr>
      </w:pPr>
      <w:r>
        <w:t xml:space="preserve">Follow the guidance of ISO/IEC TR 24772-1:2019 clause 41.5.</w:t>
      </w:r>
    </w:p>
    <w:p>
      <w:pPr>
        <w:numPr>
          <w:ilvl w:val="0"/>
          <w:numId w:val="1107"/>
        </w:numPr>
      </w:pPr>
      <w:r>
        <w:t xml:space="preserve">Avoid the use of multiple inheritance whenever possible.</w:t>
      </w:r>
    </w:p>
    <w:p>
      <w:pPr>
        <w:numPr>
          <w:ilvl w:val="0"/>
          <w:numId w:val="1107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7"/>
        </w:numPr>
      </w:pPr>
      <w:r>
        <w:t xml:space="preserve">Keep inheritance hierarchies short and narrow</w:t>
      </w:r>
    </w:p>
    <w:p>
      <w:pPr>
        <w:numPr>
          <w:ilvl w:val="0"/>
          <w:numId w:val="1107"/>
        </w:numPr>
      </w:pPr>
      <w:r>
        <w:t xml:space="preserve">Prefer non-virtual functions to virtual functions</w:t>
      </w:r>
    </w:p>
    <w:p>
      <w:pPr>
        <w:numPr>
          <w:ilvl w:val="0"/>
          <w:numId w:val="1107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7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7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7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7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7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7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7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7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7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5"/>
    <w:bookmarkStart w:id="158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6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6"/>
    <w:bookmarkStart w:id="157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8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8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8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8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8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8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7"/>
    <w:bookmarkEnd w:id="158"/>
    <w:bookmarkStart w:id="161" w:name="redispatching-pph"/>
    <w:p>
      <w:pPr>
        <w:pStyle w:val="Heading2"/>
      </w:pPr>
      <w:r>
        <w:t xml:space="preserve">6.43 Redispatching [PPH]</w:t>
      </w:r>
    </w:p>
    <w:bookmarkStart w:id="159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9"/>
    <w:bookmarkStart w:id="160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9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9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60"/>
    <w:bookmarkEnd w:id="161"/>
    <w:bookmarkStart w:id="164" w:name="polymorphic-variables-bkk"/>
    <w:p>
      <w:pPr>
        <w:pStyle w:val="Heading2"/>
      </w:pPr>
      <w:r>
        <w:t xml:space="preserve">6.44 Polymorphic variables [BKK]</w:t>
      </w:r>
    </w:p>
    <w:bookmarkStart w:id="162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10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10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10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10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11"/>
        </w:numPr>
      </w:pPr>
      <w:r>
        <w:t xml:space="preserve">are the only ones that can be performed implicitly</w:t>
      </w:r>
    </w:p>
    <w:p>
      <w:pPr>
        <w:numPr>
          <w:ilvl w:val="0"/>
          <w:numId w:val="1111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12"/>
        </w:numPr>
      </w:pPr>
      <w:r>
        <w:t xml:space="preserve">are explicit;</w:t>
      </w:r>
    </w:p>
    <w:p>
      <w:pPr>
        <w:numPr>
          <w:ilvl w:val="0"/>
          <w:numId w:val="1112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12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12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3"/>
        </w:numPr>
      </w:pPr>
      <w:r>
        <w:t xml:space="preserve">are explicit</w:t>
      </w:r>
    </w:p>
    <w:p>
      <w:pPr>
        <w:numPr>
          <w:ilvl w:val="0"/>
          <w:numId w:val="1113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3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2"/>
    <w:bookmarkStart w:id="163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4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4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4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4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4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4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5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6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3"/>
    <w:bookmarkEnd w:id="164"/>
    <w:bookmarkStart w:id="165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7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5"/>
    <w:bookmarkStart w:id="168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6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6"/>
    <w:bookmarkStart w:id="167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8"/>
        </w:numPr>
      </w:pPr>
      <w:r>
        <w:t xml:space="preserve">Follow the guidelines of ISO/IEC TR 24772-1 clause 6.47.5.</w:t>
      </w:r>
    </w:p>
    <w:p>
      <w:pPr>
        <w:numPr>
          <w:ilvl w:val="0"/>
          <w:numId w:val="1118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8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7"/>
    <w:bookmarkEnd w:id="168"/>
    <w:bookmarkStart w:id="171" w:name="inter-language-calling-djs"/>
    <w:p>
      <w:pPr>
        <w:pStyle w:val="Heading2"/>
      </w:pPr>
      <w:r>
        <w:t xml:space="preserve">6.47 Inter-language Calling [DJS]</w:t>
      </w:r>
    </w:p>
    <w:bookmarkStart w:id="169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9"/>
    <w:bookmarkStart w:id="170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9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9"/>
        </w:numPr>
      </w:pPr>
      <w:r>
        <w:t xml:space="preserve">Use standard layout types for the interoperable interfaces.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9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9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9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9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70"/>
    <w:bookmarkEnd w:id="171"/>
    <w:bookmarkStart w:id="174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2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2"/>
    <w:bookmarkStart w:id="173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3"/>
    <w:bookmarkEnd w:id="174"/>
    <w:bookmarkStart w:id="177" w:name="library-signature-nsq"/>
    <w:p>
      <w:pPr>
        <w:pStyle w:val="Heading2"/>
      </w:pPr>
      <w:r>
        <w:t xml:space="preserve">6.49 Library Signature [NSQ]</w:t>
      </w:r>
    </w:p>
    <w:bookmarkStart w:id="175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5"/>
    <w:bookmarkStart w:id="176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21"/>
        </w:numPr>
      </w:pPr>
      <w:r>
        <w:t xml:space="preserve">Follow the guidance of ISO/IEC TR 24772-1:2019 clause 6.49.5.</w:t>
      </w:r>
    </w:p>
    <w:p>
      <w:pPr>
        <w:numPr>
          <w:ilvl w:val="0"/>
          <w:numId w:val="1121"/>
        </w:numPr>
      </w:pPr>
      <w:r>
        <w:t xml:space="preserve">Follow the advice of clause 6.47.2 as applicable.</w:t>
      </w:r>
    </w:p>
    <w:bookmarkEnd w:id="176"/>
    <w:bookmarkEnd w:id="177"/>
    <w:bookmarkStart w:id="180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8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8"/>
    <w:bookmarkStart w:id="179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22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22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22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9"/>
    <w:bookmarkEnd w:id="180"/>
    <w:bookmarkStart w:id="183" w:name="pre-processor-directives-nmp"/>
    <w:p>
      <w:pPr>
        <w:pStyle w:val="Heading2"/>
      </w:pPr>
      <w:r>
        <w:t xml:space="preserve">6.51 Pre-processor Directives [NMP]</w:t>
      </w:r>
    </w:p>
    <w:bookmarkStart w:id="181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1"/>
    <w:bookmarkStart w:id="182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3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3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3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3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3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3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3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3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3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2"/>
    <w:bookmarkEnd w:id="183"/>
    <w:bookmarkStart w:id="186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4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4"/>
    <w:bookmarkStart w:id="185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5"/>
    <w:bookmarkEnd w:id="186"/>
    <w:bookmarkStart w:id="189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7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7"/>
    <w:bookmarkStart w:id="188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6.53.5.</w:t>
      </w:r>
    </w:p>
    <w:p>
      <w:pPr>
        <w:numPr>
          <w:ilvl w:val="0"/>
          <w:numId w:val="1124"/>
        </w:numPr>
      </w:pPr>
      <w:r>
        <w:t xml:space="preserve">Enable checks that warn about unsafe operations.</w:t>
      </w:r>
    </w:p>
    <w:p>
      <w:pPr>
        <w:numPr>
          <w:ilvl w:val="0"/>
          <w:numId w:val="1124"/>
        </w:numPr>
      </w:pPr>
      <w:r>
        <w:t xml:space="preserve">Use static analysis tools to detect unsafe constructs.</w:t>
      </w:r>
    </w:p>
    <w:bookmarkEnd w:id="188"/>
    <w:bookmarkEnd w:id="189"/>
    <w:bookmarkStart w:id="192" w:name="obscure-language-features-brs"/>
    <w:p>
      <w:pPr>
        <w:pStyle w:val="Heading2"/>
      </w:pPr>
      <w:r>
        <w:t xml:space="preserve">6.54 Obscure Language Features [BRS]</w:t>
      </w:r>
    </w:p>
    <w:bookmarkStart w:id="190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90"/>
    <w:bookmarkStart w:id="191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5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1"/>
    <w:bookmarkEnd w:id="192"/>
    <w:bookmarkStart w:id="195" w:name="undefined-behaviour-ewf"/>
    <w:p>
      <w:pPr>
        <w:pStyle w:val="Heading2"/>
      </w:pPr>
      <w:r>
        <w:t xml:space="preserve">6.56 Undefined Behaviour [EWF]</w:t>
      </w:r>
    </w:p>
    <w:bookmarkStart w:id="193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3"/>
    <w:bookmarkStart w:id="194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6"/>
        </w:numPr>
      </w:pPr>
      <w:r>
        <w:t xml:space="preserve">Follow the guidelines of ISO/IEC TR 24772-1:2019 clause 6.56.5.</w:t>
      </w:r>
    </w:p>
    <w:p>
      <w:pPr>
        <w:numPr>
          <w:ilvl w:val="0"/>
          <w:numId w:val="1126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6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6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6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4"/>
    <w:bookmarkEnd w:id="195"/>
    <w:bookmarkStart w:id="198" w:name="implementationdefined-behaviour-fab"/>
    <w:p>
      <w:pPr>
        <w:pStyle w:val="Heading2"/>
      </w:pPr>
      <w:r>
        <w:t xml:space="preserve">6.57 Implementation–defined Behaviour [FAB]</w:t>
      </w:r>
    </w:p>
    <w:bookmarkStart w:id="196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6"/>
    <w:bookmarkStart w:id="197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7"/>
        </w:numPr>
      </w:pPr>
      <w:r>
        <w:t xml:space="preserve">Follow the guidelines of ISO/IEC TR 24772-1:2019 clause 6.57.5.</w:t>
      </w:r>
    </w:p>
    <w:p>
      <w:pPr>
        <w:numPr>
          <w:ilvl w:val="0"/>
          <w:numId w:val="1127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7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7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7"/>
    <w:bookmarkEnd w:id="198"/>
    <w:bookmarkStart w:id="201" w:name="deprecated-language-features-mem"/>
    <w:p>
      <w:pPr>
        <w:pStyle w:val="Heading2"/>
      </w:pPr>
      <w:r>
        <w:t xml:space="preserve">6.58 Deprecated Language Features [MEM]</w:t>
      </w:r>
    </w:p>
    <w:bookmarkStart w:id="199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9"/>
    <w:bookmarkStart w:id="200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8"/>
        </w:numPr>
      </w:pPr>
      <w:r>
        <w:t xml:space="preserve">Follow the guidelines of ISO/IEC TR 24772-1 clause 6.58.5.</w:t>
      </w:r>
    </w:p>
    <w:p>
      <w:pPr>
        <w:numPr>
          <w:ilvl w:val="0"/>
          <w:numId w:val="1128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8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200"/>
    <w:bookmarkEnd w:id="201"/>
    <w:bookmarkStart w:id="204" w:name="concurrency-activation-cga"/>
    <w:p>
      <w:pPr>
        <w:pStyle w:val="Heading2"/>
      </w:pPr>
      <w:r>
        <w:t xml:space="preserve">6.59 Concurrency – Activation [CGA]</w:t>
      </w:r>
    </w:p>
    <w:bookmarkStart w:id="202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9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9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9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2"/>
    <w:bookmarkStart w:id="203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30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30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30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3"/>
    <w:bookmarkEnd w:id="204"/>
    <w:bookmarkStart w:id="206" w:name="concurrency-directed-termination-cgt"/>
    <w:p>
      <w:pPr>
        <w:pStyle w:val="Heading2"/>
      </w:pPr>
      <w:r>
        <w:t xml:space="preserve">6.60 Concurrency – Directed termination [CGT]</w:t>
      </w:r>
    </w:p>
    <w:bookmarkStart w:id="205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5"/>
    <w:bookmarkEnd w:id="206"/>
    <w:bookmarkStart w:id="207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7"/>
    <w:bookmarkStart w:id="210" w:name="concurrent-data-access-cgx"/>
    <w:p>
      <w:pPr>
        <w:pStyle w:val="Heading2"/>
      </w:pPr>
      <w:r>
        <w:t xml:space="preserve">6.61 Concurrent Data Access [CGX]</w:t>
      </w:r>
    </w:p>
    <w:bookmarkStart w:id="208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8"/>
    <w:bookmarkStart w:id="209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31"/>
        </w:numPr>
      </w:pPr>
      <w:r>
        <w:t xml:space="preserve">Follow the guidance of ISO/IEC TR 24772-1 clause 6.62.5.</w:t>
      </w:r>
    </w:p>
    <w:p>
      <w:pPr>
        <w:numPr>
          <w:ilvl w:val="0"/>
          <w:numId w:val="1131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31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31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32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31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31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9"/>
    <w:bookmarkEnd w:id="210"/>
    <w:bookmarkStart w:id="214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1" w:name="applicability-to-language"/>
    <w:p>
      <w:pPr>
        <w:pStyle w:val="Heading3"/>
      </w:pPr>
      <w:r>
        <w:t xml:space="preserve">6.62.1 Applicability to language</w:t>
      </w:r>
    </w:p>
    <w:bookmarkEnd w:id="211"/>
    <w:bookmarkStart w:id="212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2"/>
    <w:bookmarkStart w:id="213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3"/>
        </w:numPr>
      </w:pPr>
      <w:r>
        <w:t xml:space="preserve">Follow the guidelines of TR 24772-1 clause 6.63.5.</w:t>
      </w:r>
    </w:p>
    <w:p>
      <w:pPr>
        <w:numPr>
          <w:ilvl w:val="0"/>
          <w:numId w:val="1133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3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3"/>
    <w:bookmarkEnd w:id="214"/>
    <w:bookmarkStart w:id="236" w:name="protocol-lock-errors-cgm"/>
    <w:p>
      <w:pPr>
        <w:pStyle w:val="Heading2"/>
      </w:pPr>
      <w:r>
        <w:t xml:space="preserve">6.63 Protocol Lock Errors [CGM]</w:t>
      </w:r>
    </w:p>
    <w:bookmarkStart w:id="215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5"/>
    <w:bookmarkStart w:id="235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4"/>
        </w:numPr>
      </w:pPr>
      <w:r>
        <w:t xml:space="preserve">Follow the guidelines of TR 24772-1 clause 6.63.5.</w:t>
      </w:r>
    </w:p>
    <w:p>
      <w:pPr>
        <w:numPr>
          <w:ilvl w:val="0"/>
          <w:numId w:val="1134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4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4"/>
        </w:numPr>
      </w:pPr>
      <w:r>
        <w:t xml:space="preserve">Use the C++ Task mechanism in preference to threads …</w:t>
      </w:r>
    </w:p>
    <w:p>
      <w:pPr>
        <w:numPr>
          <w:ilvl w:val="0"/>
          <w:numId w:val="1134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4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4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4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4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4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4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4"/>
        </w:numPr>
      </w:pPr>
      <w:hyperlink r:id="rId216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4"/>
        </w:numPr>
      </w:pPr>
      <w:hyperlink r:id="rId217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4"/>
        </w:numPr>
      </w:pPr>
      <w:hyperlink r:id="rId218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4"/>
        </w:numPr>
      </w:pPr>
      <w:hyperlink r:id="rId219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4"/>
        </w:numPr>
      </w:pPr>
      <w:hyperlink r:id="rId220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4"/>
        </w:numPr>
      </w:pPr>
      <w:hyperlink r:id="rId221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4"/>
        </w:numPr>
      </w:pPr>
      <w:hyperlink r:id="rId222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4"/>
        </w:numPr>
      </w:pPr>
      <w:hyperlink r:id="rId223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4"/>
        </w:numPr>
      </w:pPr>
      <w:hyperlink r:id="rId224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4"/>
        </w:numPr>
      </w:pPr>
      <w:hyperlink r:id="rId225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4"/>
        </w:numPr>
      </w:pPr>
      <w:hyperlink r:id="rId226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4"/>
        </w:numPr>
      </w:pPr>
      <w:hyperlink r:id="rId227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4"/>
        </w:numPr>
      </w:pPr>
      <w:hyperlink r:id="rId228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4"/>
        </w:numPr>
      </w:pPr>
      <w:hyperlink r:id="rId229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4"/>
        </w:numPr>
      </w:pPr>
      <w:hyperlink r:id="rId230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4"/>
        </w:numPr>
      </w:pPr>
      <w:hyperlink r:id="rId231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4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4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4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4"/>
        </w:numPr>
      </w:pPr>
      <w:hyperlink r:id="rId232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4"/>
        </w:numPr>
      </w:pPr>
      <w:hyperlink r:id="rId233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4"/>
        </w:numPr>
      </w:pPr>
      <w:hyperlink r:id="rId234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5"/>
    <w:bookmarkEnd w:id="236"/>
    <w:bookmarkStart w:id="239" w:name="uncontrolled-format-string-shl"/>
    <w:p>
      <w:pPr>
        <w:pStyle w:val="Heading2"/>
      </w:pPr>
      <w:r>
        <w:t xml:space="preserve">6.64 Uncontrolled Format String [SHL]</w:t>
      </w:r>
    </w:p>
    <w:bookmarkStart w:id="237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7"/>
    <w:bookmarkStart w:id="238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8"/>
    <w:bookmarkEnd w:id="239"/>
    <w:bookmarkEnd w:id="240"/>
    <w:bookmarkStart w:id="243" w:name="modifying-constants-ujo"/>
    <w:p>
      <w:pPr>
        <w:pStyle w:val="Heading1"/>
      </w:pPr>
      <w:r>
        <w:t xml:space="preserve">6.65 Modifying constants [UJO]</w:t>
      </w:r>
    </w:p>
    <w:bookmarkStart w:id="241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1"/>
    <w:bookmarkStart w:id="242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5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5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5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5"/>
        </w:numPr>
      </w:pPr>
      <w:r>
        <w:t xml:space="preserve">If a</w:t>
      </w:r>
    </w:p>
    <w:bookmarkEnd w:id="242"/>
    <w:bookmarkEnd w:id="243"/>
    <w:bookmarkStart w:id="244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4"/>
    <w:bookmarkStart w:id="246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6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6"/>
    <w:bookmarkStart w:id="260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7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8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9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50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1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2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3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5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6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7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8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9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60"/>
    <w:bookmarkStart w:id="261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6" Target="http://archive.gao.gov/t2pbat6/145960.pdf" TargetMode="External" /><Relationship Type="http://schemas.openxmlformats.org/officeDocument/2006/relationships/hyperlink" Id="rId254" Target="http://cwe.mitre.org/" TargetMode="External" /><Relationship Type="http://schemas.openxmlformats.org/officeDocument/2006/relationships/hyperlink" Id="rId136" Target="http://en.cppreference.com/w/cpp/io/iostream_category" TargetMode="External" /><Relationship Type="http://schemas.openxmlformats.org/officeDocument/2006/relationships/hyperlink" Id="rId250" Target="http://en.wikisource.org/wiki/Ariane_501_Inquiry_Board_report" TargetMode="External" /><Relationship Type="http://schemas.openxmlformats.org/officeDocument/2006/relationships/hyperlink" Id="rId248" Target="http://esamultimedia.esa.int/docs/esa-x-1819eng.pdf" TargetMode="External" /><Relationship Type="http://schemas.openxmlformats.org/officeDocument/2006/relationships/hyperlink" Id="rId252" Target="http://myweb.lmu.edu/dondi/share/pl/type-checking-v02.pdf" TargetMode="External" /><Relationship Type="http://schemas.openxmlformats.org/officeDocument/2006/relationships/hyperlink" Id="rId259" Target="http://www.adaic.org/docs/95style/95style.pdf" TargetMode="External" /><Relationship Type="http://schemas.openxmlformats.org/officeDocument/2006/relationships/hyperlink" Id="rId251" Target="http://www.cert.org/books/secure-coding" TargetMode="External" /><Relationship Type="http://schemas.openxmlformats.org/officeDocument/2006/relationships/hyperlink" Id="rId249" Target="http://www.embedded.com/1999/9907/9907feat2.htm" TargetMode="External" /><Relationship Type="http://schemas.openxmlformats.org/officeDocument/2006/relationships/hyperlink" Id="rId253" Target="http://www.misra.org.uk/" TargetMode="External" /><Relationship Type="http://schemas.openxmlformats.org/officeDocument/2006/relationships/hyperlink" Id="rId255" Target="http://www.nsc.liu.se/wg25/book" TargetMode="External" /><Relationship Type="http://schemas.openxmlformats.org/officeDocument/2006/relationships/hyperlink" Id="rId257" Target="http://www.siam.org/siamnews/general/patriot.htm" TargetMode="External" /><Relationship Type="http://schemas.openxmlformats.org/officeDocument/2006/relationships/hyperlink" Id="rId230" Target="https://docs.google.com/document/d/14E0BYqsH_d7fMKvXvaZWoNWtIC65cYBw0aZp4dlev0Q/edit#heading=h.13kr181fh926" TargetMode="External" /><Relationship Type="http://schemas.openxmlformats.org/officeDocument/2006/relationships/hyperlink" Id="rId217" Target="https://docs.google.com/document/d/14E0BYqsH_d7fMKvXvaZWoNWtIC65cYBw0aZp4dlev0Q/edit#heading=h.1kfv9jdgd8ib" TargetMode="External" /><Relationship Type="http://schemas.openxmlformats.org/officeDocument/2006/relationships/hyperlink" Id="rId227" Target="https://docs.google.com/document/d/14E0BYqsH_d7fMKvXvaZWoNWtIC65cYBw0aZp4dlev0Q/edit#heading=h.3icrgfn0r3ae" TargetMode="External" /><Relationship Type="http://schemas.openxmlformats.org/officeDocument/2006/relationships/hyperlink" Id="rId218" Target="https://docs.google.com/document/d/14E0BYqsH_d7fMKvXvaZWoNWtIC65cYBw0aZp4dlev0Q/edit#heading=h.729gvquxakq8" TargetMode="External" /><Relationship Type="http://schemas.openxmlformats.org/officeDocument/2006/relationships/hyperlink" Id="rId225" Target="https://docs.google.com/document/d/14E0BYqsH_d7fMKvXvaZWoNWtIC65cYBw0aZp4dlev0Q/edit#heading=h.7pf8azwmy8l4" TargetMode="External" /><Relationship Type="http://schemas.openxmlformats.org/officeDocument/2006/relationships/hyperlink" Id="rId219" Target="https://docs.google.com/document/d/14E0BYqsH_d7fMKvXvaZWoNWtIC65cYBw0aZp4dlev0Q/edit#heading=h.920crsa3sscx" TargetMode="External" /><Relationship Type="http://schemas.openxmlformats.org/officeDocument/2006/relationships/hyperlink" Id="rId233" Target="https://docs.google.com/document/d/14E0BYqsH_d7fMKvXvaZWoNWtIC65cYBw0aZp4dlev0Q/edit#heading=h.9syx86lze887" TargetMode="External" /><Relationship Type="http://schemas.openxmlformats.org/officeDocument/2006/relationships/hyperlink" Id="rId232" Target="https://docs.google.com/document/d/14E0BYqsH_d7fMKvXvaZWoNWtIC65cYBw0aZp4dlev0Q/edit#heading=h.ca8el9ehijae" TargetMode="External" /><Relationship Type="http://schemas.openxmlformats.org/officeDocument/2006/relationships/hyperlink" Id="rId221" Target="https://docs.google.com/document/d/14E0BYqsH_d7fMKvXvaZWoNWtIC65cYBw0aZp4dlev0Q/edit#heading=h.d6qklu5mi3fn" TargetMode="External" /><Relationship Type="http://schemas.openxmlformats.org/officeDocument/2006/relationships/hyperlink" Id="rId223" Target="https://docs.google.com/document/d/14E0BYqsH_d7fMKvXvaZWoNWtIC65cYBw0aZp4dlev0Q/edit#heading=h.einwxosnxvhf" TargetMode="External" /><Relationship Type="http://schemas.openxmlformats.org/officeDocument/2006/relationships/hyperlink" Id="rId228" Target="https://docs.google.com/document/d/14E0BYqsH_d7fMKvXvaZWoNWtIC65cYBw0aZp4dlev0Q/edit#heading=h.g0cdm0bk7l9l" TargetMode="External" /><Relationship Type="http://schemas.openxmlformats.org/officeDocument/2006/relationships/hyperlink" Id="rId234" Target="https://docs.google.com/document/d/14E0BYqsH_d7fMKvXvaZWoNWtIC65cYBw0aZp4dlev0Q/edit#heading=h.gg4jn12ygzi5" TargetMode="External" /><Relationship Type="http://schemas.openxmlformats.org/officeDocument/2006/relationships/hyperlink" Id="rId222" Target="https://docs.google.com/document/d/14E0BYqsH_d7fMKvXvaZWoNWtIC65cYBw0aZp4dlev0Q/edit#heading=h.isn3bwogdp97" TargetMode="External" /><Relationship Type="http://schemas.openxmlformats.org/officeDocument/2006/relationships/hyperlink" Id="rId216" Target="https://docs.google.com/document/d/14E0BYqsH_d7fMKvXvaZWoNWtIC65cYBw0aZp4dlev0Q/edit#heading=h.kj1vcao94oy1" TargetMode="External" /><Relationship Type="http://schemas.openxmlformats.org/officeDocument/2006/relationships/hyperlink" Id="rId229" Target="https://docs.google.com/document/d/14E0BYqsH_d7fMKvXvaZWoNWtIC65cYBw0aZp4dlev0Q/edit#heading=h.ul4y0p7eoih1" TargetMode="External" /><Relationship Type="http://schemas.openxmlformats.org/officeDocument/2006/relationships/hyperlink" Id="rId224" Target="https://docs.google.com/document/d/14E0BYqsH_d7fMKvXvaZWoNWtIC65cYBw0aZp4dlev0Q/edit#heading=h.vq776pxv4nn5" TargetMode="External" /><Relationship Type="http://schemas.openxmlformats.org/officeDocument/2006/relationships/hyperlink" Id="rId220" Target="https://docs.google.com/document/d/14E0BYqsH_d7fMKvXvaZWoNWtIC65cYBw0aZp4dlev0Q/edit#heading=h.xufkh9tsiuk8" TargetMode="External" /><Relationship Type="http://schemas.openxmlformats.org/officeDocument/2006/relationships/hyperlink" Id="rId231" Target="https://docs.google.com/document/d/14E0BYqsH_d7fMKvXvaZWoNWtIC65cYBw0aZp4dlev0Q/edit#heading=h.yt0hxah53p9e" TargetMode="External" /><Relationship Type="http://schemas.openxmlformats.org/officeDocument/2006/relationships/hyperlink" Id="rId226" Target="https://docs.google.com/document/d/14E0BYqsH_d7fMKvXvaZWoNWtIC65cYBw0aZp4dlev0Q/edit#heading=h.z9k66jbl65u6" TargetMode="External" /><Relationship Type="http://schemas.openxmlformats.org/officeDocument/2006/relationships/hyperlink" Id="rId137" Target="https://en.cppreference.com/w/cpp/error/error_category" TargetMode="External" /><Relationship Type="http://schemas.openxmlformats.org/officeDocument/2006/relationships/hyperlink" Id="rId135" Target="https://en.cppreference.com/w/cpp/error/system_category" TargetMode="External" /><Relationship Type="http://schemas.openxmlformats.org/officeDocument/2006/relationships/hyperlink" Id="rId94" Target="https://en.cppreference.com/w/cpp/language/operator_precedence" TargetMode="External" /><Relationship Type="http://schemas.openxmlformats.org/officeDocument/2006/relationships/hyperlink" Id="rId134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8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2021-06-29T03:39:16Z</dcterms:created>
  <dcterms:modified xsi:type="dcterms:W3CDTF">2021-06-29T03:39:16Z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