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9"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p>
      <w:pPr>
        <w:pStyle w:val="FirstParagraph"/>
      </w:pPr>
      <w:r>
        <w:t xml:space="preserve">The following example demonstrates a situation where the late addition of a more specialized template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1"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r>
        <w:br/>
      </w:r>
      <w:r>
        <w:br/>
      </w:r>
      <w:r>
        <w:br/>
      </w:r>
      <w:r>
        <w:br/>
      </w:r>
    </w:p>
    <w:p>
      <w:pPr>
        <w:pStyle w:val="FirstParagraph"/>
      </w:pPr>
      <w:r>
        <w:t xml:space="preserve">```</w:t>
      </w:r>
      <w:r>
        <w:t xml:space="preserve"> </w:t>
      </w:r>
      <w:r>
        <w:t xml:space="preserve">### 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 qualified-id or this-&gt; to refer to names that may be found in a</w:t>
      </w:r>
      <w:r>
        <w:t xml:space="preserve"> </w:t>
      </w:r>
      <w:r>
        <w:t xml:space="preserve">dependent base class.</w:t>
      </w:r>
    </w:p>
    <w:p>
      <w:pPr>
        <w:numPr>
          <w:ilvl w:val="0"/>
          <w:numId w:val="1078"/>
        </w:numPr>
      </w:pPr>
      <w:r>
        <w:t xml:space="preserve">For template specialization, declare the specialization:</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0"/>
    <w:bookmarkEnd w:id="151"/>
    <w:bookmarkStart w:id="152" w:name="RIP"/>
    <w:p>
      <w:pPr>
        <w:pStyle w:val="Heading2"/>
      </w:pPr>
      <w:r>
        <w:t xml:space="preserve">6.41 Inheritance [RIP]</w:t>
      </w:r>
    </w:p>
    <w:bookmarkEnd w:id="152"/>
    <w:bookmarkStart w:id="15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1"/>
        </w:numPr>
        <w:pStyle w:val="SourceCode"/>
      </w:pPr>
      <w:r>
        <w:rPr>
          <w:rStyle w:val="VerbatimChar"/>
        </w:rPr>
        <w:t xml:space="preserve">  reduce the use of inheritance</w:t>
      </w:r>
    </w:p>
    <w:p>
      <w:pPr>
        <w:numPr>
          <w:ilvl w:val="0"/>
          <w:numId w:val="108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6"/>
        </w:numPr>
      </w:pPr>
      <w:r>
        <w:t xml:space="preserve">Guidance: Keep inheritance hierarchies short</w:t>
      </w:r>
    </w:p>
    <w:p>
      <w:pPr>
        <w:numPr>
          <w:ilvl w:val="0"/>
          <w:numId w:val="1086"/>
        </w:numPr>
      </w:pPr>
      <w:r>
        <w:t xml:space="preserve">Guidance: Qualify the program to invoke member functions in explicit</w:t>
      </w:r>
      <w:r>
        <w:t xml:space="preserve"> </w:t>
      </w:r>
      <w:r>
        <w:t xml:space="preserve">parent classes.</w:t>
      </w:r>
    </w:p>
    <w:p>
      <w:pPr>
        <w:numPr>
          <w:ilvl w:val="0"/>
          <w:numId w:val="108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3"/>
    <w:bookmarkStart w:id="154" w:name="guidance-to-language-users"/>
    <w:p>
      <w:pPr>
        <w:pStyle w:val="Heading2"/>
      </w:pPr>
      <w:r>
        <w:t xml:space="preserve">6.41.2 Guidance to language users</w:t>
      </w:r>
    </w:p>
    <w:p>
      <w:pPr>
        <w:numPr>
          <w:ilvl w:val="0"/>
          <w:numId w:val="1087"/>
        </w:numPr>
      </w:pPr>
      <w:r>
        <w:t xml:space="preserve">Follow the guidance of ISO/IEC TR 24772-1:2019 clause 41.5.</w:t>
      </w:r>
    </w:p>
    <w:p>
      <w:pPr>
        <w:numPr>
          <w:ilvl w:val="0"/>
          <w:numId w:val="1087"/>
        </w:numPr>
      </w:pPr>
      <w:r>
        <w:t xml:space="preserve">Avoid the use of multiple inheritance whenever possible.</w:t>
      </w:r>
    </w:p>
    <w:p>
      <w:pPr>
        <w:numPr>
          <w:ilvl w:val="0"/>
          <w:numId w:val="1087"/>
        </w:numPr>
      </w:pPr>
      <w:r>
        <w:t xml:space="preserve">Avoid access to data components when getting and setting functions</w:t>
      </w:r>
      <w:r>
        <w:t xml:space="preserve"> </w:t>
      </w:r>
      <w:r>
        <w:t xml:space="preserve">are available for them.</w:t>
      </w:r>
    </w:p>
    <w:p>
      <w:pPr>
        <w:numPr>
          <w:ilvl w:val="0"/>
          <w:numId w:val="1087"/>
        </w:numPr>
      </w:pPr>
      <w:r>
        <w:t xml:space="preserve">Keep inheritance hierarchies short and narrow</w:t>
      </w:r>
    </w:p>
    <w:p>
      <w:pPr>
        <w:numPr>
          <w:ilvl w:val="0"/>
          <w:numId w:val="1087"/>
        </w:numPr>
      </w:pPr>
      <w:r>
        <w:t xml:space="preserve">Prefer non-virtual functions to virtual functions</w:t>
      </w:r>
    </w:p>
    <w:p>
      <w:pPr>
        <w:numPr>
          <w:ilvl w:val="0"/>
          <w:numId w:val="108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7"/>
        </w:numPr>
      </w:pPr>
      <w:r>
        <w:t xml:space="preserve">If any class invariant depends upon a value of a data member, then</w:t>
      </w:r>
      <w:r>
        <w:t xml:space="preserve"> </w:t>
      </w:r>
      <w:r>
        <w:t xml:space="preserve">make that member private</w:t>
      </w:r>
    </w:p>
    <w:p>
      <w:pPr>
        <w:numPr>
          <w:ilvl w:val="0"/>
          <w:numId w:val="1087"/>
        </w:numPr>
      </w:pPr>
      <w:r>
        <w:t xml:space="preserve">Make data members private and provide a public interface to access</w:t>
      </w:r>
      <w:r>
        <w:t xml:space="preserve"> </w:t>
      </w:r>
      <w:r>
        <w:t xml:space="preserve">them that preserves class invariants</w:t>
      </w:r>
    </w:p>
    <w:p>
      <w:pPr>
        <w:numPr>
          <w:ilvl w:val="0"/>
          <w:numId w:val="1087"/>
        </w:numPr>
      </w:pPr>
      <w:r>
        <w:t xml:space="preserve">Provide complete documentation of all encapsulated data, and how</w:t>
      </w:r>
      <w:r>
        <w:t xml:space="preserve"> </w:t>
      </w:r>
      <w:r>
        <w:t xml:space="preserve">each method affects that data for each object in the hierarchy.</w:t>
      </w:r>
    </w:p>
    <w:p>
      <w:pPr>
        <w:numPr>
          <w:ilvl w:val="0"/>
          <w:numId w:val="108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7"/>
        </w:numPr>
      </w:pPr>
      <w:r>
        <w:t xml:space="preserve">Provide a member function that provides versioning information for</w:t>
      </w:r>
      <w:r>
        <w:t xml:space="preserve"> </w:t>
      </w:r>
      <w:r>
        <w:t xml:space="preserve">each class.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7"/>
        </w:numPr>
      </w:pPr>
      <w:r>
        <w:t xml:space="preserve">Avoid the creation of base classes that are both virtual and</w:t>
      </w:r>
      <w:r>
        <w:t xml:space="preserve"> </w:t>
      </w:r>
      <w:r>
        <w:t xml:space="preserve">non-virtual in the same hierarchy.</w:t>
      </w:r>
    </w:p>
    <w:bookmarkEnd w:id="154"/>
    <w:bookmarkStart w:id="157" w:name="BLP"/>
    <w:p>
      <w:pPr>
        <w:pStyle w:val="Heading2"/>
      </w:pPr>
      <w:r>
        <w:t xml:space="preserve">6.42 Violations of the Liskov Substitution Principle or the Contract Model [BLP]</w:t>
      </w:r>
    </w:p>
    <w:bookmarkStart w:id="155"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5"/>
    <w:bookmarkStart w:id="156" w:name="guidance-to-language-users"/>
    <w:p>
      <w:pPr>
        <w:pStyle w:val="Heading3"/>
      </w:pPr>
      <w:r>
        <w:t xml:space="preserve">6.42.2 Guidance to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6"/>
    <w:bookmarkEnd w:id="157"/>
    <w:bookmarkStart w:id="160" w:name="redispatching-pph"/>
    <w:p>
      <w:pPr>
        <w:pStyle w:val="Heading2"/>
      </w:pPr>
      <w:r>
        <w:t xml:space="preserve">6.43 Redispatching [PPH]</w:t>
      </w:r>
    </w:p>
    <w:bookmarkStart w:id="15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8"/>
    <w:bookmarkStart w:id="159" w:name="guidance-to-language-users"/>
    <w:p>
      <w:pPr>
        <w:pStyle w:val="Heading3"/>
      </w:pPr>
      <w:r>
        <w:t xml:space="preserve">6.43.2 Guidance to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59"/>
    <w:bookmarkEnd w:id="160"/>
    <w:bookmarkStart w:id="163" w:name="BKK"/>
    <w:p>
      <w:pPr>
        <w:pStyle w:val="Heading2"/>
      </w:pPr>
      <w:r>
        <w:t xml:space="preserve">6.44 Polymorphic variables [BKK]</w:t>
      </w:r>
    </w:p>
    <w:bookmarkStart w:id="16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1"/>
    <w:bookmarkStart w:id="162" w:name="guidance-to-language-users"/>
    <w:p>
      <w:pPr>
        <w:pStyle w:val="Heading3"/>
      </w:pPr>
      <w:r>
        <w:t xml:space="preserve">6.44.2 Guidance to language users</w:t>
      </w:r>
    </w:p>
    <w:p>
      <w:pPr>
        <w:numPr>
          <w:ilvl w:val="0"/>
          <w:numId w:val="1094"/>
        </w:numPr>
      </w:pPr>
      <w:r>
        <w:t xml:space="preserve">Follow the advice provided in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2"/>
    <w:bookmarkEnd w:id="163"/>
    <w:bookmarkStart w:id="164"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4"/>
    <w:bookmarkStart w:id="167" w:name="Xc417c172da80bb70cea1f9e7af9871a63840609"/>
    <w:p>
      <w:pPr>
        <w:pStyle w:val="Heading2"/>
      </w:pPr>
      <w:r>
        <w:t xml:space="preserve">6.46 Argument Passing to Library Functions [TRJ]</w:t>
      </w:r>
    </w:p>
    <w:bookmarkStart w:id="165"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5"/>
    <w:bookmarkStart w:id="166" w:name="guidance-to-language-users"/>
    <w:p>
      <w:pPr>
        <w:pStyle w:val="Heading3"/>
      </w:pPr>
      <w:r>
        <w:t xml:space="preserve">6.46.2 Guidance to language users</w:t>
      </w:r>
    </w:p>
    <w:p>
      <w:pPr>
        <w:numPr>
          <w:ilvl w:val="0"/>
          <w:numId w:val="1096"/>
        </w:numPr>
      </w:pPr>
      <w:r>
        <w:t xml:space="preserve">Follow the guidelines of ISO/IEC TR 24772-1 clause 6.47.5.</w:t>
      </w:r>
    </w:p>
    <w:p>
      <w:pPr>
        <w:numPr>
          <w:ilvl w:val="0"/>
          <w:numId w:val="109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6"/>
    <w:bookmarkEnd w:id="167"/>
    <w:bookmarkStart w:id="170" w:name="inter-language-calling-djs"/>
    <w:p>
      <w:pPr>
        <w:pStyle w:val="Heading2"/>
      </w:pPr>
      <w:r>
        <w:t xml:space="preserve">6.47 Inter-language Calling [DJS]</w:t>
      </w:r>
    </w:p>
    <w:bookmarkStart w:id="168"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8"/>
    <w:bookmarkStart w:id="169" w:name="guidance-to-language-users"/>
    <w:p>
      <w:pPr>
        <w:pStyle w:val="Heading3"/>
      </w:pPr>
      <w:r>
        <w:t xml:space="preserve">6.47.2 Guidance to language users</w:t>
      </w:r>
    </w:p>
    <w:p>
      <w:pPr>
        <w:numPr>
          <w:ilvl w:val="0"/>
          <w:numId w:val="1097"/>
        </w:numPr>
      </w:pPr>
      <w:r>
        <w:t xml:space="preserve">Follow the guidance contained in ISO/IEC TR 24772-1:2019 clause</w:t>
      </w:r>
      <w:r>
        <w:t xml:space="preserve"> </w:t>
      </w:r>
      <w:r>
        <w:t xml:space="preserve">6.47.5</w:t>
      </w:r>
    </w:p>
    <w:p>
      <w:pPr>
        <w:numPr>
          <w:ilvl w:val="0"/>
          <w:numId w:val="1097"/>
        </w:numPr>
      </w:pPr>
      <w:r>
        <w:t xml:space="preserve">Use standard layout types for the interoperable interfaces.</w:t>
      </w:r>
    </w:p>
    <w:p>
      <w:pPr>
        <w:numPr>
          <w:ilvl w:val="1"/>
          <w:numId w:val="109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7"/>
        </w:numPr>
      </w:pPr>
      <w:r>
        <w:t xml:space="preserve">Be aware that C++ exceptions are not usually compatible with</w:t>
      </w:r>
      <w:r>
        <w:t xml:space="preserve"> </w:t>
      </w:r>
      <w:r>
        <w:t xml:space="preserve">exceptions in other languages.</w:t>
      </w:r>
    </w:p>
    <w:p>
      <w:pPr>
        <w:numPr>
          <w:ilvl w:val="0"/>
          <w:numId w:val="109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9"/>
    <w:bookmarkEnd w:id="170"/>
    <w:bookmarkStart w:id="173" w:name="Xfd4a54be17d3eceb94ec5c5981ef893e36604c5"/>
    <w:p>
      <w:pPr>
        <w:pStyle w:val="Heading2"/>
      </w:pPr>
      <w:r>
        <w:t xml:space="preserve">6.48 Dynamically-linked Code and Self-modifying Code [NYY]</w:t>
      </w:r>
    </w:p>
    <w:bookmarkStart w:id="171"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1"/>
    <w:bookmarkStart w:id="172" w:name="guidance-to-language-users"/>
    <w:p>
      <w:pPr>
        <w:pStyle w:val="Heading3"/>
      </w:pPr>
      <w:r>
        <w:t xml:space="preserve">6.48.2 Guidance to language users</w:t>
      </w:r>
    </w:p>
    <w:p>
      <w:pPr>
        <w:pStyle w:val="FirstParagraph"/>
      </w:pPr>
      <w:r>
        <w:t xml:space="preserve">Follow the guidance of ISO/IEC TR 24772-1:2019 clause 6.48.5.</w:t>
      </w:r>
    </w:p>
    <w:bookmarkEnd w:id="172"/>
    <w:bookmarkEnd w:id="173"/>
    <w:bookmarkStart w:id="176" w:name="library-signature-nsq"/>
    <w:p>
      <w:pPr>
        <w:pStyle w:val="Heading2"/>
      </w:pPr>
      <w:r>
        <w:t xml:space="preserve">6.49 Library Signature [NSQ]</w:t>
      </w:r>
    </w:p>
    <w:bookmarkStart w:id="174"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4"/>
    <w:bookmarkStart w:id="175" w:name="guidance-to-language-users"/>
    <w:p>
      <w:pPr>
        <w:pStyle w:val="Heading3"/>
      </w:pPr>
      <w:r>
        <w:t xml:space="preserve">6.49.2 Guidance to language users</w:t>
      </w:r>
    </w:p>
    <w:p>
      <w:pPr>
        <w:pStyle w:val="FirstParagraph"/>
      </w:pPr>
      <w:r>
        <w:t xml:space="preserve">From Part 1, 6.49.5</w:t>
      </w:r>
    </w:p>
    <w:p>
      <w:pPr>
        <w:numPr>
          <w:ilvl w:val="0"/>
          <w:numId w:val="1099"/>
        </w:numPr>
      </w:pPr>
      <w:r>
        <w:t xml:space="preserve">Follow the guidance of ISO/IEC TR 24772-1:2019 clause 6.49.5.</w:t>
      </w:r>
    </w:p>
    <w:p>
      <w:pPr>
        <w:numPr>
          <w:ilvl w:val="0"/>
          <w:numId w:val="1099"/>
        </w:numPr>
      </w:pPr>
      <w:r>
        <w:t xml:space="preserve">Follow the advice of clause 6.47.2 as applicable.</w:t>
      </w:r>
    </w:p>
    <w:bookmarkEnd w:id="175"/>
    <w:bookmarkEnd w:id="176"/>
    <w:bookmarkStart w:id="179" w:name="X165926c342ab175b2667683b6cb7551fc7b18d8"/>
    <w:p>
      <w:pPr>
        <w:pStyle w:val="Heading2"/>
      </w:pPr>
      <w:r>
        <w:t xml:space="preserve">6.50. Unanticipated Exceptions from Library Routines [HJW]</w:t>
      </w:r>
    </w:p>
    <w:bookmarkStart w:id="177"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7"/>
    <w:bookmarkStart w:id="178" w:name="guidance-to-language-users"/>
    <w:p>
      <w:pPr>
        <w:pStyle w:val="Heading3"/>
      </w:pPr>
      <w:r>
        <w:t xml:space="preserve">6.50.2 Guidance to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Follow the advice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78"/>
    <w:bookmarkEnd w:id="179"/>
    <w:bookmarkStart w:id="182" w:name="NMP"/>
    <w:p>
      <w:pPr>
        <w:pStyle w:val="Heading2"/>
      </w:pPr>
      <w:r>
        <w:t xml:space="preserve">6.51 Pre-processor Directives [NMP]</w:t>
      </w:r>
    </w:p>
    <w:bookmarkStart w:id="180"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0"/>
    <w:bookmarkStart w:id="181" w:name="guidance-to-language-users"/>
    <w:p>
      <w:pPr>
        <w:pStyle w:val="Heading3"/>
      </w:pPr>
      <w:r>
        <w:t xml:space="preserve">6.51.2 Guidance to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1"/>
    <w:bookmarkEnd w:id="182"/>
    <w:bookmarkStart w:id="185" w:name="Xe4ed1f6d7e7049a22cf11fb58e9b78561722b0b"/>
    <w:p>
      <w:pPr>
        <w:pStyle w:val="Heading2"/>
      </w:pPr>
      <w:r>
        <w:t xml:space="preserve">6.52 Suppression of Language-defined Run-time Checking [MXB]</w:t>
      </w:r>
    </w:p>
    <w:bookmarkStart w:id="183"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3"/>
    <w:bookmarkStart w:id="184"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4"/>
    <w:bookmarkEnd w:id="185"/>
    <w:bookmarkStart w:id="188" w:name="X2e6df9becdc68c65fdb33865090fafdb8a33550"/>
    <w:p>
      <w:pPr>
        <w:pStyle w:val="Heading2"/>
      </w:pPr>
      <w:r>
        <w:t xml:space="preserve">6.53 Provision of Inherently Unsafe Operations [SKL]</w:t>
      </w:r>
    </w:p>
    <w:bookmarkStart w:id="186"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6"/>
    <w:bookmarkStart w:id="187" w:name="guidance-to-language-users"/>
    <w:p>
      <w:pPr>
        <w:pStyle w:val="Heading3"/>
      </w:pPr>
      <w:r>
        <w:t xml:space="preserve">6.53.2 Guidance to language users</w:t>
      </w:r>
    </w:p>
    <w:p>
      <w:pPr>
        <w:numPr>
          <w:ilvl w:val="0"/>
          <w:numId w:val="1102"/>
        </w:numPr>
      </w:pPr>
      <w:r>
        <w:t xml:space="preserve">Follow the guidelines of ISO/IEC TR 24772-1:2019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87"/>
    <w:bookmarkEnd w:id="188"/>
    <w:bookmarkStart w:id="191" w:name="obscure-language-features-brs"/>
    <w:p>
      <w:pPr>
        <w:pStyle w:val="Heading2"/>
      </w:pPr>
      <w:r>
        <w:t xml:space="preserve">6.54 Obscure Language Features [BRS]</w:t>
      </w:r>
    </w:p>
    <w:bookmarkStart w:id="189"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9"/>
    <w:bookmarkStart w:id="190" w:name="guidance-to-language-users"/>
    <w:p>
      <w:pPr>
        <w:pStyle w:val="Heading3"/>
      </w:pPr>
      <w:r>
        <w:t xml:space="preserve">6.54.2 Guidance to language users</w:t>
      </w:r>
    </w:p>
    <w:p>
      <w:pPr>
        <w:numPr>
          <w:ilvl w:val="0"/>
          <w:numId w:val="1103"/>
        </w:numPr>
        <w:pStyle w:val="Compact"/>
      </w:pPr>
      <w:r>
        <w:t xml:space="preserve">Follow the guidelines of ISO/IEC TR 24772-1:2019 clause 6.54.5.</w:t>
      </w:r>
    </w:p>
    <w:p>
      <w:pPr>
        <w:pStyle w:val="FirstParagraph"/>
      </w:pPr>
      <w:r>
        <w:t xml:space="preserve">$incldue 6.55.UnspecifiedBehaviour-BQF.md</w:t>
      </w:r>
    </w:p>
    <w:bookmarkEnd w:id="190"/>
    <w:bookmarkEnd w:id="191"/>
    <w:bookmarkStart w:id="194" w:name="EWF"/>
    <w:p>
      <w:pPr>
        <w:pStyle w:val="Heading2"/>
      </w:pPr>
      <w:r>
        <w:t xml:space="preserve">6.56 Undefined Behaviour [EWF]</w:t>
      </w:r>
    </w:p>
    <w:bookmarkStart w:id="192"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2"/>
    <w:bookmarkStart w:id="193" w:name="guidance-to-language-users"/>
    <w:p>
      <w:pPr>
        <w:pStyle w:val="Heading3"/>
      </w:pPr>
      <w:r>
        <w:t xml:space="preserve">6.56.2 Guidance to language users</w:t>
      </w:r>
    </w:p>
    <w:p>
      <w:pPr>
        <w:numPr>
          <w:ilvl w:val="0"/>
          <w:numId w:val="1104"/>
        </w:numPr>
      </w:pPr>
      <w:r>
        <w:t xml:space="preserve">Follow the guidelines of ISO/IEC TR 24772-1:2019 clause 6.56.5.</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3"/>
    <w:bookmarkEnd w:id="194"/>
    <w:bookmarkStart w:id="197" w:name="implementationdefined-behaviour-fab"/>
    <w:p>
      <w:pPr>
        <w:pStyle w:val="Heading2"/>
      </w:pPr>
      <w:r>
        <w:t xml:space="preserve">6.57 Implementation–defined Behaviour [FAB]</w:t>
      </w:r>
    </w:p>
    <w:bookmarkStart w:id="195"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5"/>
    <w:bookmarkStart w:id="196" w:name="guidance-to-language-users"/>
    <w:p>
      <w:pPr>
        <w:pStyle w:val="Heading3"/>
      </w:pPr>
      <w:r>
        <w:t xml:space="preserve">6.57.2 Guidance to language users</w:t>
      </w:r>
    </w:p>
    <w:p>
      <w:pPr>
        <w:numPr>
          <w:ilvl w:val="0"/>
          <w:numId w:val="1105"/>
        </w:numPr>
      </w:pPr>
      <w:r>
        <w:t xml:space="preserve">Follow the guidelines of ISO/IEC TR 24772-1:2019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6"/>
    <w:bookmarkEnd w:id="197"/>
    <w:bookmarkStart w:id="200" w:name="deprecated-language-features-mem"/>
    <w:p>
      <w:pPr>
        <w:pStyle w:val="Heading2"/>
      </w:pPr>
      <w:r>
        <w:t xml:space="preserve">6.58 Deprecated Language Features [MEM]</w:t>
      </w:r>
    </w:p>
    <w:bookmarkStart w:id="198"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8"/>
    <w:bookmarkStart w:id="199" w:name="guidance-to-language-users"/>
    <w:p>
      <w:pPr>
        <w:pStyle w:val="Heading3"/>
      </w:pPr>
      <w:r>
        <w:t xml:space="preserve">6.58.2 Guidance to language users</w:t>
      </w:r>
    </w:p>
    <w:p>
      <w:pPr>
        <w:numPr>
          <w:ilvl w:val="0"/>
          <w:numId w:val="1106"/>
        </w:numPr>
      </w:pPr>
      <w:r>
        <w:t xml:space="preserve">Follow the guidelines of ISO/IEC TR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9"/>
    <w:bookmarkEnd w:id="200"/>
    <w:bookmarkStart w:id="203" w:name="concurrency-activation-cga"/>
    <w:p>
      <w:pPr>
        <w:pStyle w:val="Heading2"/>
      </w:pPr>
      <w:r>
        <w:t xml:space="preserve">6.59 Concurrency – Activation [CGA]</w:t>
      </w:r>
    </w:p>
    <w:bookmarkStart w:id="201"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7"/>
        </w:numPr>
        <w:pStyle w:val="Compact"/>
      </w:pPr>
      <w:r>
        <w:t xml:space="preserve">6.61 Concurrent Data Access,</w:t>
      </w:r>
    </w:p>
    <w:p>
      <w:pPr>
        <w:numPr>
          <w:ilvl w:val="0"/>
          <w:numId w:val="1107"/>
        </w:numPr>
        <w:pStyle w:val="Compact"/>
      </w:pPr>
      <w:r>
        <w:t xml:space="preserve">6.14 and 6.33 dangling of data reference, if data is passed to the thread function as reference or pointer, instead of passing a copy.</w:t>
      </w:r>
    </w:p>
    <w:p>
      <w:pPr>
        <w:numPr>
          <w:ilvl w:val="0"/>
          <w:numId w:val="110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1"/>
    <w:bookmarkStart w:id="202" w:name="guidance-to-language-users"/>
    <w:p>
      <w:pPr>
        <w:pStyle w:val="Heading3"/>
      </w:pPr>
      <w:r>
        <w:t xml:space="preserve">6.59.2 Guidance to language users</w:t>
      </w:r>
    </w:p>
    <w:p>
      <w:pPr>
        <w:numPr>
          <w:ilvl w:val="0"/>
          <w:numId w:val="110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8"/>
        </w:numPr>
      </w:pPr>
      <w:r>
        <w:t xml:space="preserve">Pass all thread function arguments by value, or ensure their lifetime outlasts the running thread. In the latter case proper synchronization is required.</w:t>
      </w:r>
    </w:p>
    <w:bookmarkEnd w:id="202"/>
    <w:bookmarkEnd w:id="203"/>
    <w:bookmarkStart w:id="205" w:name="concurrency-directed-termination-cgt"/>
    <w:p>
      <w:pPr>
        <w:pStyle w:val="Heading2"/>
      </w:pPr>
      <w:r>
        <w:t xml:space="preserve">6.60 Concurrency – Directed termination [CGT]</w:t>
      </w:r>
    </w:p>
    <w:bookmarkStart w:id="204"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4"/>
    <w:bookmarkEnd w:id="205"/>
    <w:bookmarkStart w:id="206" w:name="guidance-to-language-users"/>
    <w:p>
      <w:pPr>
        <w:pStyle w:val="Heading2"/>
      </w:pPr>
      <w:r>
        <w:t xml:space="preserve">6.60.2 Guidance to language users</w:t>
      </w:r>
    </w:p>
    <w:p>
      <w:pPr>
        <w:pStyle w:val="FirstParagraph"/>
      </w:pPr>
      <w:r>
        <w:t xml:space="preserve">Follow the guidance of 24772-1 Clause 6.59.5</w:t>
      </w:r>
    </w:p>
    <w:bookmarkEnd w:id="206"/>
    <w:bookmarkStart w:id="209" w:name="CGX"/>
    <w:p>
      <w:pPr>
        <w:pStyle w:val="Heading2"/>
      </w:pPr>
      <w:r>
        <w:t xml:space="preserve">6.61 Concurrent Data Access [CGX]</w:t>
      </w:r>
    </w:p>
    <w:bookmarkStart w:id="207"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7"/>
    <w:bookmarkStart w:id="208" w:name="guidance-to-language-users"/>
    <w:p>
      <w:pPr>
        <w:pStyle w:val="Heading3"/>
      </w:pPr>
      <w:r>
        <w:t xml:space="preserve">6.61.2 Guidance to language users</w:t>
      </w:r>
    </w:p>
    <w:p>
      <w:pPr>
        <w:numPr>
          <w:ilvl w:val="0"/>
          <w:numId w:val="1109"/>
        </w:numPr>
      </w:pPr>
      <w:r>
        <w:t xml:space="preserve">Follow the guidance of ISO/IEC TR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8"/>
    <w:bookmarkEnd w:id="209"/>
    <w:bookmarkStart w:id="213" w:name="concurrency-premature-termination-cgs"/>
    <w:p>
      <w:pPr>
        <w:pStyle w:val="Heading2"/>
      </w:pPr>
      <w:r>
        <w:t xml:space="preserve">6.62 Concurrency – Premature Termination [CGS]</w:t>
      </w:r>
    </w:p>
    <w:bookmarkStart w:id="210" w:name="applicability-to-language"/>
    <w:p>
      <w:pPr>
        <w:pStyle w:val="Heading3"/>
      </w:pPr>
      <w:r>
        <w:t xml:space="preserve">6.62.1 Applicability to language</w:t>
      </w:r>
    </w:p>
    <w:bookmarkEnd w:id="210"/>
    <w:bookmarkStart w:id="211"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1"/>
    <w:bookmarkStart w:id="212" w:name="guidance-to-language-users"/>
    <w:p>
      <w:pPr>
        <w:pStyle w:val="Heading3"/>
      </w:pPr>
      <w:r>
        <w:t xml:space="preserve">6.62.2 Guidance to language users</w:t>
      </w:r>
    </w:p>
    <w:p>
      <w:pPr>
        <w:numPr>
          <w:ilvl w:val="0"/>
          <w:numId w:val="1111"/>
        </w:numPr>
      </w:pPr>
      <w:r>
        <w:t xml:space="preserve">Follow the guidelines of TR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2"/>
    <w:bookmarkEnd w:id="213"/>
    <w:bookmarkStart w:id="235" w:name="CGM"/>
    <w:p>
      <w:pPr>
        <w:pStyle w:val="Heading2"/>
      </w:pPr>
      <w:r>
        <w:t xml:space="preserve">6.63 Protocol Lock Errors [CGM]</w:t>
      </w:r>
    </w:p>
    <w:bookmarkStart w:id="214"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4"/>
    <w:bookmarkStart w:id="234" w:name="guidance-to-language-users"/>
    <w:p>
      <w:pPr>
        <w:pStyle w:val="Heading3"/>
      </w:pPr>
      <w:r>
        <w:t xml:space="preserve">6.63.2 Guidance to language users</w:t>
      </w:r>
    </w:p>
    <w:p>
      <w:pPr>
        <w:numPr>
          <w:ilvl w:val="0"/>
          <w:numId w:val="1112"/>
        </w:numPr>
      </w:pPr>
      <w:r>
        <w:t xml:space="preserve">Follow the guidelines of TR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5">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16">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17">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18">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19">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0">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1">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2">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3">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4">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5">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26">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27">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28">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29">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0">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1">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2">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3">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4"/>
    <w:bookmarkEnd w:id="235"/>
    <w:bookmarkStart w:id="238" w:name="uncontrolled-format-string-shl"/>
    <w:p>
      <w:pPr>
        <w:pStyle w:val="Heading2"/>
      </w:pPr>
      <w:r>
        <w:t xml:space="preserve">6.64 Uncontrolled Format String [SHL]</w:t>
      </w:r>
    </w:p>
    <w:bookmarkStart w:id="236"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6"/>
    <w:bookmarkStart w:id="237"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7"/>
    <w:bookmarkEnd w:id="238"/>
    <w:bookmarkEnd w:id="239"/>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0" w:name="EWF"/>
      <w:r>
        <w:t xml:space="preserve">Undefined Behavior [EWF]</w:t>
      </w:r>
      <w:bookmarkEnd w:id="240"/>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1"/>
    <w:bookmarkStart w:id="242"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29" Target="https://docs.google.com/document/d/14E0BYqsH_d7fMKvXvaZWoNWtIC65cYBw0aZp4dlev0Q/edit#heading=h.13kr181fh926" TargetMode="External" /><Relationship Type="http://schemas.openxmlformats.org/officeDocument/2006/relationships/hyperlink" Id="rId216" Target="https://docs.google.com/document/d/14E0BYqsH_d7fMKvXvaZWoNWtIC65cYBw0aZp4dlev0Q/edit#heading=h.1kfv9jdgd8ib" TargetMode="External" /><Relationship Type="http://schemas.openxmlformats.org/officeDocument/2006/relationships/hyperlink" Id="rId226" Target="https://docs.google.com/document/d/14E0BYqsH_d7fMKvXvaZWoNWtIC65cYBw0aZp4dlev0Q/edit#heading=h.3icrgfn0r3ae" TargetMode="External" /><Relationship Type="http://schemas.openxmlformats.org/officeDocument/2006/relationships/hyperlink" Id="rId217" Target="https://docs.google.com/document/d/14E0BYqsH_d7fMKvXvaZWoNWtIC65cYBw0aZp4dlev0Q/edit#heading=h.729gvquxakq8" TargetMode="External" /><Relationship Type="http://schemas.openxmlformats.org/officeDocument/2006/relationships/hyperlink" Id="rId224" Target="https://docs.google.com/document/d/14E0BYqsH_d7fMKvXvaZWoNWtIC65cYBw0aZp4dlev0Q/edit#heading=h.7pf8azwmy8l4" TargetMode="External" /><Relationship Type="http://schemas.openxmlformats.org/officeDocument/2006/relationships/hyperlink" Id="rId218" Target="https://docs.google.com/document/d/14E0BYqsH_d7fMKvXvaZWoNWtIC65cYBw0aZp4dlev0Q/edit#heading=h.920crsa3sscx" TargetMode="External" /><Relationship Type="http://schemas.openxmlformats.org/officeDocument/2006/relationships/hyperlink" Id="rId232" Target="https://docs.google.com/document/d/14E0BYqsH_d7fMKvXvaZWoNWtIC65cYBw0aZp4dlev0Q/edit#heading=h.9syx86lze887" TargetMode="External" /><Relationship Type="http://schemas.openxmlformats.org/officeDocument/2006/relationships/hyperlink" Id="rId231" Target="https://docs.google.com/document/d/14E0BYqsH_d7fMKvXvaZWoNWtIC65cYBw0aZp4dlev0Q/edit#heading=h.ca8el9ehijae" TargetMode="External" /><Relationship Type="http://schemas.openxmlformats.org/officeDocument/2006/relationships/hyperlink" Id="rId220" Target="https://docs.google.com/document/d/14E0BYqsH_d7fMKvXvaZWoNWtIC65cYBw0aZp4dlev0Q/edit#heading=h.d6qklu5mi3fn" TargetMode="External" /><Relationship Type="http://schemas.openxmlformats.org/officeDocument/2006/relationships/hyperlink" Id="rId222" Target="https://docs.google.com/document/d/14E0BYqsH_d7fMKvXvaZWoNWtIC65cYBw0aZp4dlev0Q/edit#heading=h.einwxosnxvhf" TargetMode="External" /><Relationship Type="http://schemas.openxmlformats.org/officeDocument/2006/relationships/hyperlink" Id="rId227" Target="https://docs.google.com/document/d/14E0BYqsH_d7fMKvXvaZWoNWtIC65cYBw0aZp4dlev0Q/edit#heading=h.g0cdm0bk7l9l" TargetMode="External" /><Relationship Type="http://schemas.openxmlformats.org/officeDocument/2006/relationships/hyperlink" Id="rId233" Target="https://docs.google.com/document/d/14E0BYqsH_d7fMKvXvaZWoNWtIC65cYBw0aZp4dlev0Q/edit#heading=h.gg4jn12ygzi5" TargetMode="External" /><Relationship Type="http://schemas.openxmlformats.org/officeDocument/2006/relationships/hyperlink" Id="rId221" Target="https://docs.google.com/document/d/14E0BYqsH_d7fMKvXvaZWoNWtIC65cYBw0aZp4dlev0Q/edit#heading=h.isn3bwogdp97" TargetMode="External" /><Relationship Type="http://schemas.openxmlformats.org/officeDocument/2006/relationships/hyperlink" Id="rId215" Target="https://docs.google.com/document/d/14E0BYqsH_d7fMKvXvaZWoNWtIC65cYBw0aZp4dlev0Q/edit#heading=h.kj1vcao94oy1" TargetMode="External" /><Relationship Type="http://schemas.openxmlformats.org/officeDocument/2006/relationships/hyperlink" Id="rId228" Target="https://docs.google.com/document/d/14E0BYqsH_d7fMKvXvaZWoNWtIC65cYBw0aZp4dlev0Q/edit#heading=h.ul4y0p7eoih1" TargetMode="External" /><Relationship Type="http://schemas.openxmlformats.org/officeDocument/2006/relationships/hyperlink" Id="rId223" Target="https://docs.google.com/document/d/14E0BYqsH_d7fMKvXvaZWoNWtIC65cYBw0aZp4dlev0Q/edit#heading=h.vq776pxv4nn5" TargetMode="External" /><Relationship Type="http://schemas.openxmlformats.org/officeDocument/2006/relationships/hyperlink" Id="rId219" Target="https://docs.google.com/document/d/14E0BYqsH_d7fMKvXvaZWoNWtIC65cYBw0aZp4dlev0Q/edit#heading=h.xufkh9tsiuk8" TargetMode="External" /><Relationship Type="http://schemas.openxmlformats.org/officeDocument/2006/relationships/hyperlink" Id="rId230" Target="https://docs.google.com/document/d/14E0BYqsH_d7fMKvXvaZWoNWtIC65cYBw0aZp4dlev0Q/edit#heading=h.yt0hxah53p9e" TargetMode="External" /><Relationship Type="http://schemas.openxmlformats.org/officeDocument/2006/relationships/hyperlink" Id="rId225"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29" Target="https://docs.google.com/document/d/14E0BYqsH_d7fMKvXvaZWoNWtIC65cYBw0aZp4dlev0Q/edit#heading=h.13kr181fh926" TargetMode="External" /><Relationship Type="http://schemas.openxmlformats.org/officeDocument/2006/relationships/hyperlink" Id="rId216" Target="https://docs.google.com/document/d/14E0BYqsH_d7fMKvXvaZWoNWtIC65cYBw0aZp4dlev0Q/edit#heading=h.1kfv9jdgd8ib" TargetMode="External" /><Relationship Type="http://schemas.openxmlformats.org/officeDocument/2006/relationships/hyperlink" Id="rId226" Target="https://docs.google.com/document/d/14E0BYqsH_d7fMKvXvaZWoNWtIC65cYBw0aZp4dlev0Q/edit#heading=h.3icrgfn0r3ae" TargetMode="External" /><Relationship Type="http://schemas.openxmlformats.org/officeDocument/2006/relationships/hyperlink" Id="rId217" Target="https://docs.google.com/document/d/14E0BYqsH_d7fMKvXvaZWoNWtIC65cYBw0aZp4dlev0Q/edit#heading=h.729gvquxakq8" TargetMode="External" /><Relationship Type="http://schemas.openxmlformats.org/officeDocument/2006/relationships/hyperlink" Id="rId224" Target="https://docs.google.com/document/d/14E0BYqsH_d7fMKvXvaZWoNWtIC65cYBw0aZp4dlev0Q/edit#heading=h.7pf8azwmy8l4" TargetMode="External" /><Relationship Type="http://schemas.openxmlformats.org/officeDocument/2006/relationships/hyperlink" Id="rId218" Target="https://docs.google.com/document/d/14E0BYqsH_d7fMKvXvaZWoNWtIC65cYBw0aZp4dlev0Q/edit#heading=h.920crsa3sscx" TargetMode="External" /><Relationship Type="http://schemas.openxmlformats.org/officeDocument/2006/relationships/hyperlink" Id="rId232" Target="https://docs.google.com/document/d/14E0BYqsH_d7fMKvXvaZWoNWtIC65cYBw0aZp4dlev0Q/edit#heading=h.9syx86lze887" TargetMode="External" /><Relationship Type="http://schemas.openxmlformats.org/officeDocument/2006/relationships/hyperlink" Id="rId231" Target="https://docs.google.com/document/d/14E0BYqsH_d7fMKvXvaZWoNWtIC65cYBw0aZp4dlev0Q/edit#heading=h.ca8el9ehijae" TargetMode="External" /><Relationship Type="http://schemas.openxmlformats.org/officeDocument/2006/relationships/hyperlink" Id="rId220" Target="https://docs.google.com/document/d/14E0BYqsH_d7fMKvXvaZWoNWtIC65cYBw0aZp4dlev0Q/edit#heading=h.d6qklu5mi3fn" TargetMode="External" /><Relationship Type="http://schemas.openxmlformats.org/officeDocument/2006/relationships/hyperlink" Id="rId222" Target="https://docs.google.com/document/d/14E0BYqsH_d7fMKvXvaZWoNWtIC65cYBw0aZp4dlev0Q/edit#heading=h.einwxosnxvhf" TargetMode="External" /><Relationship Type="http://schemas.openxmlformats.org/officeDocument/2006/relationships/hyperlink" Id="rId227" Target="https://docs.google.com/document/d/14E0BYqsH_d7fMKvXvaZWoNWtIC65cYBw0aZp4dlev0Q/edit#heading=h.g0cdm0bk7l9l" TargetMode="External" /><Relationship Type="http://schemas.openxmlformats.org/officeDocument/2006/relationships/hyperlink" Id="rId233" Target="https://docs.google.com/document/d/14E0BYqsH_d7fMKvXvaZWoNWtIC65cYBw0aZp4dlev0Q/edit#heading=h.gg4jn12ygzi5" TargetMode="External" /><Relationship Type="http://schemas.openxmlformats.org/officeDocument/2006/relationships/hyperlink" Id="rId221" Target="https://docs.google.com/document/d/14E0BYqsH_d7fMKvXvaZWoNWtIC65cYBw0aZp4dlev0Q/edit#heading=h.isn3bwogdp97" TargetMode="External" /><Relationship Type="http://schemas.openxmlformats.org/officeDocument/2006/relationships/hyperlink" Id="rId215" Target="https://docs.google.com/document/d/14E0BYqsH_d7fMKvXvaZWoNWtIC65cYBw0aZp4dlev0Q/edit#heading=h.kj1vcao94oy1" TargetMode="External" /><Relationship Type="http://schemas.openxmlformats.org/officeDocument/2006/relationships/hyperlink" Id="rId228" Target="https://docs.google.com/document/d/14E0BYqsH_d7fMKvXvaZWoNWtIC65cYBw0aZp4dlev0Q/edit#heading=h.ul4y0p7eoih1" TargetMode="External" /><Relationship Type="http://schemas.openxmlformats.org/officeDocument/2006/relationships/hyperlink" Id="rId223" Target="https://docs.google.com/document/d/14E0BYqsH_d7fMKvXvaZWoNWtIC65cYBw0aZp4dlev0Q/edit#heading=h.vq776pxv4nn5" TargetMode="External" /><Relationship Type="http://schemas.openxmlformats.org/officeDocument/2006/relationships/hyperlink" Id="rId219" Target="https://docs.google.com/document/d/14E0BYqsH_d7fMKvXvaZWoNWtIC65cYBw0aZp4dlev0Q/edit#heading=h.xufkh9tsiuk8" TargetMode="External" /><Relationship Type="http://schemas.openxmlformats.org/officeDocument/2006/relationships/hyperlink" Id="rId230" Target="https://docs.google.com/document/d/14E0BYqsH_d7fMKvXvaZWoNWtIC65cYBw0aZp4dlev0Q/edit#heading=h.yt0hxah53p9e" TargetMode="External" /><Relationship Type="http://schemas.openxmlformats.org/officeDocument/2006/relationships/hyperlink" Id="rId225"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2022-08-08T17:02:36Z</dcterms:created>
  <dcterms:modified xsi:type="dcterms:W3CDTF">2022-08-08T17:02:36Z</dcterms:modified>
</cp:coreProperties>
</file>

<file path=docProps/custom.xml><?xml version="1.0" encoding="utf-8"?>
<Properties xmlns="http://schemas.openxmlformats.org/officeDocument/2006/custom-properties" xmlns:vt="http://schemas.openxmlformats.org/officeDocument/2006/docPropsVTypes"/>
</file>