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0"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guidance-to-language-users"/>
    <w:p>
      <w:pPr>
        <w:pStyle w:val="Heading3"/>
      </w:pPr>
      <w:r>
        <w:t xml:space="preserve">6.2.2 Guidance to language users</w:t>
      </w:r>
    </w:p>
    <w:p>
      <w:pPr>
        <w:numPr>
          <w:ilvl w:val="0"/>
          <w:numId w:val="1010"/>
        </w:numPr>
      </w:pPr>
      <w:r>
        <w:t xml:space="preserve">Follow the guidance contained in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SourceCode"/>
      </w:pPr>
      <w:r>
        <w:rPr>
          <w:rStyle w:val="VerbatimChar"/>
        </w:rPr>
        <w:t xml:space="preserve">&lt;!--</w:t>
      </w:r>
      <w:r>
        <w:br/>
      </w:r>
      <w:r>
        <w:rPr>
          <w:rStyle w:val="VerbatimChar"/>
        </w:rPr>
        <w:t xml:space="preserve">Document the C++ behaviours- handling bit-fields, - hitting enclosing</w:t>
      </w:r>
      <w:r>
        <w:br/>
      </w:r>
      <w:r>
        <w:rPr>
          <w:rStyle w:val="VerbatimChar"/>
        </w:rPr>
        <w:t xml:space="preserve">word, concurrent access, hardware implications,</w:t>
      </w:r>
      <w:r>
        <w:br/>
      </w:r>
      <w:r>
        <w:rPr>
          <w:rStyle w:val="VerbatimChar"/>
        </w:rPr>
        <w:t xml:space="preserve">--&gt;</w:t>
      </w:r>
    </w:p>
    <w:p>
      <w:pPr>
        <w:pStyle w:val="FirstParagraph"/>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SourceCode"/>
      </w:pPr>
      <w:r>
        <w:rPr>
          <w:rStyle w:val="VerbatimChar"/>
        </w:rPr>
        <w:t xml:space="preserve">&lt;!--</w:t>
      </w:r>
      <w:r>
        <w:br/>
      </w:r>
      <w:r>
        <w:rPr>
          <w:rStyle w:val="VerbatimChar"/>
        </w:rPr>
        <w:t xml:space="preserve">TO-DO -- Bit_Cast - Applies a bit representation to an object of a new</w:t>
      </w:r>
      <w:r>
        <w:br/>
      </w:r>
      <w:r>
        <w:rPr>
          <w:rStyle w:val="VerbatimChar"/>
        </w:rPr>
        <w:t xml:space="preserve">type, for example copy a 64 bit IEEE 654 number to a 64 bit integer to</w:t>
      </w:r>
      <w:r>
        <w:br/>
      </w:r>
      <w:r>
        <w:rPr>
          <w:rStyle w:val="VerbatimChar"/>
        </w:rPr>
        <w:t xml:space="preserve">perform bit operations and then cast back.</w:t>
      </w:r>
      <w:r>
        <w:br/>
      </w:r>
      <w:r>
        <w:rPr>
          <w:rStyle w:val="VerbatimChar"/>
        </w:rPr>
        <w:t xml:space="preserve">--&gt;</w:t>
      </w:r>
    </w:p>
    <w:p>
      <w:pPr>
        <w:pStyle w:val="SourceCode"/>
      </w:pPr>
      <w:r>
        <w:rPr>
          <w:rStyle w:val="VerbatimChar"/>
        </w:rPr>
        <w:t xml:space="preserve">&lt;!--</w:t>
      </w:r>
      <w:r>
        <w:br/>
      </w:r>
      <w:r>
        <w:rPr>
          <w:rStyle w:val="VerbatimChar"/>
        </w:rPr>
        <w:t xml:space="preserve">Needs documentation.</w:t>
      </w:r>
      <w:r>
        <w:br/>
      </w:r>
      <w:r>
        <w:rPr>
          <w:rStyle w:val="VerbatimChar"/>
        </w:rPr>
        <w:t xml:space="preserve">--&gt;</w:t>
      </w:r>
    </w:p>
    <w:p>
      <w:pPr>
        <w:pStyle w:val="SourceCode"/>
      </w:pPr>
      <w:r>
        <w:rPr>
          <w:rStyle w:val="VerbatimChar"/>
        </w:rPr>
        <w:t xml:space="preserve">&lt;!--</w:t>
      </w:r>
      <w:r>
        <w:br/>
      </w:r>
      <w:r>
        <w:rPr>
          <w:rStyle w:val="VerbatimChar"/>
        </w:rPr>
        <w:t xml:space="preserve">Issue was raised about padding bits between object/struct/union members</w:t>
      </w:r>
      <w:r>
        <w:br/>
      </w:r>
      <w:r>
        <w:rPr>
          <w:rStyle w:val="VerbatimChar"/>
        </w:rPr>
        <w:t xml:space="preserve">can leak information. Where to put this? Mitigation -- use member copy</w:t>
      </w:r>
      <w:r>
        <w:br/>
      </w:r>
      <w:r>
        <w:rPr>
          <w:rStyle w:val="VerbatimChar"/>
        </w:rPr>
        <w:t xml:space="preserve">instead of byte-wise copy.</w:t>
      </w:r>
      <w:r>
        <w:br/>
      </w:r>
      <w:r>
        <w:rPr>
          <w:rStyle w:val="VerbatimChar"/>
        </w:rPr>
        <w:t xml:space="preserve">--&gt;</w:t>
      </w:r>
    </w:p>
    <w:p>
      <w:pPr>
        <w:pStyle w:val="FirstParagraph"/>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11"/>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1"/>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1"/>
        </w:numPr>
      </w:pPr>
      <w:r>
        <w:t xml:space="preserve">Do not create a bit-field of a signed type and size one.</w:t>
      </w:r>
    </w:p>
    <w:p>
      <w:pPr>
        <w:pStyle w:val="FirstParagraph"/>
      </w:pPr>
      <w:r>
        <w:t xml:space="preserve">See AUTOSAR A9-6-1</w:t>
      </w:r>
    </w:p>
    <w:p>
      <w:pPr>
        <w:numPr>
          <w:ilvl w:val="0"/>
          <w:numId w:val="1012"/>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2"/>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2"/>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guidance-to-language-users"/>
    <w:p>
      <w:pPr>
        <w:pStyle w:val="Heading3"/>
      </w:pPr>
      <w:r>
        <w:t xml:space="preserve">6.4.2 Guidance to language users</w:t>
      </w:r>
    </w:p>
    <w:p>
      <w:pPr>
        <w:numPr>
          <w:ilvl w:val="0"/>
          <w:numId w:val="1013"/>
        </w:numPr>
      </w:pPr>
      <w:r>
        <w:t xml:space="preserve">Follow the general advice of ISO/IEC TR 24772-1:2019 clause 6.4.5</w:t>
      </w:r>
    </w:p>
    <w:p>
      <w:pPr>
        <w:numPr>
          <w:ilvl w:val="0"/>
          <w:numId w:val="1013"/>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3"/>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4"/>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5"/>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5"/>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5"/>
        </w:numPr>
        <w:pStyle w:val="SourceCode"/>
      </w:pPr>
      <w:r>
        <w:rPr>
          <w:rStyle w:val="VerbatimChar"/>
        </w:rPr>
        <w:t xml:space="preserve">  See MISRA C++ 28.5.5</w:t>
      </w:r>
    </w:p>
    <w:p>
      <w:pPr>
        <w:numPr>
          <w:ilvl w:val="0"/>
          <w:numId w:val="1014"/>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4"/>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6"/>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4"/>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7"/>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4"/>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8"/>
        </w:numPr>
        <w:pStyle w:val="Compact"/>
      </w:pPr>
      <w:r>
        <w:t xml:space="preserve">type conversion operator</w:t>
      </w:r>
    </w:p>
    <w:p>
      <w:pPr>
        <w:numPr>
          <w:ilvl w:val="1"/>
          <w:numId w:val="1019"/>
        </w:numPr>
        <w:pStyle w:val="Compact"/>
      </w:pPr>
      <w:r>
        <w:rPr>
          <w:rStyle w:val="KeywordTok"/>
        </w:rPr>
        <w:t xml:space="preserve">static_cast</w:t>
      </w:r>
      <w:r>
        <w:t xml:space="preserve">,</w:t>
      </w:r>
    </w:p>
    <w:p>
      <w:pPr>
        <w:numPr>
          <w:ilvl w:val="1"/>
          <w:numId w:val="1019"/>
        </w:numPr>
        <w:pStyle w:val="Compact"/>
      </w:pPr>
      <w:r>
        <w:rPr>
          <w:rStyle w:val="KeywordTok"/>
        </w:rPr>
        <w:t xml:space="preserve">const_cast</w:t>
      </w:r>
      <w:r>
        <w:t xml:space="preserve">,</w:t>
      </w:r>
    </w:p>
    <w:p>
      <w:pPr>
        <w:numPr>
          <w:ilvl w:val="1"/>
          <w:numId w:val="1019"/>
        </w:numPr>
        <w:pStyle w:val="Compact"/>
      </w:pPr>
      <w:r>
        <w:rPr>
          <w:rStyle w:val="KeywordTok"/>
        </w:rPr>
        <w:t xml:space="preserve">dynamic_cast</w:t>
      </w:r>
      <w:r>
        <w:t xml:space="preserve">,</w:t>
      </w:r>
    </w:p>
    <w:p>
      <w:pPr>
        <w:numPr>
          <w:ilvl w:val="1"/>
          <w:numId w:val="1019"/>
        </w:numPr>
        <w:pStyle w:val="Compact"/>
      </w:pPr>
      <w:r>
        <w:rPr>
          <w:rStyle w:val="KeywordTok"/>
        </w:rPr>
        <w:t xml:space="preserve">reinterpret_cast</w:t>
      </w:r>
      <w:r>
        <w:t xml:space="preserve">),</w:t>
      </w:r>
    </w:p>
    <w:p>
      <w:pPr>
        <w:numPr>
          <w:ilvl w:val="0"/>
          <w:numId w:val="1018"/>
        </w:numPr>
        <w:pStyle w:val="Compact"/>
      </w:pPr>
      <w:r>
        <w:t xml:space="preserve">constructor notation with</w:t>
      </w:r>
    </w:p>
    <w:p>
      <w:pPr>
        <w:numPr>
          <w:ilvl w:val="1"/>
          <w:numId w:val="1020"/>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0"/>
        </w:numPr>
        <w:pStyle w:val="Compact"/>
      </w:pPr>
      <w:r>
        <w:t xml:space="preserve">braces (e.g., int{</w:t>
      </w:r>
      <w:r>
        <w:t xml:space="preserve">‘</w:t>
      </w:r>
      <w:r>
        <w:t xml:space="preserve">a</w:t>
      </w:r>
      <w:r>
        <w:t xml:space="preserve">’</w:t>
      </w:r>
      <w:r>
        <w:t xml:space="preserve">}) which prevents narrowing conversions, or</w:t>
      </w:r>
    </w:p>
    <w:p>
      <w:pPr>
        <w:numPr>
          <w:ilvl w:val="0"/>
          <w:numId w:val="1018"/>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p>
    <w:p>
      <w:pPr>
        <w:pStyle w:val="BodyText"/>
      </w:pP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bookmarkEnd w:id="43"/>
    <w:bookmarkStart w:id="44" w:name="guidance-to-language-users"/>
    <w:p>
      <w:pPr>
        <w:pStyle w:val="Heading3"/>
      </w:pPr>
      <w:r>
        <w:t xml:space="preserve">6.6.2 Guidance to language users</w:t>
      </w:r>
    </w:p>
    <w:p>
      <w:pPr>
        <w:pStyle w:val="FirstParagraph"/>
      </w:pPr>
      <w:r>
        <w:t xml:space="preserve">In addition to the general advice of ISO/IEC 24772-1 clause 6.6.5:</w:t>
      </w:r>
    </w:p>
    <w:p>
      <w:pPr>
        <w:numPr>
          <w:ilvl w:val="0"/>
          <w:numId w:val="1021"/>
        </w:numPr>
      </w:pPr>
      <w:r>
        <w:t xml:space="preserve">Avoid casts (see C++ Core guidelines ES.48), treat every cast as a candidate for refactoring.</w:t>
      </w:r>
    </w:p>
    <w:p>
      <w:pPr>
        <w:numPr>
          <w:ilvl w:val="0"/>
          <w:numId w:val="1021"/>
        </w:numPr>
      </w:pPr>
      <w:r>
        <w:t xml:space="preserve">Avoid narrowing conversions. (see C++ Core Guidelines ES.46)</w:t>
      </w:r>
    </w:p>
    <w:p>
      <w:pPr>
        <w:numPr>
          <w:ilvl w:val="0"/>
          <w:numId w:val="1021"/>
        </w:numPr>
      </w:pPr>
      <w:r>
        <w:t xml:space="preserve">Prefer braces over parentheses for initialization or explicit conversions from numeric types to prevent narrowing.</w:t>
      </w:r>
      <w:r>
        <w:t xml:space="preserve"> </w:t>
      </w:r>
      <w:r>
        <w:t xml:space="preserve">(see C++ Core Guidelines ES.23 and ES.64)</w:t>
      </w:r>
    </w:p>
    <w:p>
      <w:pPr>
        <w:numPr>
          <w:ilvl w:val="0"/>
          <w:numId w:val="1021"/>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1"/>
        </w:numPr>
      </w:pPr>
      <w:r>
        <w:t xml:space="preserve">Declare</w:t>
      </w:r>
      <w:r>
        <w:t xml:space="preserve"> </w:t>
      </w:r>
      <w:r>
        <w:rPr>
          <w:rStyle w:val="KeywordTok"/>
        </w:rPr>
        <w:t xml:space="preserve">explicit</w:t>
      </w:r>
    </w:p>
    <w:p>
      <w:pPr>
        <w:numPr>
          <w:ilvl w:val="1"/>
          <w:numId w:val="1022"/>
        </w:numPr>
        <w:pStyle w:val="Compact"/>
      </w:pPr>
      <w:r>
        <w:t xml:space="preserve">constructors callable with a single argument; and</w:t>
      </w:r>
    </w:p>
    <w:p>
      <w:pPr>
        <w:numPr>
          <w:ilvl w:val="1"/>
          <w:numId w:val="1022"/>
        </w:numPr>
        <w:pStyle w:val="Compact"/>
      </w:pPr>
      <w:r>
        <w:t xml:space="preserve">conversion functions.</w:t>
      </w:r>
      <w:r>
        <w:t xml:space="preserve"> </w:t>
      </w:r>
      <w:r>
        <w:t xml:space="preserve">(see C++ Core guidelines C.46 and C.164)</w:t>
      </w:r>
    </w:p>
    <w:p>
      <w:pPr>
        <w:numPr>
          <w:ilvl w:val="0"/>
          <w:numId w:val="1021"/>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1"/>
        </w:numPr>
      </w:pPr>
      <w:r>
        <w:t xml:space="preserve">Do not perform arithmetic operations on operands that can be promoted. In partcular, be aware of the arithmetic operators that promote their operands,</w:t>
      </w:r>
      <w:r>
        <w:t xml:space="preserve"> </w:t>
      </w:r>
      <w:r>
        <w:t xml:space="preserve">and the types are subject to promotion.</w:t>
      </w:r>
    </w:p>
    <w:p>
      <w:pPr>
        <w:numPr>
          <w:ilvl w:val="0"/>
          <w:numId w:val="1021"/>
        </w:numPr>
      </w:pPr>
      <w:r>
        <w:t xml:space="preserve">Avoid widening the result of an arithmetic operation; prefer instead to widen the type of one or more of the operands</w:t>
      </w:r>
    </w:p>
    <w:p>
      <w:pPr>
        <w:numPr>
          <w:ilvl w:val="0"/>
          <w:numId w:val="1021"/>
        </w:numPr>
      </w:pPr>
      <w:r>
        <w:t xml:space="preserve">Don’t mix signed and unsigned arithmetic (see C++ Core Guidelines ES100)</w:t>
      </w:r>
    </w:p>
    <w:p>
      <w:pPr>
        <w:numPr>
          <w:ilvl w:val="0"/>
          <w:numId w:val="1021"/>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1"/>
        </w:numPr>
      </w:pPr>
      <w:r>
        <w:t xml:space="preserve">Don’t rely on implicit conversions between character types and other types.</w:t>
      </w:r>
    </w:p>
    <w:p>
      <w:pPr>
        <w:numPr>
          <w:ilvl w:val="0"/>
          <w:numId w:val="1021"/>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 and unwanted operations.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classes do not guarantee a string termination character and using their underlying raw pointer as a C-style string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3"/>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3"/>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3"/>
        </w:numPr>
      </w:pPr>
      <w:r>
        <w:t xml:space="preserve">If C-style strings are used, follow the guidance of ISO/IEC 24772-3 clause 6.7.2.</w:t>
      </w:r>
    </w:p>
    <w:p>
      <w:pPr>
        <w:numPr>
          <w:ilvl w:val="0"/>
          <w:numId w:val="1023"/>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3"/>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4"/>
        </w:numPr>
        <w:pStyle w:val="Compact"/>
      </w:pPr>
      <w:r>
        <w:t xml:space="preserve">wrong input range #1, e.g., passing unrelated iterators,</w:t>
      </w:r>
    </w:p>
    <w:p>
      <w:pPr>
        <w:numPr>
          <w:ilvl w:val="0"/>
          <w:numId w:val="1024"/>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5"/>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5"/>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5"/>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5"/>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5"/>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6"/>
        </w:numPr>
        <w:pStyle w:val="Compact"/>
      </w:pPr>
      <w:hyperlink r:id="rId50">
        <w:r>
          <w:rPr>
            <w:rStyle w:val="Hyperlink"/>
          </w:rPr>
          <w:t xml:space="preserve">SEI CTR50-CPP</w:t>
        </w:r>
      </w:hyperlink>
    </w:p>
    <w:p>
      <w:pPr>
        <w:numPr>
          <w:ilvl w:val="0"/>
          <w:numId w:val="1026"/>
        </w:numPr>
        <w:pStyle w:val="Compact"/>
      </w:pPr>
      <w:hyperlink r:id="rId51">
        <w:r>
          <w:rPr>
            <w:rStyle w:val="Hyperlink"/>
          </w:rPr>
          <w:t xml:space="preserve">SEI CTR53-CPP</w:t>
        </w:r>
      </w:hyperlink>
    </w:p>
    <w:p>
      <w:pPr>
        <w:numPr>
          <w:ilvl w:val="0"/>
          <w:numId w:val="1026"/>
        </w:numPr>
        <w:pStyle w:val="Compact"/>
      </w:pPr>
      <w:hyperlink r:id="rId52">
        <w:r>
          <w:rPr>
            <w:rStyle w:val="Hyperlink"/>
          </w:rPr>
          <w:t xml:space="preserve">SEI CTR55-CPP</w:t>
        </w:r>
      </w:hyperlink>
    </w:p>
    <w:p>
      <w:pPr>
        <w:numPr>
          <w:ilvl w:val="0"/>
          <w:numId w:val="1026"/>
        </w:numPr>
        <w:pStyle w:val="Compact"/>
      </w:pPr>
      <w:hyperlink r:id="rId53">
        <w:r>
          <w:rPr>
            <w:rStyle w:val="Hyperlink"/>
          </w:rPr>
          <w:t xml:space="preserve">C++ core guidelines I.13</w:t>
        </w:r>
      </w:hyperlink>
    </w:p>
    <w:bookmarkEnd w:id="54"/>
    <w:bookmarkStart w:id="55" w:name="guidance-to-language-users"/>
    <w:p>
      <w:pPr>
        <w:pStyle w:val="Heading3"/>
      </w:pPr>
      <w:r>
        <w:t xml:space="preserve">6.8.2 Guidance to language users</w:t>
      </w:r>
    </w:p>
    <w:p>
      <w:pPr>
        <w:numPr>
          <w:ilvl w:val="0"/>
          <w:numId w:val="1027"/>
        </w:numPr>
      </w:pPr>
      <w:r>
        <w:t xml:space="preserve">Follow the advice provided in ISO/IEC 24772-1:2022 clause 6.8.5.</w:t>
      </w:r>
    </w:p>
    <w:p>
      <w:pPr>
        <w:numPr>
          <w:ilvl w:val="0"/>
          <w:numId w:val="1027"/>
        </w:numPr>
      </w:pPr>
      <w:r>
        <w:t xml:space="preserve">Avoid C-style arrays. If unavoidable, guidance for the use of C-style arrays is</w:t>
      </w:r>
      <w:r>
        <w:t xml:space="preserve"> </w:t>
      </w:r>
      <w:r>
        <w:t xml:space="preserve">provided in TR 24772-3 clause 6.8.2.</w:t>
      </w:r>
    </w:p>
    <w:p>
      <w:pPr>
        <w:numPr>
          <w:ilvl w:val="0"/>
          <w:numId w:val="1027"/>
        </w:numPr>
      </w:pPr>
      <w:r>
        <w:t xml:space="preserve">To model a fixed-size array, use a library class such as</w:t>
      </w:r>
      <w:r>
        <w:t xml:space="preserve"> </w:t>
      </w:r>
      <w:r>
        <w:rPr>
          <w:rStyle w:val="VerbatimChar"/>
        </w:rPr>
        <w:t xml:space="preserve">std::array</w:t>
      </w:r>
      <w:r>
        <w:t xml:space="preserve">.</w:t>
      </w:r>
    </w:p>
    <w:p>
      <w:pPr>
        <w:numPr>
          <w:ilvl w:val="0"/>
          <w:numId w:val="1027"/>
        </w:numPr>
      </w:pPr>
      <w:r>
        <w:t xml:space="preserve">To model arrays with dynamically changing size, 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7"/>
        </w:numPr>
      </w:pPr>
      <w:r>
        <w:t xml:space="preserve">Avoid using a pointer paramter or a pointer-and-size parameter pair for representing a contiguous buffer.</w:t>
      </w:r>
      <w:r>
        <w:t xml:space="preserve"> </w:t>
      </w:r>
      <w:r>
        <w:t xml:space="preserve">Prefer the library classes</w:t>
      </w:r>
      <w:r>
        <w:t xml:space="preserve"> </w:t>
      </w:r>
      <w:r>
        <w:rPr>
          <w:rStyle w:val="VerbatimChar"/>
        </w:rPr>
        <w:t xml:space="preserve">std::views::counted</w:t>
      </w:r>
      <w:r>
        <w:t xml:space="preserve">,</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for such parameters.</w:t>
      </w:r>
    </w:p>
    <w:p>
      <w:pPr>
        <w:numPr>
          <w:ilvl w:val="0"/>
          <w:numId w:val="1027"/>
        </w:numPr>
      </w:pPr>
      <w:r>
        <w:t xml:space="preserve">Prefer using range-based or iterator-based algorithms, such as those of the standard</w:t>
      </w:r>
      <w:r>
        <w:t xml:space="preserve"> </w:t>
      </w:r>
      <w:r>
        <w:t xml:space="preserve">library, over pointer-manipulating or indexing loops.</w:t>
      </w:r>
    </w:p>
    <w:p>
      <w:pPr>
        <w:numPr>
          <w:ilvl w:val="0"/>
          <w:numId w:val="1027"/>
        </w:numPr>
      </w:pPr>
      <w:r>
        <w:t xml:space="preserve">Use the range-based for loop construct to iterate within the defined bounds of a range.</w:t>
      </w:r>
    </w:p>
    <w:p>
      <w:pPr>
        <w:numPr>
          <w:ilvl w:val="0"/>
          <w:numId w:val="1027"/>
        </w:numPr>
      </w:pPr>
      <w:r>
        <w:t xml:space="preserve">Ensure that ranges and iterators used by range-for or passed to algorithms are and remain valid.</w:t>
      </w:r>
    </w:p>
    <w:p>
      <w:pPr>
        <w:numPr>
          <w:ilvl w:val="0"/>
          <w:numId w:val="1027"/>
        </w:numPr>
      </w:pPr>
      <w:r>
        <w:t xml:space="preserve">When performing random access by indexing, follow the guidance of</w:t>
      </w:r>
      <w:r>
        <w:t xml:space="preserve"> </w:t>
      </w:r>
      <w:r>
        <w:t xml:space="preserve">clause 6.9.2 [#XYZ]. When performing other forms of random access, follow</w:t>
      </w:r>
      <w:r>
        <w:t xml:space="preserve"> </w:t>
      </w:r>
      <w:r>
        <w:t xml:space="preserve">the guidance of clause 6.12.2 [#RVG].</w:t>
      </w:r>
    </w:p>
    <w:p>
      <w:pPr>
        <w:numPr>
          <w:ilvl w:val="0"/>
          <w:numId w:val="1027"/>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 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 like</w:t>
      </w:r>
      <w:r>
        <w:t xml:space="preserve"> </w:t>
      </w:r>
      <w:r>
        <w:rPr>
          <w:rStyle w:val="KeywordTok"/>
        </w:rPr>
        <w:t xml:space="preserve">operator</w:t>
      </w:r>
      <w:r>
        <w:rPr>
          <w:rStyle w:val="NormalTok"/>
        </w:rPr>
        <w:t xml:space="preserve">[]</w:t>
      </w:r>
      <w:r>
        <w:t xml:space="preserve">,</w:t>
      </w:r>
      <w:r>
        <w:t xml:space="preserve"> </w:t>
      </w:r>
      <w:r>
        <w:t xml:space="preserve">but performs a check that the access is within the bounds of the container and throws an exception otherwise.</w:t>
      </w:r>
      <w:r>
        <w:t xml:space="preserve"> </w:t>
      </w: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guidance-to-language-users"/>
    <w:p>
      <w:pPr>
        <w:pStyle w:val="Heading3"/>
      </w:pPr>
      <w:r>
        <w:t xml:space="preserve">6.9.2 Guidance to language users</w:t>
      </w:r>
    </w:p>
    <w:p>
      <w:pPr>
        <w:numPr>
          <w:ilvl w:val="0"/>
          <w:numId w:val="1028"/>
        </w:numPr>
      </w:pPr>
      <w:r>
        <w:t xml:space="preserve">Follow the advice provided in ISO/IEC 24772-1:2022 clause 6.9.5.</w:t>
      </w:r>
    </w:p>
    <w:p>
      <w:pPr>
        <w:numPr>
          <w:ilvl w:val="0"/>
          <w:numId w:val="1028"/>
        </w:numPr>
      </w:pPr>
      <w:r>
        <w:t xml:space="preserve">Follow the advice from clause</w:t>
      </w:r>
      <w:r>
        <w:t xml:space="preserve"> </w:t>
      </w:r>
      <w:hyperlink w:anchor="HCB">
        <w:r>
          <w:rPr>
            <w:rStyle w:val="Hyperlink"/>
          </w:rPr>
          <w:t xml:space="preserve">6.8.2</w:t>
        </w:r>
      </w:hyperlink>
      <w:r>
        <w:t xml:space="preserve">.</w:t>
      </w:r>
    </w:p>
    <w:p>
      <w:pPr>
        <w:numPr>
          <w:ilvl w:val="0"/>
          <w:numId w:val="1028"/>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 does a bounds check.</w:t>
      </w:r>
    </w:p>
    <w:p>
      <w:pPr>
        <w:numPr>
          <w:ilvl w:val="0"/>
          <w:numId w:val="1028"/>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8"/>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 the amount being</w:t>
      </w:r>
      <w:r>
        <w:t xml:space="preserve"> </w:t>
      </w:r>
      <w:r>
        <w:t xml:space="preserve">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 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 or ensure that the output range has sufficient space available.</w:t>
      </w:r>
      <w:r>
        <w:t xml:space="preserve"> </w:t>
      </w:r>
      <w:r>
        <w:t xml:space="preserve">In the case of overlapping input and output ranges, the suitable copying algorithm must be 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 the means of safe array copying.</w:t>
      </w:r>
    </w:p>
    <w:p>
      <w:pPr>
        <w:pStyle w:val="BodyText"/>
      </w:pPr>
      <w:r>
        <w:t xml:space="preserve">If a system requires its own container types with dynamic size, a naïve implementation might attempt to keep the copying external, like with C-style arrays.</w:t>
      </w:r>
      <w:r>
        <w:t xml:space="preserve"> </w:t>
      </w:r>
      <w:r>
        <w:t xml:space="preserve">Such external copying should be avoided.</w:t>
      </w:r>
    </w:p>
    <w:bookmarkEnd w:id="61"/>
    <w:bookmarkStart w:id="62" w:name="guidance-to-language-users"/>
    <w:p>
      <w:pPr>
        <w:pStyle w:val="Heading3"/>
      </w:pPr>
      <w:r>
        <w:t xml:space="preserve">6.10.2 Guidance to language users</w:t>
      </w:r>
    </w:p>
    <w:p>
      <w:pPr>
        <w:numPr>
          <w:ilvl w:val="0"/>
          <w:numId w:val="1029"/>
        </w:numPr>
      </w:pPr>
      <w:r>
        <w:t xml:space="preserve">Follow the advice provided in ISO/IEC 24772-1:2022 clause 6.10.5.</w:t>
      </w:r>
    </w:p>
    <w:p>
      <w:pPr>
        <w:numPr>
          <w:ilvl w:val="0"/>
          <w:numId w:val="1029"/>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9"/>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9"/>
        </w:numPr>
      </w:pPr>
      <w:r>
        <w:t xml:space="preserve">Sidestep the need to use a copy algorithm on overlapping ranges, by selecting a more appropriate algorithm, such as</w:t>
      </w:r>
      <w:r>
        <w:t xml:space="preserve"> </w:t>
      </w:r>
      <w:r>
        <w:rPr>
          <w:rStyle w:val="BuiltInTok"/>
        </w:rPr>
        <w:t xml:space="preserve">std::</w:t>
      </w:r>
      <w:r>
        <w:rPr>
          <w:rStyle w:val="NormalTok"/>
        </w:rPr>
        <w:t xml:space="preserve">rotate</w:t>
      </w:r>
      <w:r>
        <w:t xml:space="preserve">.</w:t>
      </w:r>
    </w:p>
    <w:p>
      <w:pPr>
        <w:numPr>
          <w:ilvl w:val="0"/>
          <w:numId w:val="1029"/>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9"/>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9"/>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 references when pointers are mentioned.</w:t>
      </w:r>
      <w:r>
        <w:t xml:space="preserve"> </w:t>
      </w:r>
      <w:r>
        <w:t xml:space="preserve">In places where references cannot be substituted the 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 a pointer of the</w:t>
      </w:r>
      <w:r>
        <w:t xml:space="preserve"> </w:t>
      </w:r>
      <w:r>
        <w:t xml:space="preserve">target type rather than the original type. The C++ standard defines most cases where that happens as undefined behavior.</w:t>
      </w:r>
      <w:r>
        <w:t xml:space="preserve"> </w:t>
      </w:r>
      <w:r>
        <w:t xml:space="preserve">For example, the lifetime model of C++ might result in accessing the target type object outside of its 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 address permits access to the raw memory.</w:t>
      </w:r>
      <w:r>
        <w:t xml:space="preserve"> </w:t>
      </w:r>
      <w:r>
        <w:t xml:space="preserve">However, casting the address of a piece of raw memory with the correct alignment and size to an object pointer and accessing that object</w:t>
      </w:r>
      <w:r>
        <w:t xml:space="preserve"> </w:t>
      </w:r>
      <w:r>
        <w:t xml:space="preserve">is undefined behavior for most types, because doing so, will not 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 to the desired target type, causing invalid casts.</w:t>
      </w:r>
      <w:r>
        <w:t xml:space="preserve"> </w:t>
      </w:r>
      <w:r>
        <w:t xml:space="preserve">Naïvely assuming that addresses of a derived object and its base object are identical is wrong in most cases.</w:t>
      </w:r>
      <w:r>
        <w:t xml:space="preserve"> </w:t>
      </w:r>
      <w:r>
        <w:t xml:space="preserve">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 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 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The underlying object must have the suitable type matching the incomplete type.</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 dynamic type is known, which is the case when the types declare virtual member functions. Within a constructor or destructor only the static type of the current class is relevant, because the lifetime of any derived class object hasn’t started or has already ended. See subclause</w:t>
      </w:r>
      <w:r>
        <w:t xml:space="preserve"> </w:t>
      </w:r>
      <w:hyperlink w:anchor="BKK">
        <w:r>
          <w:rPr>
            <w:rStyle w:val="Hyperlink"/>
          </w:rPr>
          <w:t xml:space="preserve">Polymorphic Variables [BKK]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guidance-to-language-users"/>
    <w:p>
      <w:pPr>
        <w:pStyle w:val="Heading3"/>
      </w:pPr>
      <w:r>
        <w:t xml:space="preserve">6.11.2 Guidance to language users</w:t>
      </w:r>
    </w:p>
    <w:p>
      <w:pPr>
        <w:numPr>
          <w:ilvl w:val="0"/>
          <w:numId w:val="1030"/>
        </w:numPr>
      </w:pPr>
      <w:r>
        <w:t xml:space="preserve">Follow the advice provided in ISO/IEC TR 24772-1:2019 clause 6.11.5.</w:t>
      </w:r>
    </w:p>
    <w:p>
      <w:pPr>
        <w:numPr>
          <w:ilvl w:val="0"/>
          <w:numId w:val="1030"/>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0"/>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0"/>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0"/>
        </w:numPr>
      </w:pPr>
      <w:r>
        <w:t xml:space="preserve">If pointer and reference conversions cannot be avoided, treat compiler warnings that are issued for such conversions</w:t>
      </w:r>
      <w:r>
        <w:t xml:space="preserve"> </w:t>
      </w:r>
      <w:r>
        <w:t xml:space="preserve">as hard errors.</w:t>
      </w:r>
    </w:p>
    <w:bookmarkEnd w:id="65"/>
    <w:bookmarkEnd w:id="66"/>
    <w:bookmarkStart w:id="69" w:name="RVG"/>
    <w:p>
      <w:pPr>
        <w:pStyle w:val="Heading2"/>
      </w:pPr>
      <w:r>
        <w:t xml:space="preserve">6.12 Pointer Arithmetic [RVG]</w:t>
      </w:r>
    </w:p>
    <w:p>
      <w:pPr>
        <w:pStyle w:val="FirstParagraph"/>
      </w:pPr>
      <w:r>
        <w:t xml:space="preserve">TODO</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pointers. Analogous vulnerabilities can also apply to</w:t>
      </w:r>
      <w:r>
        <w:t xml:space="preserve"> </w:t>
      </w:r>
      <w:r>
        <w:t xml:space="preserve">C++ iterators.</w:t>
      </w:r>
      <w:r>
        <w:t xml:space="preserve"> </w:t>
      </w:r>
      <w:r>
        <w:t xml:space="preserve">Especially, comparing with a relational operator or substracting pointers or iterators of compatible types that refer to different arrays or ranges is undefined behavior. The vulnerabilities caused by out-of-bounds access are covered in clause</w:t>
      </w:r>
      <w:r>
        <w:t xml:space="preserve"> </w:t>
      </w:r>
      <w:hyperlink w:anchor="HCB">
        <w:r>
          <w:rPr>
            <w:rStyle w:val="Hyperlink"/>
          </w:rPr>
          <w:t xml:space="preserve">6.8</w:t>
        </w:r>
      </w:hyperlink>
      <w:r>
        <w:t xml:space="preserve">.</w:t>
      </w:r>
      <w:r>
        <w:t xml:space="preserve"> </w:t>
      </w:r>
      <w:r>
        <w:t xml:space="preserve">The standard library function objects for comparison, like</w:t>
      </w:r>
      <w:r>
        <w:t xml:space="preserve"> </w:t>
      </w:r>
      <w:r>
        <w:rPr>
          <w:rStyle w:val="VerbatimChar"/>
        </w:rPr>
        <w:t xml:space="preserve">std::less&lt;&gt;</w:t>
      </w:r>
      <w:r>
        <w:t xml:space="preserve">, provide a total order of pointers of a given type.</w:t>
      </w:r>
    </w:p>
    <w:p>
      <w:pPr>
        <w:pStyle w:val="BodyText"/>
      </w:pPr>
      <w:r>
        <w:t xml:space="preserve">It is defined behavior to reinterpret cast to a pointer from the integral types std::uintptr_t/std::intptr_t, but only if the value of the integer value was previously obtained by converting a valid pointer to said integral type. Casting an arbitrary integral value to a pointer is undefined behavior.</w:t>
      </w:r>
    </w:p>
    <w:p>
      <w:pPr>
        <w:pStyle w:val="BodyText"/>
      </w:pPr>
      <w:r>
        <w:t xml:space="preserve">Pointers to functions and pointers to members and pointerst to void do not allow pointer arithmetic.</w:t>
      </w:r>
    </w:p>
    <w:p>
      <w:pPr>
        <w:pStyle w:val="BodyText"/>
      </w:pP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r>
        <w:t xml:space="preserve"> </w:t>
      </w: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 pointers.</w:t>
      </w:r>
    </w:p>
    <w:bookmarkEnd w:id="67"/>
    <w:bookmarkStart w:id="68" w:name="guidance-to-language-users"/>
    <w:p>
      <w:pPr>
        <w:pStyle w:val="Heading3"/>
      </w:pPr>
      <w:r>
        <w:t xml:space="preserve">6.12.2 Guidance to language users</w:t>
      </w:r>
    </w:p>
    <w:p>
      <w:pPr>
        <w:numPr>
          <w:ilvl w:val="0"/>
          <w:numId w:val="1031"/>
        </w:numPr>
      </w:pPr>
      <w:r>
        <w:t xml:space="preserve">Follow the guidance of clause 6.8.2. with respect to ordinary pointer arithmetic of a pointer to object.</w:t>
      </w:r>
    </w:p>
    <w:p>
      <w:pPr>
        <w:numPr>
          <w:ilvl w:val="0"/>
          <w:numId w:val="1031"/>
        </w:numPr>
      </w:pPr>
      <w:r>
        <w:t xml:space="preserve">Avoid using reinterpret_cast&lt;&gt;() or pointer conversions to or from</w:t>
      </w:r>
      <w:r>
        <w:t xml:space="preserve"> </w:t>
      </w:r>
      <w:r>
        <w:rPr>
          <w:rStyle w:val="DataTypeTok"/>
        </w:rPr>
        <w:t xml:space="preserve">void</w:t>
      </w:r>
      <w:r>
        <w:rPr>
          <w:rStyle w:val="NormalTok"/>
        </w:rPr>
        <w:t xml:space="preserve"> *</w:t>
      </w:r>
      <w:r>
        <w:t xml:space="preserve">. Do not use C-style casts to achieve reinterpret_cast functionality.</w:t>
      </w:r>
    </w:p>
    <w:p>
      <w:pPr>
        <w:numPr>
          <w:ilvl w:val="0"/>
          <w:numId w:val="1031"/>
        </w:numPr>
      </w:pPr>
      <w:r>
        <w:t xml:space="preserve">Compare pointers of unknown realm with the standard library comparison function objects instead of relational operators.</w:t>
      </w:r>
    </w:p>
    <w:p>
      <w:pPr>
        <w:numPr>
          <w:ilvl w:val="0"/>
          <w:numId w:val="1031"/>
        </w:numPr>
      </w:pPr>
      <w:r>
        <w:t xml:space="preserve">Consider an outright ban on pointer arithmetic due to the</w:t>
      </w:r>
      <w:r>
        <w:t xml:space="preserve"> </w:t>
      </w:r>
      <w:r>
        <w:t xml:space="preserve">error-prone nature of pointer arithmetic.</w:t>
      </w:r>
    </w:p>
    <w:p>
      <w:pPr>
        <w:numPr>
          <w:ilvl w:val="0"/>
          <w:numId w:val="1031"/>
        </w:numPr>
      </w:pPr>
      <w:r>
        <w:t xml:space="preserve">Verify that all pointers are assigned a valid memory address for</w:t>
      </w:r>
      <w:r>
        <w:t xml:space="preserve"> </w:t>
      </w:r>
      <w:r>
        <w:t xml:space="preserve">use.</w:t>
      </w:r>
    </w:p>
    <w:bookmarkEnd w:id="68"/>
    <w:bookmarkEnd w:id="69"/>
    <w:bookmarkStart w:id="72" w:name="null-pointer-dereferenc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 pointers.</w:t>
      </w:r>
      <w:r>
        <w:t xml:space="preserve"> </w:t>
      </w:r>
      <w:r>
        <w:t xml:space="preserve">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 of a result.</w:t>
      </w:r>
      <w:r>
        <w:t xml:space="preserve"> </w:t>
      </w:r>
      <w:r>
        <w:t xml:space="preserve">This mechanism lead to a style where pointer returns are very common and magnify potential 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 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 issues:</w:t>
      </w:r>
    </w:p>
    <w:p>
      <w:pPr>
        <w:numPr>
          <w:ilvl w:val="0"/>
          <w:numId w:val="1032"/>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2"/>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2"/>
        </w:numPr>
        <w:pStyle w:val="Compact"/>
      </w:pPr>
      <w:r>
        <w:t xml:space="preserve">what is the lifetime of the pointee?</w:t>
      </w:r>
    </w:p>
    <w:p>
      <w:pPr>
        <w:numPr>
          <w:ilvl w:val="0"/>
          <w:numId w:val="1032"/>
        </w:numPr>
        <w:pStyle w:val="Compact"/>
      </w:pPr>
      <w:r>
        <w:t xml:space="preserve">who has ownership of the pointee?</w:t>
      </w:r>
    </w:p>
    <w:p>
      <w:pPr>
        <w:numPr>
          <w:ilvl w:val="0"/>
          <w:numId w:val="1032"/>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 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 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 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 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 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 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70"/>
    <w:bookmarkStart w:id="71" w:name="guidance-to-language-users"/>
    <w:p>
      <w:pPr>
        <w:pStyle w:val="Heading3"/>
      </w:pPr>
      <w:r>
        <w:t xml:space="preserve">6.13.2 Guidance to language users</w:t>
      </w:r>
    </w:p>
    <w:p>
      <w:pPr>
        <w:numPr>
          <w:ilvl w:val="0"/>
          <w:numId w:val="1033"/>
        </w:numPr>
      </w:pPr>
      <w:r>
        <w:t xml:space="preserve">If using objects of pointer-like types that may contain a</w:t>
      </w:r>
      <w:r>
        <w:t xml:space="preserve"> </w:t>
      </w:r>
      <w:r>
        <w:rPr>
          <w:rStyle w:val="KeywordTok"/>
        </w:rPr>
        <w:t xml:space="preserve">nullptr</w:t>
      </w:r>
      <w:r>
        <w:t xml:space="preserve"> </w:t>
      </w:r>
      <w:r>
        <w:t xml:space="preserve">value is unavoidable, follow the guidance from TR 24772-3 clause 6.13.2.</w:t>
      </w:r>
    </w:p>
    <w:p>
      <w:pPr>
        <w:numPr>
          <w:ilvl w:val="0"/>
          <w:numId w:val="1033"/>
        </w:numPr>
      </w:pPr>
      <w:r>
        <w:t xml:space="preserve">Use references to reduce the number of places where pointers are dereferenced.</w:t>
      </w:r>
    </w:p>
    <w:p>
      <w:pPr>
        <w:numPr>
          <w:ilvl w:val="0"/>
          <w:numId w:val="1033"/>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 result.</w:t>
      </w:r>
    </w:p>
    <w:p>
      <w:pPr>
        <w:numPr>
          <w:ilvl w:val="0"/>
          <w:numId w:val="1033"/>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33"/>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33"/>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p>
      <w:pPr>
        <w:numPr>
          <w:ilvl w:val="0"/>
          <w:numId w:val="1033"/>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4"/>
        </w:numPr>
      </w:pPr>
      <w:r>
        <w:t xml:space="preserve">References</w:t>
      </w:r>
    </w:p>
    <w:p>
      <w:pPr>
        <w:numPr>
          <w:ilvl w:val="0"/>
          <w:numId w:val="1034"/>
        </w:numPr>
      </w:pPr>
      <w:r>
        <w:t xml:space="preserve">Pointers</w:t>
      </w:r>
    </w:p>
    <w:p>
      <w:pPr>
        <w:numPr>
          <w:ilvl w:val="0"/>
          <w:numId w:val="1034"/>
        </w:numPr>
      </w:pPr>
      <w:r>
        <w:t xml:space="preserve">Iterators</w:t>
      </w:r>
    </w:p>
    <w:p>
      <w:pPr>
        <w:numPr>
          <w:ilvl w:val="0"/>
          <w:numId w:val="1034"/>
        </w:numPr>
      </w:pPr>
      <w:r>
        <w:rPr>
          <w:rStyle w:val="BuiltInTok"/>
        </w:rPr>
        <w:t xml:space="preserve">std::</w:t>
      </w:r>
      <w:r>
        <w:rPr>
          <w:rStyle w:val="NormalTok"/>
        </w:rPr>
        <w:t xml:space="preserve">string_view</w:t>
      </w:r>
    </w:p>
    <w:p>
      <w:pPr>
        <w:numPr>
          <w:ilvl w:val="0"/>
          <w:numId w:val="1034"/>
        </w:numPr>
      </w:pPr>
      <w:r>
        <w:rPr>
          <w:rStyle w:val="BuiltInTok"/>
        </w:rPr>
        <w:t xml:space="preserve">std::</w:t>
      </w:r>
      <w:r>
        <w:rPr>
          <w:rStyle w:val="NormalTok"/>
        </w:rPr>
        <w:t xml:space="preserve">span</w:t>
      </w:r>
    </w:p>
    <w:p>
      <w:pPr>
        <w:numPr>
          <w:ilvl w:val="0"/>
          <w:numId w:val="1034"/>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 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 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 to reduce the risk for dangling.</w:t>
      </w:r>
    </w:p>
    <w:bookmarkEnd w:id="73"/>
    <w:bookmarkStart w:id="74"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35"/>
        </w:numPr>
      </w:pPr>
      <w:r>
        <w:t xml:space="preserve">Do not rely on lifetime extension of temporaries by binding them to named references.</w:t>
      </w:r>
      <w:r>
        <w:t xml:space="preserve"> </w:t>
      </w:r>
      <w:r>
        <w:t xml:space="preserve">Use (local) variables instead.</w:t>
      </w:r>
    </w:p>
    <w:p>
      <w:pPr>
        <w:numPr>
          <w:ilvl w:val="0"/>
          <w:numId w:val="1035"/>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35"/>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5"/>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5"/>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5"/>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 6.06 [FLC]).</w:t>
      </w:r>
      <w:r>
        <w:t xml:space="preserve"> </w:t>
      </w:r>
      <w:r>
        <w:t xml:space="preserve">A left-shift on an operand that gets promoted can result in a value outside the operand’s unpromoted type’s range.</w:t>
      </w:r>
    </w:p>
    <w:p>
      <w:pPr>
        <w:pStyle w:val="BodyText"/>
      </w:pPr>
      <w:r>
        <w:t xml:space="preserve">Not every use of a shift operator is a bit-shift due to operator overloading.</w:t>
      </w:r>
    </w:p>
    <w:bookmarkEnd w:id="76"/>
    <w:bookmarkStart w:id="77" w:name="guidance-to-language-users"/>
    <w:p>
      <w:pPr>
        <w:pStyle w:val="Heading3"/>
      </w:pPr>
      <w:r>
        <w:t xml:space="preserve">6.16.2 Guidance to language users</w:t>
      </w:r>
    </w:p>
    <w:p>
      <w:pPr>
        <w:numPr>
          <w:ilvl w:val="0"/>
          <w:numId w:val="1036"/>
        </w:numPr>
        <w:pStyle w:val="Compact"/>
      </w:pPr>
      <w:r>
        <w:t xml:space="preserve">Follow the advice of ISO/IEC TR 24772-1:2019 clause 6.16 *Using Shift Operations for Multiplication and Division [PIK].</w:t>
      </w:r>
    </w:p>
    <w:p>
      <w:pPr>
        <w:numPr>
          <w:ilvl w:val="0"/>
          <w:numId w:val="1036"/>
        </w:numPr>
        <w:pStyle w:val="Compact"/>
      </w:pPr>
      <w:r>
        <w:t xml:space="preserve">For promoted operands, consider converting the result of a shift operation back to the original type of the left hand operand (say using a static cast or an assignment to an object of that type) before using the result in further operations.</w:t>
      </w:r>
    </w:p>
    <w:bookmarkEnd w:id="77"/>
    <w:bookmarkEnd w:id="78"/>
    <w:bookmarkStart w:id="80" w:name="choice-of-clear-names-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somewhat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and a human</w:t>
      </w:r>
      <w:r>
        <w:br/>
      </w:r>
      <w:r>
        <w:rPr>
          <w:rStyle w:val="VerbatimChar"/>
        </w:rPr>
        <w:t xml:space="preserve">reviewer may not notice that resolution. Variable name length is</w:t>
      </w:r>
      <w:r>
        <w:br/>
      </w:r>
      <w:r>
        <w:rPr>
          <w:rStyle w:val="VerbatimChar"/>
        </w:rPr>
        <w:t xml:space="preserve">implementation specific and so one implementation may resolve names to</w:t>
      </w:r>
      <w:r>
        <w:br/>
      </w:r>
      <w:r>
        <w:rPr>
          <w:rStyle w:val="VerbatimChar"/>
        </w:rPr>
        <w:t xml:space="preserve">one length whereas another implementation may resolve names to another</w:t>
      </w:r>
      <w:r>
        <w:br/>
      </w:r>
      <w:r>
        <w:rPr>
          <w:rStyle w:val="VerbatimChar"/>
        </w:rPr>
        <w:t xml:space="preserve">length resulting in unintended behaviour.</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7"/>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7"/>
        </w:numPr>
      </w:pPr>
      <w:r>
        <w:t xml:space="preserve">Adopt or develop coding guidelines to define a common coding style</w:t>
      </w:r>
      <w:r>
        <w:t xml:space="preserve"> </w:t>
      </w:r>
      <w:r>
        <w:t xml:space="preserve">and to avoid the above dangerous practices.</w:t>
      </w:r>
    </w:p>
    <w:bookmarkEnd w:id="79"/>
    <w:bookmarkEnd w:id="80"/>
    <w:bookmarkStart w:id="83" w:name="WXQ"/>
    <w:p>
      <w:pPr>
        <w:pStyle w:val="Heading2"/>
      </w:pPr>
      <w:r>
        <w:t xml:space="preserve">6.18 Dead Store [WXQ]</w:t>
      </w:r>
    </w:p>
    <w:bookmarkStart w:id="81"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 observable, in particular, dead stores. For example, the often-attempted write operations to non-volatile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 store is possible but unlikely in C++ since the language specifies that all objects shall be declared and typed, and the existence of two objects with almost identical names and compatible types (for assignment) in the same scope would be readily detectable. See 6.17 [NAI] Choice of clear names, 6.20 Identifier name reuse [YOW], and 6.21 Namespace issues [BJL]</w:t>
      </w:r>
    </w:p>
    <w:bookmarkEnd w:id="81"/>
    <w:bookmarkStart w:id="82" w:name="guidance-to-language-users"/>
    <w:p>
      <w:pPr>
        <w:pStyle w:val="Heading3"/>
      </w:pPr>
      <w:r>
        <w:t xml:space="preserve">6.18.2 Guidance to language users</w:t>
      </w:r>
    </w:p>
    <w:p>
      <w:pPr>
        <w:numPr>
          <w:ilvl w:val="0"/>
          <w:numId w:val="1038"/>
        </w:numPr>
      </w:pPr>
      <w:r>
        <w:t xml:space="preserve">Follow the advice of ISO/IEC 24772-1 clause 6.18.</w:t>
      </w:r>
    </w:p>
    <w:p>
      <w:pPr>
        <w:numPr>
          <w:ilvl w:val="0"/>
          <w:numId w:val="1038"/>
        </w:numPr>
      </w:pPr>
      <w:r>
        <w:t xml:space="preserve">Use compilers and static analysis tools to identify dead stores in</w:t>
      </w:r>
      <w:r>
        <w:t xml:space="preserve"> </w:t>
      </w:r>
      <w:r>
        <w:t xml:space="preserve">the program.</w:t>
      </w:r>
    </w:p>
    <w:p>
      <w:pPr>
        <w:numPr>
          <w:ilvl w:val="0"/>
          <w:numId w:val="1038"/>
        </w:numPr>
      </w:pPr>
      <w:r>
        <w:t xml:space="preserve">Provide sufficient synchronization to non-const variables that are accessed by multiple execution agents. See clause 6.61</w:t>
      </w:r>
      <w:r>
        <w:t xml:space="preserve"> </w:t>
      </w:r>
      <w:r>
        <w:t xml:space="preserve">Concurrent data access [CGX]</w:t>
      </w:r>
    </w:p>
    <w:bookmarkEnd w:id="82"/>
    <w:bookmarkEnd w:id="83"/>
    <w:bookmarkStart w:id="86" w:name="unused-variable-yzs"/>
    <w:p>
      <w:pPr>
        <w:pStyle w:val="Heading2"/>
      </w:pPr>
      <w:r>
        <w:t xml:space="preserve">6.19 Unused Variable [YZS]</w:t>
      </w:r>
    </w:p>
    <w:bookmarkStart w:id="84"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4"/>
    <w:bookmarkStart w:id="85" w:name="guidance-to-language-users"/>
    <w:p>
      <w:pPr>
        <w:pStyle w:val="Heading3"/>
      </w:pPr>
      <w:r>
        <w:t xml:space="preserve">6.19.2 Guidance to language users</w:t>
      </w:r>
    </w:p>
    <w:p>
      <w:pPr>
        <w:numPr>
          <w:ilvl w:val="0"/>
          <w:numId w:val="1039"/>
        </w:numPr>
      </w:pPr>
      <w:r>
        <w:t xml:space="preserve">Follow the guidance of ISO/IEC TR 24772-1:2019 clause 6.19.5.</w:t>
      </w:r>
    </w:p>
    <w:p>
      <w:pPr>
        <w:numPr>
          <w:ilvl w:val="0"/>
          <w:numId w:val="1039"/>
        </w:numPr>
      </w:pPr>
      <w:r>
        <w:t xml:space="preserve">Resolve all compiler warnings for unused variables.</w:t>
      </w:r>
    </w:p>
    <w:bookmarkEnd w:id="85"/>
    <w:bookmarkEnd w:id="86"/>
    <w:bookmarkStart w:id="89" w:name="identifier-name-reuse-yow"/>
    <w:p>
      <w:pPr>
        <w:pStyle w:val="Heading2"/>
      </w:pPr>
      <w:r>
        <w:t xml:space="preserve">6.20 Identifier Name Reuse [YOW]</w:t>
      </w:r>
    </w:p>
    <w:bookmarkStart w:id="87"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 defining</w:t>
      </w:r>
      <w:r>
        <w:t xml:space="preserve"> </w:t>
      </w:r>
      <w:r>
        <w:t xml:space="preserve">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 argument type</w:t>
      </w:r>
      <w:r>
        <w:t xml:space="preserve"> </w:t>
      </w:r>
      <w:r>
        <w:t xml:space="preserve">that is the derived class as template parameter.</w:t>
      </w:r>
    </w:p>
    <w:bookmarkEnd w:id="87"/>
    <w:bookmarkStart w:id="88" w:name="guidance-to-language-users"/>
    <w:p>
      <w:pPr>
        <w:pStyle w:val="Heading3"/>
      </w:pPr>
      <w:r>
        <w:t xml:space="preserve">6.20.2 Guidance to language users</w:t>
      </w:r>
    </w:p>
    <w:p>
      <w:pPr>
        <w:numPr>
          <w:ilvl w:val="0"/>
          <w:numId w:val="1040"/>
        </w:numPr>
      </w:pPr>
      <w:r>
        <w:t xml:space="preserve">Follow the guidance of ISO/IEC TR 24772-1:2019 clause 6.20, with the</w:t>
      </w:r>
      <w:r>
        <w:t xml:space="preserve"> </w:t>
      </w:r>
      <w:r>
        <w:t xml:space="preserve">exclusion of guidance related to truncated identifiers.</w:t>
      </w:r>
    </w:p>
    <w:p>
      <w:pPr>
        <w:numPr>
          <w:ilvl w:val="0"/>
          <w:numId w:val="1040"/>
        </w:numPr>
      </w:pPr>
      <w:r>
        <w:t xml:space="preserve">Qualify names to disambiguate potential conflicts between names</w:t>
      </w:r>
      <w:r>
        <w:t xml:space="preserve"> </w:t>
      </w:r>
      <w:r>
        <w:t xml:space="preserve">introduced from different scopes.</w:t>
      </w:r>
    </w:p>
    <w:p>
      <w:pPr>
        <w:numPr>
          <w:ilvl w:val="0"/>
          <w:numId w:val="1040"/>
        </w:numPr>
      </w:pPr>
      <w:r>
        <w:t xml:space="preserve">Document argument-dependent lookup usage where name qualification is</w:t>
      </w:r>
      <w:r>
        <w:t xml:space="preserve"> </w:t>
      </w:r>
      <w:r>
        <w:t xml:space="preserve">not desirable.</w:t>
      </w:r>
    </w:p>
    <w:p>
      <w:pPr>
        <w:numPr>
          <w:ilvl w:val="0"/>
          <w:numId w:val="104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0"/>
        </w:numPr>
      </w:pPr>
      <w:r>
        <w:t xml:space="preserve">Place overloaded operators that are not class members and cannot be provided as</w:t>
      </w:r>
      <w:r>
        <w:t xml:space="preserve"> </w:t>
      </w:r>
      <w:r>
        <w:rPr>
          <w:i/>
        </w:rPr>
        <w:t xml:space="preserve">hidden friends</w:t>
      </w:r>
      <w:r>
        <w:t xml:space="preserve"> </w:t>
      </w:r>
      <w:r>
        <w:t xml:space="preserve">together with their argument type in a namespace that is not the global namespace,</w:t>
      </w:r>
      <w:r>
        <w:t xml:space="preserve"> </w:t>
      </w:r>
      <w:r>
        <w:t xml:space="preserve">so that they are picked up by ADL.</w:t>
      </w:r>
    </w:p>
    <w:p>
      <w:pPr>
        <w:numPr>
          <w:ilvl w:val="0"/>
          <w:numId w:val="1040"/>
        </w:numPr>
      </w:pPr>
      <w:r>
        <w:t xml:space="preserve">Use modern integrated development environments that inform about the</w:t>
      </w:r>
      <w:r>
        <w:t xml:space="preserve"> </w:t>
      </w:r>
      <w:r>
        <w:t xml:space="preserve">declaration of any identifier occurrence.</w:t>
      </w:r>
    </w:p>
    <w:p>
      <w:pPr>
        <w:numPr>
          <w:ilvl w:val="0"/>
          <w:numId w:val="1040"/>
        </w:numPr>
      </w:pPr>
      <w:r>
        <w:t xml:space="preserve">Enable compiler diagnostics that inform about the hiding of</w:t>
      </w:r>
      <w:r>
        <w:t xml:space="preserve"> </w:t>
      </w:r>
      <w:r>
        <w:t xml:space="preserve">declarations.</w:t>
      </w:r>
    </w:p>
    <w:p>
      <w:pPr>
        <w:numPr>
          <w:ilvl w:val="1"/>
          <w:numId w:val="1041"/>
        </w:numPr>
        <w:pStyle w:val="SourceCode"/>
      </w:pPr>
      <w:r>
        <w:rPr>
          <w:rStyle w:val="VerbatimChar"/>
        </w:rPr>
        <w:t xml:space="preserve">  DCL60-CPP. Obey the one-definition</w:t>
      </w:r>
    </w:p>
    <w:p>
      <w:pPr>
        <w:numPr>
          <w:ilvl w:val="1"/>
          <w:numId w:val="1000"/>
        </w:numPr>
      </w:pPr>
      <w:r>
        <w:t xml:space="preserve">rule (6.21)</w:t>
      </w:r>
    </w:p>
    <w:p>
      <w:pPr>
        <w:numPr>
          <w:ilvl w:val="1"/>
          <w:numId w:val="104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8"/>
    <w:bookmarkEnd w:id="89"/>
    <w:bookmarkStart w:id="92" w:name="namespace-issues-bjl"/>
    <w:p>
      <w:pPr>
        <w:pStyle w:val="Heading2"/>
      </w:pPr>
      <w:r>
        <w:t xml:space="preserve">6.21 Namespace Issues [BJL]</w:t>
      </w:r>
    </w:p>
    <w:bookmarkStart w:id="90"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The situations where it exists are related to the following cases:</w:t>
      </w:r>
    </w:p>
    <w:p>
      <w:pPr>
        <w:numPr>
          <w:ilvl w:val="0"/>
          <w:numId w:val="1042"/>
        </w:numPr>
      </w:pPr>
      <w:r>
        <w:t xml:space="preserve">Overloading, where clause 6.20 applies;</w:t>
      </w:r>
    </w:p>
    <w:p>
      <w:pPr>
        <w:numPr>
          <w:ilvl w:val="0"/>
          <w:numId w:val="1042"/>
        </w:numPr>
      </w:pPr>
      <w:r>
        <w:t xml:space="preserve">Overriding, where clause 6.41 applies.</w:t>
      </w:r>
    </w:p>
    <w:p>
      <w:pPr>
        <w:pStyle w:val="FirstParagraph"/>
      </w:pPr>
      <w:r>
        <w:t xml:space="preserve">In those cases, C++ compilers are required to diagnose an ambiguity if it exists.</w:t>
      </w:r>
    </w:p>
    <w:p>
      <w:pPr>
        <w:pStyle w:val="BodyText"/>
      </w:pPr>
      <w:r>
        <w:t xml:space="preserve">However, overload resolution applies preference rules in order to select among multiple matching functions as a</w:t>
      </w:r>
      <w:r>
        <w:t xml:space="preserve"> </w:t>
      </w:r>
      <w:r>
        <w:t xml:space="preserve">means to resolve the ambiguity among these functions. Hence, for calls that are not perfect matches, the user cannot</w:t>
      </w:r>
      <w:r>
        <w:t xml:space="preserve"> </w:t>
      </w:r>
      <w:r>
        <w:t xml:space="preserve">guarantee in the presence of later changes which function is called, as another, better match can be introduced</w:t>
      </w:r>
      <w:r>
        <w:t xml:space="preserve"> </w:t>
      </w:r>
      <w:r>
        <w:t xml:space="preserve">subsequently. The call in question then changes its binding without warning upon its next compilation. For cases,</w:t>
      </w:r>
      <w:r>
        <w:t xml:space="preserve"> </w:t>
      </w:r>
      <w:r>
        <w:t xml:space="preserve">where the preference rules do not resolve the ambiguity, the resulting error message by the compiler avoids the</w:t>
      </w:r>
      <w:r>
        <w:t xml:space="preserve"> </w:t>
      </w:r>
      <w:r>
        <w:t xml:space="preserve">vulnerability.</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may become visible in a number of situations involving the addition of:</w:t>
      </w:r>
    </w:p>
    <w:p>
      <w:pPr>
        <w:numPr>
          <w:ilvl w:val="0"/>
          <w:numId w:val="1043"/>
        </w:numPr>
        <w:pStyle w:val="Compact"/>
      </w:pPr>
      <w:r>
        <w:t xml:space="preserve">a new overload,</w:t>
      </w:r>
    </w:p>
    <w:p>
      <w:pPr>
        <w:numPr>
          <w:ilvl w:val="0"/>
          <w:numId w:val="1043"/>
        </w:numPr>
        <w:pStyle w:val="Compact"/>
      </w:pPr>
      <w:r>
        <w:t xml:space="preserve">a using directive</w:t>
      </w:r>
    </w:p>
    <w:p>
      <w:pPr>
        <w:numPr>
          <w:ilvl w:val="0"/>
          <w:numId w:val="1043"/>
        </w:numPr>
        <w:pStyle w:val="Compact"/>
      </w:pPr>
      <w:r>
        <w:t xml:space="preserve">a declaration into a namespace that is searched as part of</w:t>
      </w:r>
      <w:r>
        <w:t xml:space="preserve"> </w:t>
      </w:r>
      <w:r>
        <w:t xml:space="preserve">“</w:t>
      </w:r>
      <w:r>
        <w:t xml:space="preserve">Argument Dependent Lookup</w:t>
      </w:r>
      <w:r>
        <w:t xml:space="preserve">”</w:t>
      </w:r>
    </w:p>
    <w:p>
      <w:pPr>
        <w:numPr>
          <w:ilvl w:val="0"/>
          <w:numId w:val="1043"/>
        </w:numPr>
        <w:pStyle w:val="Compact"/>
      </w:pPr>
      <w:r>
        <w:t xml:space="preserve">a non-template function that is preferred to a function template</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 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 will be visible some of which may be</w:t>
      </w:r>
      <w:r>
        <w:t xml:space="preserve"> </w:t>
      </w:r>
      <w:r>
        <w:t xml:space="preserve">unwanted. A using declaration, on the other hand, declares only the specified name 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the compiler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OK,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w:t>
      </w:r>
      <w:r>
        <w:br/>
      </w:r>
      <w:r>
        <w:rPr>
          <w:rStyle w:val="NormalTok"/>
        </w:rPr>
        <w:t xml:space="preserve">}</w:t>
      </w:r>
    </w:p>
    <w:bookmarkEnd w:id="90"/>
    <w:bookmarkStart w:id="91" w:name="guidance-to-language-users"/>
    <w:p>
      <w:pPr>
        <w:pStyle w:val="Heading3"/>
      </w:pPr>
      <w:r>
        <w:t xml:space="preserve">6.21.2 Guidance to language users</w:t>
      </w:r>
    </w:p>
    <w:p>
      <w:pPr>
        <w:numPr>
          <w:ilvl w:val="0"/>
          <w:numId w:val="1044"/>
        </w:numPr>
      </w:pPr>
      <w:r>
        <w:t xml:space="preserve">Follow the guidance of clauses 6.20.2 and 6.41.2 as applicable.</w:t>
      </w:r>
    </w:p>
    <w:p>
      <w:pPr>
        <w:numPr>
          <w:ilvl w:val="0"/>
          <w:numId w:val="1044"/>
        </w:numPr>
      </w:pPr>
      <w:r>
        <w:t xml:space="preserve">Consider using fully qualified names for calls that rely on an implicit conversions.</w:t>
      </w:r>
    </w:p>
    <w:p>
      <w:pPr>
        <w:numPr>
          <w:ilvl w:val="0"/>
          <w:numId w:val="1044"/>
        </w:numPr>
      </w:pPr>
      <w:r>
        <w:t xml:space="preserve">Prefer using declarations to using directives.</w:t>
      </w:r>
    </w:p>
    <w:p>
      <w:pPr>
        <w:numPr>
          <w:ilvl w:val="0"/>
          <w:numId w:val="1044"/>
        </w:numPr>
      </w:pPr>
      <w:r>
        <w:t xml:space="preserve">Do not overload and use default arguments for the same set of functions.</w:t>
      </w:r>
    </w:p>
    <w:p>
      <w:pPr>
        <w:numPr>
          <w:ilvl w:val="0"/>
          <w:numId w:val="1044"/>
        </w:numPr>
      </w:pPr>
      <w:r>
        <w:t xml:space="preserve">Do not overload templates and non-templates (???)</w:t>
      </w:r>
    </w:p>
    <w:p>
      <w:pPr>
        <w:pStyle w:val="FirstParagraph"/>
      </w:pPr>
      <w:r>
        <w:rPr>
          <w:rStyle w:val="VerbatimChar"/>
        </w:rPr>
        <w:t xml:space="preserve">Note Start</w:t>
      </w:r>
      <w:r>
        <w:t xml:space="preserve"> </w:t>
      </w:r>
      <w:r>
        <w:t xml:space="preserve">Do these really relate to this rule?</w:t>
      </w:r>
      <w:r>
        <w:t xml:space="preserve"> </w:t>
      </w:r>
      <w:r>
        <w:t xml:space="preserve">- DCL60-CPP. Obey the one-definition rule (6.21)</w:t>
      </w:r>
      <w:r>
        <w:t xml:space="preserve"> </w:t>
      </w:r>
      <w:r>
        <w:t xml:space="preserve">- DCL40-C. Do not create incompatible declarations of the same function or object (6.21)</w:t>
      </w:r>
    </w:p>
    <w:p>
      <w:pPr>
        <w:pStyle w:val="BodyText"/>
      </w:pPr>
      <w:r>
        <w:t xml:space="preserve">Is there other guidance that would help here?</w:t>
      </w:r>
      <w:r>
        <w:t xml:space="preserve"> </w:t>
      </w:r>
      <w:r>
        <w:t xml:space="preserve">- Analyse called functions between API upgrades?</w:t>
      </w:r>
      <w:r>
        <w:t xml:space="preserve"> </w:t>
      </w:r>
      <w:r>
        <w:t xml:space="preserve">- Remove implicit conversions for called functions?</w:t>
      </w:r>
      <w:r>
        <w:t xml:space="preserve"> </w:t>
      </w:r>
      <w:r>
        <w:t xml:space="preserve">- Changes to APIs should rename funcsets that have additional overloads?</w:t>
      </w:r>
    </w:p>
    <w:p>
      <w:pPr>
        <w:pStyle w:val="BodyText"/>
      </w:pPr>
      <w:r>
        <w:rPr>
          <w:rStyle w:val="VerbatimChar"/>
        </w:rPr>
        <w:t xml:space="preserve">Note End</w:t>
      </w:r>
    </w:p>
    <w:bookmarkEnd w:id="91"/>
    <w:bookmarkEnd w:id="92"/>
    <w:bookmarkStart w:id="96" w:name="initialization-of-variables-lav"/>
    <w:p>
      <w:pPr>
        <w:pStyle w:val="Heading2"/>
      </w:pPr>
      <w:r>
        <w:t xml:space="preserve">6.22 Initialization of Variables [LAV]</w:t>
      </w:r>
    </w:p>
    <w:bookmarkStart w:id="93"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 without initialization leaves the object with an indeterminate value.</w:t>
      </w:r>
      <w:r>
        <w:t xml:space="preserve"> </w:t>
      </w:r>
      <w:r>
        <w:t xml:space="preserve">A subsequent read of such a variable, before it has been written is undefined behavior.</w:t>
      </w:r>
      <w:r>
        <w:t xml:space="preserve"> </w:t>
      </w: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 immediately-invoked lambda expression that provides the initial value, permits the variable to be initialized when defined.</w:t>
      </w:r>
      <w:r>
        <w:t xml:space="preserve"> </w:t>
      </w:r>
      <w:r>
        <w:t xml:space="preserve">Furthermore, a class with a user-defined constructor can chose to leave non-static data members of trivial type uninitialized.</w:t>
      </w:r>
      <w:r>
        <w:t xml:space="preserve"> </w:t>
      </w:r>
      <w:r>
        <w:t xml:space="preserve">If such a class does not prevent access to such a member with indeterminate value, using the class can cause undefined behavior.</w:t>
      </w:r>
      <w:r>
        <w:t xml:space="preserve"> </w:t>
      </w:r>
      <w:r>
        <w:t xml:space="preserve">This even happens when an object of that class is a subobject of another class that does not define a constructor.</w:t>
      </w:r>
      <w:r>
        <w:t xml:space="preserve"> </w:t>
      </w:r>
      <w:r>
        <w:t xml:space="preserve">In addition some of the rules of initialization in C++ are complicated.</w:t>
      </w:r>
      <w:r>
        <w:t xml:space="preserve"> </w:t>
      </w:r>
      <w:r>
        <w:t xml:space="preserve">There exists, no initialization (see above), zero-initialization, value-initialization, default-initialization, list initialization, aggregate inialization, member initialization, base-class initialization,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 static initialization, dynamic initialization,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 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3"/>
    <w:bookmarkStart w:id="95" w:name="guidance-to-language-users"/>
    <w:p>
      <w:pPr>
        <w:pStyle w:val="Heading3"/>
      </w:pPr>
      <w:r>
        <w:t xml:space="preserve">6.22.2 Guidance to language users</w:t>
      </w:r>
    </w:p>
    <w:p>
      <w:pPr>
        <w:numPr>
          <w:ilvl w:val="0"/>
          <w:numId w:val="1045"/>
        </w:numPr>
        <w:pStyle w:val="Compact"/>
      </w:pPr>
      <w:r>
        <w:t xml:space="preserve">Follow the guidance provided in ISO IEC 24772-1 subclause 6.22.5</w:t>
      </w:r>
    </w:p>
    <w:p>
      <w:pPr>
        <w:numPr>
          <w:ilvl w:val="0"/>
          <w:numId w:val="1045"/>
        </w:numPr>
        <w:pStyle w:val="Compact"/>
      </w:pPr>
      <w:r>
        <w:t xml:space="preserve">Initialize every object defined, including data members.</w:t>
      </w:r>
    </w:p>
    <w:p>
      <w:pPr>
        <w:numPr>
          <w:ilvl w:val="0"/>
          <w:numId w:val="1045"/>
        </w:numPr>
        <w:pStyle w:val="Compact"/>
      </w:pPr>
      <w:r>
        <w:t xml:space="preserve">Do not depend on the order of dynamic initialization of namespace-scope variables, unless the initialization order is guaranteed by the language.</w:t>
      </w:r>
    </w:p>
    <w:p>
      <w:pPr>
        <w:numPr>
          <w:ilvl w:val="0"/>
          <w:numId w:val="1045"/>
        </w:numPr>
        <w:pStyle w:val="Compact"/>
      </w:pPr>
      <w:r>
        <w:t xml:space="preserve">Consider not using namespace-scope variables (see</w:t>
      </w:r>
      <w:r>
        <w:t xml:space="preserve"> </w:t>
      </w:r>
      <w:bookmarkStart w:id="94" w:name="CGA"/>
      <w:r>
        <w:t xml:space="preserve">6.61</w:t>
      </w:r>
      <w:bookmarkEnd w:id="94"/>
      <w:r>
        <w:t xml:space="preserve">).</w:t>
      </w:r>
    </w:p>
    <w:p>
      <w:pPr>
        <w:numPr>
          <w:ilvl w:val="0"/>
          <w:numId w:val="1045"/>
        </w:numPr>
        <w:pStyle w:val="Compact"/>
      </w:pPr>
      <w:r>
        <w:t xml:space="preserve">If the use of uninitialized variables is unavoidable, employ tools, including the compiler, that detect reads of variables with indeterminate values.</w:t>
      </w:r>
    </w:p>
    <w:bookmarkEnd w:id="95"/>
    <w:bookmarkEnd w:id="96"/>
    <w:bookmarkStart w:id="100" w:name="Xeb4b392fc60d52e0e62d52a00eabaa492eaa9e0"/>
    <w:p>
      <w:pPr>
        <w:pStyle w:val="Heading2"/>
      </w:pPr>
      <w:r>
        <w:t xml:space="preserve">6.23 Operator Precedence and Associativity [JCW]</w:t>
      </w:r>
    </w:p>
    <w:bookmarkStart w:id="98"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 and</w:t>
      </w:r>
    </w:p>
    <w:p>
      <w:pPr>
        <w:numPr>
          <w:ilvl w:val="0"/>
          <w:numId w:val="1046"/>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7">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8"/>
    <w:bookmarkStart w:id="99" w:name="guidance-to-language-users"/>
    <w:p>
      <w:pPr>
        <w:pStyle w:val="Heading3"/>
      </w:pPr>
      <w:r>
        <w:t xml:space="preserve">6.23.2 Guidance to language users</w:t>
      </w:r>
    </w:p>
    <w:p>
      <w:pPr>
        <w:numPr>
          <w:ilvl w:val="0"/>
          <w:numId w:val="1047"/>
        </w:numPr>
      </w:pPr>
      <w:r>
        <w:t xml:space="preserve">Follow the guidance provided in ISO/IEC TR 24772-1:2019 Clause</w:t>
      </w:r>
      <w:r>
        <w:t xml:space="preserve"> </w:t>
      </w:r>
      <w:r>
        <w:t xml:space="preserve">6.23.5 [JCW].</w:t>
      </w:r>
    </w:p>
    <w:p>
      <w:pPr>
        <w:numPr>
          <w:ilvl w:val="0"/>
          <w:numId w:val="1047"/>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7"/>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7"/>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 spellings.</w:t>
      </w:r>
    </w:p>
    <w:p>
      <w:pPr>
        <w:numPr>
          <w:ilvl w:val="0"/>
          <w:numId w:val="1047"/>
        </w:numPr>
      </w:pPr>
      <w:r>
        <w:t xml:space="preserve">Break up complex expressions and use temporary variables to make</w:t>
      </w:r>
      <w:r>
        <w:t xml:space="preserve"> </w:t>
      </w:r>
      <w:r>
        <w:t xml:space="preserve">complex expressions easier to understand and maintain.</w:t>
      </w:r>
    </w:p>
    <w:bookmarkEnd w:id="99"/>
    <w:bookmarkEnd w:id="100"/>
    <w:bookmarkStart w:id="103" w:name="X187ad205340e16f022c4e8cacaf0507e2964127"/>
    <w:p>
      <w:pPr>
        <w:pStyle w:val="Heading2"/>
      </w:pPr>
      <w:r>
        <w:t xml:space="preserve">6.24 Side-effects and Order of Evaluation of Operands [SAM]</w:t>
      </w:r>
    </w:p>
    <w:bookmarkStart w:id="101"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48"/>
        </w:numPr>
      </w:pPr>
      <w:r>
        <w:t xml:space="preserve">Write accesses to objects in that expression,</w:t>
      </w:r>
    </w:p>
    <w:p>
      <w:pPr>
        <w:numPr>
          <w:ilvl w:val="0"/>
          <w:numId w:val="1048"/>
        </w:numPr>
      </w:pPr>
      <w:r>
        <w:t xml:space="preserve">Reading a volatile object,</w:t>
      </w:r>
    </w:p>
    <w:p>
      <w:pPr>
        <w:numPr>
          <w:ilvl w:val="0"/>
          <w:numId w:val="1048"/>
        </w:numPr>
      </w:pPr>
      <w:r>
        <w:t xml:space="preserve">Calling a library I/O function, and</w:t>
      </w:r>
    </w:p>
    <w:p>
      <w:pPr>
        <w:numPr>
          <w:ilvl w:val="0"/>
          <w:numId w:val="1048"/>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1"/>
    <w:bookmarkStart w:id="102" w:name="guidance-to-language-users"/>
    <w:p>
      <w:pPr>
        <w:pStyle w:val="Heading3"/>
      </w:pPr>
      <w:r>
        <w:t xml:space="preserve">6.24.2 Guidance to language users</w:t>
      </w:r>
    </w:p>
    <w:p>
      <w:pPr>
        <w:numPr>
          <w:ilvl w:val="0"/>
          <w:numId w:val="1049"/>
        </w:numPr>
      </w:pPr>
      <w:r>
        <w:t xml:space="preserve">Follow the guidance provided in ISO/IEC TR 24772-1:2019 Clause</w:t>
      </w:r>
      <w:r>
        <w:t xml:space="preserve"> </w:t>
      </w:r>
      <w:r>
        <w:t xml:space="preserve">6.24.5.</w:t>
      </w:r>
    </w:p>
    <w:p>
      <w:pPr>
        <w:numPr>
          <w:ilvl w:val="0"/>
          <w:numId w:val="1049"/>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49"/>
        </w:numPr>
      </w:pPr>
      <w:r>
        <w:t xml:space="preserve">Avoid overloading logical operators (&amp;&amp; and ||), as these</w:t>
      </w:r>
      <w:r>
        <w:t xml:space="preserve"> </w:t>
      </w:r>
      <w:r>
        <w:t xml:space="preserve">overloaded versions will not short-circuit.</w:t>
      </w:r>
    </w:p>
    <w:p>
      <w:pPr>
        <w:numPr>
          <w:ilvl w:val="0"/>
          <w:numId w:val="1049"/>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49"/>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49"/>
        </w:numPr>
      </w:pPr>
      <w:r>
        <w:t xml:space="preserve">Avoid placing multiple operations with side effects in a single</w:t>
      </w:r>
      <w:r>
        <w:t xml:space="preserve"> </w:t>
      </w:r>
      <w:r>
        <w:t xml:space="preserve">expression.</w:t>
      </w:r>
    </w:p>
    <w:p>
      <w:pPr>
        <w:numPr>
          <w:ilvl w:val="0"/>
          <w:numId w:val="1049"/>
        </w:numPr>
      </w:pPr>
      <w:r>
        <w:t xml:space="preserve">Write simple code expressions and statements so that within any</w:t>
      </w:r>
      <w:r>
        <w:t xml:space="preserve"> </w:t>
      </w:r>
      <w:r>
        <w:t xml:space="preserve">expression or statement an object is one of:</w:t>
      </w:r>
    </w:p>
    <w:p>
      <w:pPr>
        <w:numPr>
          <w:ilvl w:val="1"/>
          <w:numId w:val="1050"/>
        </w:numPr>
        <w:pStyle w:val="SourceCode"/>
      </w:pPr>
      <w:r>
        <w:rPr>
          <w:rStyle w:val="VerbatimChar"/>
        </w:rPr>
        <w:t xml:space="preserve">  Read from;</w:t>
      </w:r>
    </w:p>
    <w:p>
      <w:pPr>
        <w:numPr>
          <w:ilvl w:val="1"/>
          <w:numId w:val="1050"/>
        </w:numPr>
        <w:pStyle w:val="SourceCode"/>
      </w:pPr>
      <w:r>
        <w:rPr>
          <w:rStyle w:val="VerbatimChar"/>
        </w:rPr>
        <w:t xml:space="preserve">  Only modified once; or</w:t>
      </w:r>
    </w:p>
    <w:p>
      <w:pPr>
        <w:numPr>
          <w:ilvl w:val="1"/>
          <w:numId w:val="1050"/>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49"/>
        </w:numPr>
      </w:pPr>
      <w:r>
        <w:t xml:space="preserve">Be aware that different versions of C++ have different evaluation</w:t>
      </w:r>
      <w:r>
        <w:t xml:space="preserve"> </w:t>
      </w:r>
      <w:r>
        <w:t xml:space="preserve">order specifications and program accordingly.</w:t>
      </w:r>
    </w:p>
    <w:bookmarkEnd w:id="102"/>
    <w:bookmarkEnd w:id="103"/>
    <w:bookmarkStart w:id="106" w:name="KOA"/>
    <w:p>
      <w:pPr>
        <w:pStyle w:val="Heading2"/>
      </w:pPr>
      <w:r>
        <w:t xml:space="preserve">6.25 Likely Incorrect Expression [KOA]</w:t>
      </w:r>
    </w:p>
    <w:bookmarkStart w:id="10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51"/>
        </w:numPr>
        <w:pStyle w:val="Compact"/>
      </w:pPr>
      <w:r>
        <w:rPr>
          <w:rStyle w:val="NormalTok"/>
        </w:rPr>
        <w:t xml:space="preserve">&amp;</w:t>
      </w:r>
      <w:r>
        <w:t xml:space="preserve"> </w:t>
      </w:r>
      <w:r>
        <w:t xml:space="preserve">and</w:t>
      </w:r>
      <w:r>
        <w:t xml:space="preserve"> </w:t>
      </w:r>
      <w:r>
        <w:rPr>
          <w:rStyle w:val="NormalTok"/>
        </w:rPr>
        <w:t xml:space="preserve">&amp;&amp;</w:t>
      </w:r>
      <w:r>
        <w:t xml:space="preserv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1"/>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In order to prevent this confusion, move assignments into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unsigned type.</w:t>
      </w:r>
    </w:p>
    <w:p>
      <w:pPr>
        <w:pStyle w:val="BodyText"/>
      </w:pPr>
      <w:r>
        <w:t xml:space="preserve">C++ overloading of operators can cause significant issues.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 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 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 occur.</w:t>
      </w:r>
      <w:r>
        <w:t xml:space="preserve"> </w:t>
      </w:r>
      <w:r>
        <w:t xml:space="preserve">From C++20 onwards, a user-declared three-way comparison operator (</w:t>
      </w:r>
      <w:r>
        <w:rPr>
          <w:rStyle w:val="NormalTok"/>
        </w:rPr>
        <w:t xml:space="preserve">&lt;=&gt;</w:t>
      </w:r>
      <w:r>
        <w:t xml:space="preserve">) is used by the compiler 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4"/>
    <w:bookmarkStart w:id="105"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52"/>
        </w:numPr>
      </w:pPr>
      <w:r>
        <w:t xml:space="preserve">Simplify expressions to aid in code readability and help future maintainers</w:t>
      </w:r>
      <w:r>
        <w:t xml:space="preserve"> </w:t>
      </w:r>
      <w:r>
        <w:t xml:space="preserve">understand the intent and nuances of the code. For example,</w:t>
      </w:r>
    </w:p>
    <w:p>
      <w:pPr>
        <w:numPr>
          <w:ilvl w:val="1"/>
          <w:numId w:val="1053"/>
        </w:numPr>
        <w:pStyle w:val="Compact"/>
      </w:pPr>
      <w:r>
        <w:t xml:space="preserve">by extracting intermediate results into const variables with a meaningful name, or</w:t>
      </w:r>
    </w:p>
    <w:p>
      <w:pPr>
        <w:numPr>
          <w:ilvl w:val="1"/>
          <w:numId w:val="1053"/>
        </w:numPr>
        <w:pStyle w:val="Compact"/>
      </w:pPr>
      <w:r>
        <w:t xml:space="preserve">by extracting a subexpression into a function with a meaningful name.</w:t>
      </w:r>
    </w:p>
    <w:p>
      <w:pPr>
        <w:numPr>
          <w:ilvl w:val="0"/>
          <w:numId w:val="1052"/>
        </w:numPr>
      </w:pPr>
      <w:r>
        <w:t xml:space="preserve">Avoid assignments embedded within other statements and expressions, as these can</w:t>
      </w:r>
      <w:r>
        <w:t xml:space="preserve"> </w:t>
      </w:r>
      <w:r>
        <w:t xml:space="preserve">be problematic.</w:t>
      </w:r>
    </w:p>
    <w:p>
      <w:pPr>
        <w:numPr>
          <w:ilvl w:val="0"/>
          <w:numId w:val="1052"/>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52"/>
        </w:numPr>
      </w:pPr>
      <w:r>
        <w:t xml:space="preserve">Consider using alternative tokens for the logical operators.</w:t>
      </w:r>
    </w:p>
    <w:p>
      <w:pPr>
        <w:numPr>
          <w:ilvl w:val="0"/>
          <w:numId w:val="1052"/>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2"/>
        </w:numPr>
      </w:pPr>
      <w:r>
        <w:t xml:space="preserve">Do not have conflicting side-effects in sub-expressions.</w:t>
      </w:r>
    </w:p>
    <w:p>
      <w:pPr>
        <w:numPr>
          <w:ilvl w:val="0"/>
          <w:numId w:val="1052"/>
        </w:numPr>
      </w:pPr>
      <w:r>
        <w:t xml:space="preserve">Follow the following C++ Core guidelines:</w:t>
      </w:r>
    </w:p>
    <w:p>
      <w:pPr>
        <w:numPr>
          <w:ilvl w:val="1"/>
          <w:numId w:val="1054"/>
        </w:numPr>
        <w:pStyle w:val="Compact"/>
      </w:pPr>
      <w:r>
        <w:t xml:space="preserve">ES 40 Avoid complicated expressions</w:t>
      </w:r>
    </w:p>
    <w:p>
      <w:pPr>
        <w:numPr>
          <w:ilvl w:val="1"/>
          <w:numId w:val="1054"/>
        </w:numPr>
        <w:pStyle w:val="Compact"/>
      </w:pPr>
      <w:r>
        <w:t xml:space="preserve">ES 41 If in doubt about operator precedence, parenthesize</w:t>
      </w:r>
    </w:p>
    <w:p>
      <w:pPr>
        <w:numPr>
          <w:ilvl w:val="1"/>
          <w:numId w:val="1054"/>
        </w:numPr>
        <w:pStyle w:val="Compact"/>
      </w:pPr>
      <w:r>
        <w:t xml:space="preserve">ES 44 Do not depend on order of evaluation</w:t>
      </w:r>
    </w:p>
    <w:p>
      <w:pPr>
        <w:numPr>
          <w:ilvl w:val="0"/>
          <w:numId w:val="1052"/>
        </w:numPr>
      </w:pPr>
      <w:r>
        <w:t xml:space="preserve">Rely on C++20’s automatism to get the compiler provide consistent comparison operators, or define all of them in a consistent manner.</w:t>
      </w:r>
    </w:p>
    <w:bookmarkEnd w:id="105"/>
    <w:bookmarkEnd w:id="106"/>
    <w:bookmarkStart w:id="109" w:name="dead-and-deactivated-code-xyq"/>
    <w:p>
      <w:pPr>
        <w:pStyle w:val="Heading2"/>
      </w:pPr>
      <w:r>
        <w:t xml:space="preserve">6.26 Dead and Deactivated Code [XYQ]</w:t>
      </w:r>
    </w:p>
    <w:bookmarkStart w:id="107"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7"/>
    <w:bookmarkStart w:id="108" w:name="guidance-to-language-users"/>
    <w:p>
      <w:pPr>
        <w:pStyle w:val="Heading3"/>
      </w:pPr>
      <w:r>
        <w:t xml:space="preserve">6.26.2 Guidance to language users</w:t>
      </w:r>
    </w:p>
    <w:p>
      <w:pPr>
        <w:numPr>
          <w:ilvl w:val="0"/>
          <w:numId w:val="1055"/>
        </w:numPr>
        <w:pStyle w:val="Compact"/>
      </w:pPr>
      <w:r>
        <w:t xml:space="preserve">Follow the guidance of ISO/IEC TR 24772-1:2019 clause 6.26.5.</w:t>
      </w:r>
    </w:p>
    <w:bookmarkEnd w:id="108"/>
    <w:bookmarkEnd w:id="109"/>
    <w:bookmarkStart w:id="112" w:name="Xc86cceedfcf0c77c094b3df762cc0f756518ffc"/>
    <w:p>
      <w:pPr>
        <w:pStyle w:val="Heading2"/>
      </w:pPr>
      <w:r>
        <w:t xml:space="preserve">6.27 Switch Statements and Static Analysis [CLL]</w:t>
      </w:r>
    </w:p>
    <w:bookmarkStart w:id="11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0"/>
    <w:bookmarkStart w:id="111" w:name="guidance-to-language-users"/>
    <w:p>
      <w:pPr>
        <w:pStyle w:val="Heading3"/>
      </w:pPr>
      <w:r>
        <w:t xml:space="preserve">6.27.2 Guidance to language users</w:t>
      </w:r>
    </w:p>
    <w:p>
      <w:pPr>
        <w:numPr>
          <w:ilvl w:val="0"/>
          <w:numId w:val="1056"/>
        </w:numPr>
      </w:pPr>
      <w:r>
        <w:t xml:space="preserve">Apply the guidance provided in ISO/IEC TR 24772-1:2019 clause 6.27.5</w:t>
      </w:r>
    </w:p>
    <w:p>
      <w:pPr>
        <w:numPr>
          <w:ilvl w:val="0"/>
          <w:numId w:val="105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1"/>
    <w:bookmarkEnd w:id="112"/>
    <w:bookmarkStart w:id="115" w:name="demarcation-of-control-flow-eoj"/>
    <w:p>
      <w:pPr>
        <w:pStyle w:val="Heading2"/>
      </w:pPr>
      <w:r>
        <w:t xml:space="preserve">6.28 Demarcation of Control Flow [EOJ]</w:t>
      </w:r>
    </w:p>
    <w:bookmarkStart w:id="11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3"/>
    <w:bookmarkStart w:id="114" w:name="guidance-to-language-users"/>
    <w:p>
      <w:pPr>
        <w:pStyle w:val="Heading3"/>
      </w:pPr>
      <w:r>
        <w:t xml:space="preserve">6.28.2 Guidance to language users</w:t>
      </w:r>
    </w:p>
    <w:p>
      <w:pPr>
        <w:numPr>
          <w:ilvl w:val="0"/>
          <w:numId w:val="1057"/>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8"/>
        </w:numPr>
      </w:pPr>
      <w:r>
        <w:t xml:space="preserve">Declare loop variables in the initializer of the loop statement</w:t>
      </w:r>
    </w:p>
    <w:p>
      <w:pPr>
        <w:numPr>
          <w:ilvl w:val="0"/>
          <w:numId w:val="1058"/>
        </w:numPr>
      </w:pPr>
      <w:r>
        <w:t xml:space="preserve">Prefer the standard library algorithms over hand-crafted loops.</w:t>
      </w:r>
    </w:p>
    <w:p>
      <w:pPr>
        <w:pStyle w:val="BlockText"/>
      </w:pPr>
      <w:r>
        <w:t xml:space="preserve">See also the C++ Core Guidelines ES.85, ES.71, ES.74, ES.1 and ES.2</w:t>
      </w:r>
    </w:p>
    <w:bookmarkEnd w:id="114"/>
    <w:bookmarkEnd w:id="115"/>
    <w:bookmarkStart w:id="118" w:name="loop-control-variables-tex"/>
    <w:p>
      <w:pPr>
        <w:pStyle w:val="Heading2"/>
      </w:pPr>
      <w:r>
        <w:t xml:space="preserve">6.29 Loop Control Variables [TEX]</w:t>
      </w:r>
    </w:p>
    <w:bookmarkStart w:id="11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6"/>
    <w:bookmarkStart w:id="117" w:name="guidance-to-language-users"/>
    <w:p>
      <w:pPr>
        <w:pStyle w:val="Heading3"/>
      </w:pPr>
      <w:r>
        <w:t xml:space="preserve">6.29.2 Guidance to language users</w:t>
      </w:r>
    </w:p>
    <w:p>
      <w:pPr>
        <w:numPr>
          <w:ilvl w:val="0"/>
          <w:numId w:val="1059"/>
        </w:numPr>
      </w:pPr>
      <w:r>
        <w:t xml:space="preserve">Apply the guidance of ISO/IEC TR 24772-1:2019 clause 6.29.5.</w:t>
      </w:r>
    </w:p>
    <w:p>
      <w:pPr>
        <w:numPr>
          <w:ilvl w:val="0"/>
          <w:numId w:val="1059"/>
        </w:numPr>
      </w:pPr>
      <w:r>
        <w:t xml:space="preserve">Do not modify a loop control variable within a loop.</w:t>
      </w:r>
    </w:p>
    <w:p>
      <w:pPr>
        <w:numPr>
          <w:ilvl w:val="0"/>
          <w:numId w:val="1059"/>
        </w:numPr>
      </w:pPr>
      <w:r>
        <w:t xml:space="preserve">Use a range-for loop in preference to general loops.</w:t>
      </w:r>
    </w:p>
    <w:p>
      <w:pPr>
        <w:numPr>
          <w:ilvl w:val="0"/>
          <w:numId w:val="1059"/>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7"/>
    <w:bookmarkEnd w:id="118"/>
    <w:bookmarkStart w:id="121" w:name="off-by-one-error-xzh"/>
    <w:p>
      <w:pPr>
        <w:pStyle w:val="Heading2"/>
      </w:pPr>
      <w:r>
        <w:t xml:space="preserve">6.30 Off-by-one Error [XZH]</w:t>
      </w:r>
    </w:p>
    <w:bookmarkStart w:id="11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0"/>
        </w:numPr>
      </w:pPr>
      <w:r>
        <w:t xml:space="preserve">Range-based for loops</w:t>
      </w:r>
    </w:p>
    <w:p>
      <w:pPr>
        <w:numPr>
          <w:ilvl w:val="0"/>
          <w:numId w:val="1060"/>
        </w:numPr>
      </w:pPr>
      <w:r>
        <w:rPr>
          <w:rStyle w:val="NormalTok"/>
        </w:rPr>
        <w:t xml:space="preserve">std</w:t>
      </w:r>
      <w:r>
        <w:t xml:space="preserve"> </w:t>
      </w:r>
      <w:r>
        <w:t xml:space="preserve">algorithms</w:t>
      </w:r>
    </w:p>
    <w:p>
      <w:pPr>
        <w:numPr>
          <w:ilvl w:val="0"/>
          <w:numId w:val="1060"/>
        </w:numPr>
      </w:pPr>
      <w:r>
        <w:t xml:space="preserve">Iterator style loops terminated by</w:t>
      </w:r>
      <w:r>
        <w:t xml:space="preserve"> </w:t>
      </w:r>
      <w:r>
        <w:rPr>
          <w:rStyle w:val="NormalTok"/>
        </w:rPr>
        <w:t xml:space="preserve">!=</w:t>
      </w:r>
    </w:p>
    <w:p>
      <w:pPr>
        <w:numPr>
          <w:ilvl w:val="0"/>
          <w:numId w:val="1060"/>
        </w:numPr>
      </w:pPr>
      <w:r>
        <w:t xml:space="preserve">Container classes</w:t>
      </w:r>
    </w:p>
    <w:p>
      <w:pPr>
        <w:numPr>
          <w:ilvl w:val="0"/>
          <w:numId w:val="1060"/>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9"/>
    <w:bookmarkStart w:id="120" w:name="guidance-to-language-users"/>
    <w:p>
      <w:pPr>
        <w:pStyle w:val="Heading3"/>
      </w:pPr>
      <w:r>
        <w:t xml:space="preserve">6.30.2 Guidance to language users</w:t>
      </w:r>
    </w:p>
    <w:p>
      <w:pPr>
        <w:numPr>
          <w:ilvl w:val="0"/>
          <w:numId w:val="1061"/>
        </w:numPr>
      </w:pPr>
      <w:r>
        <w:t xml:space="preserve">Follow the guidance of ISO/IEC TR 24772-1:2019 clause 6.30.5.</w:t>
      </w:r>
    </w:p>
    <w:p>
      <w:pPr>
        <w:numPr>
          <w:ilvl w:val="0"/>
          <w:numId w:val="1061"/>
        </w:numPr>
      </w:pPr>
      <w:r>
        <w:t xml:space="preserve">Use careful programming, testing of border conditions, and static</w:t>
      </w:r>
      <w:r>
        <w:t xml:space="preserve"> </w:t>
      </w:r>
      <w:r>
        <w:t xml:space="preserve">analysis tools to detect off-by-one errors in C++.</w:t>
      </w:r>
    </w:p>
    <w:p>
      <w:pPr>
        <w:numPr>
          <w:ilvl w:val="0"/>
          <w:numId w:val="1061"/>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0"/>
    <w:bookmarkEnd w:id="121"/>
    <w:bookmarkStart w:id="124" w:name="structured-programming-ewd"/>
    <w:p>
      <w:pPr>
        <w:pStyle w:val="Heading2"/>
      </w:pPr>
      <w:r>
        <w:t xml:space="preserve">6.31 Structured Programming [EWD]</w:t>
      </w:r>
    </w:p>
    <w:bookmarkStart w:id="12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SourceCode"/>
      </w:pPr>
      <w:r>
        <w:rPr>
          <w:rStyle w:val="VerbatimChar"/>
        </w:rPr>
        <w:t xml:space="preserve">&lt;1--</w:t>
      </w:r>
      <w:r>
        <w:br/>
      </w:r>
      <w:r>
        <w:rPr>
          <w:rStyle w:val="VerbatimChar"/>
        </w:rPr>
        <w:t xml:space="preserve">IMHO, a static analyzer worth its money would do any CFA DFA based on basic blocks and should not be bothered by gotos etc. Peter.</w:t>
      </w:r>
      <w:r>
        <w:br/>
      </w:r>
      <w:r>
        <w:rPr>
          <w:rStyle w:val="VerbatimChar"/>
        </w:rPr>
        <w:t xml:space="preserve">--&gt;</w:t>
      </w:r>
    </w:p>
    <w:bookmarkEnd w:id="122"/>
    <w:bookmarkStart w:id="123" w:name="guidance-to-language-users"/>
    <w:p>
      <w:pPr>
        <w:pStyle w:val="Heading3"/>
      </w:pPr>
      <w:r>
        <w:t xml:space="preserve">6.31.2 Guidance to language users</w:t>
      </w:r>
    </w:p>
    <w:p>
      <w:pPr>
        <w:numPr>
          <w:ilvl w:val="0"/>
          <w:numId w:val="1062"/>
        </w:numPr>
      </w:pPr>
      <w:r>
        <w:t xml:space="preserve">Write clear and concise structured code to make code as</w:t>
      </w:r>
      <w:r>
        <w:t xml:space="preserve"> </w:t>
      </w:r>
      <w:r>
        <w:t xml:space="preserve">understandable as possible.</w:t>
      </w:r>
    </w:p>
    <w:p>
      <w:pPr>
        <w:numPr>
          <w:ilvl w:val="0"/>
          <w:numId w:val="1062"/>
        </w:numPr>
      </w:pPr>
      <w:r>
        <w:t xml:space="preserve">Avoid the use of</w:t>
      </w:r>
      <w:r>
        <w:t xml:space="preserve"> </w:t>
      </w:r>
      <w:r>
        <w:rPr>
          <w:rStyle w:val="VerbatimChar"/>
        </w:rPr>
        <w:t xml:space="preserve">longjmp</w:t>
      </w:r>
    </w:p>
    <w:p>
      <w:pPr>
        <w:pStyle w:val="SourceCode"/>
      </w:pPr>
      <w:r>
        <w:rPr>
          <w:rStyle w:val="VerbatimChar"/>
        </w:rPr>
        <w:t xml:space="preserve">&lt;!--</w:t>
      </w:r>
      <w:r>
        <w:br/>
      </w:r>
      <w:r>
        <w:rPr>
          <w:rStyle w:val="VerbatimChar"/>
        </w:rPr>
        <w:t xml:space="preserve">The guidance "avoid the useof longjmp" comes out of nowhere. It needs documentation in 6.31.1</w:t>
      </w:r>
      <w:r>
        <w:br/>
      </w:r>
      <w:r>
        <w:rPr>
          <w:rStyle w:val="VerbatimChar"/>
        </w:rPr>
        <w:t xml:space="preserve">--&gt;</w:t>
      </w:r>
    </w:p>
    <w:p>
      <w:pPr>
        <w:numPr>
          <w:ilvl w:val="0"/>
          <w:numId w:val="1063"/>
        </w:numPr>
        <w:pStyle w:val="Compact"/>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3"/>
    <w:bookmarkEnd w:id="124"/>
    <w:bookmarkStart w:id="127" w:name="passing-parameters-and-return-values-csj"/>
    <w:p>
      <w:pPr>
        <w:pStyle w:val="Heading2"/>
      </w:pPr>
      <w:r>
        <w:t xml:space="preserve">6.32 Passing Parameters and Return Values [CSJ]</w:t>
      </w:r>
    </w:p>
    <w:bookmarkStart w:id="125"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4"/>
        </w:numPr>
        <w:pStyle w:val="Compact"/>
      </w:pPr>
      <w:r>
        <w:t xml:space="preserve">without a qualification a member function can be called on rvalues and non-const lvalues, and</w:t>
      </w:r>
    </w:p>
    <w:p>
      <w:pPr>
        <w:numPr>
          <w:ilvl w:val="0"/>
          <w:numId w:val="1064"/>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5"/>
    <w:bookmarkStart w:id="126" w:name="guidance-to-language-users"/>
    <w:p>
      <w:pPr>
        <w:pStyle w:val="Heading3"/>
      </w:pPr>
      <w:r>
        <w:t xml:space="preserve">6.32.2 Guidance to language users</w:t>
      </w:r>
    </w:p>
    <w:p>
      <w:pPr>
        <w:numPr>
          <w:ilvl w:val="0"/>
          <w:numId w:val="1065"/>
        </w:numPr>
      </w:pPr>
      <w:r>
        <w:t xml:space="preserve">Follow the advice of ISO/IEC TR 24772-1:2019 clause 6.32.5.</w:t>
      </w:r>
    </w:p>
    <w:p>
      <w:pPr>
        <w:numPr>
          <w:ilvl w:val="0"/>
          <w:numId w:val="1065"/>
        </w:numPr>
      </w:pPr>
      <w:r>
        <w:t xml:space="preserve">Prefer pass-by-value and pass-by-const-reference over other means of</w:t>
      </w:r>
      <w:r>
        <w:t xml:space="preserve"> </w:t>
      </w:r>
      <w:r>
        <w:t xml:space="preserve">parameter declaration.</w:t>
      </w:r>
    </w:p>
    <w:p>
      <w:pPr>
        <w:numPr>
          <w:ilvl w:val="0"/>
          <w:numId w:val="1065"/>
        </w:numPr>
      </w:pPr>
      <w:r>
        <w:t xml:space="preserve">Prefer reference parameters over corresponding pointer parameters.</w:t>
      </w:r>
    </w:p>
    <w:p>
      <w:pPr>
        <w:numPr>
          <w:ilvl w:val="0"/>
          <w:numId w:val="1065"/>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5"/>
        </w:numPr>
      </w:pPr>
      <w:r>
        <w:t xml:space="preserve">Always reassign a variable passed by rvalue-reference before subsequent use after the call.</w:t>
      </w:r>
    </w:p>
    <w:p>
      <w:pPr>
        <w:numPr>
          <w:ilvl w:val="0"/>
          <w:numId w:val="1065"/>
        </w:numPr>
      </w:pPr>
      <w:r>
        <w:t xml:space="preserve">Use forwarding reference parameters only,</w:t>
      </w:r>
      <w:r>
        <w:t xml:space="preserve"> </w:t>
      </w:r>
      <w:r>
        <w:t xml:space="preserve">if perfect forwarding is needed in the body of a function template or generic lambda.</w:t>
      </w:r>
    </w:p>
    <w:p>
      <w:pPr>
        <w:numPr>
          <w:ilvl w:val="0"/>
          <w:numId w:val="1065"/>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5"/>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5"/>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6"/>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6"/>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6"/>
        </w:numPr>
      </w:pPr>
      <w:r>
        <w:t xml:space="preserve">Shift operators used for input and output: the result always refers</w:t>
      </w:r>
      <w:r>
        <w:t xml:space="preserve"> </w:t>
      </w:r>
      <w:r>
        <w:t xml:space="preserve">to the left parameter.</w:t>
      </w:r>
    </w:p>
    <w:p>
      <w:pPr>
        <w:numPr>
          <w:ilvl w:val="1"/>
          <w:numId w:val="1066"/>
        </w:numPr>
      </w:pPr>
      <w:r>
        <w:t xml:space="preserve">Prefix increment and decrement operators: the result always refers</w:t>
      </w:r>
      <w:r>
        <w:t xml:space="preserve"> </w:t>
      </w:r>
      <w:r>
        <w:t xml:space="preserve">to the parameter.</w:t>
      </w:r>
    </w:p>
    <w:p>
      <w:pPr>
        <w:numPr>
          <w:ilvl w:val="0"/>
          <w:numId w:val="1065"/>
        </w:numPr>
      </w:pPr>
      <w:r>
        <w:t xml:space="preserve">Do not use function-like macros. If used, surround all macro parameters in the replacement text with parenthesis.</w:t>
      </w:r>
    </w:p>
    <w:bookmarkEnd w:id="126"/>
    <w:bookmarkEnd w:id="127"/>
    <w:bookmarkStart w:id="130" w:name="dangling-references-to-stack-frames-dcm"/>
    <w:p>
      <w:pPr>
        <w:pStyle w:val="Heading2"/>
      </w:pPr>
      <w:r>
        <w:t xml:space="preserve">6.33 Dangling References to Stack Frames [DCM]</w:t>
      </w:r>
    </w:p>
    <w:bookmarkStart w:id="128"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8"/>
    <w:bookmarkStart w:id="129" w:name="guidance-to-language-users"/>
    <w:p>
      <w:pPr>
        <w:pStyle w:val="Heading3"/>
      </w:pPr>
      <w:r>
        <w:t xml:space="preserve">6.33.2 Guidance to language users</w:t>
      </w:r>
    </w:p>
    <w:p>
      <w:pPr>
        <w:numPr>
          <w:ilvl w:val="0"/>
          <w:numId w:val="1067"/>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67"/>
        </w:numPr>
      </w:pPr>
      <w:r>
        <w:t xml:space="preserve">Do not returning the address or reference of a local variable as the result of a</w:t>
      </w:r>
      <w:r>
        <w:t xml:space="preserve"> </w:t>
      </w:r>
      <w:r>
        <w:t xml:space="preserve">function call.</w:t>
      </w:r>
    </w:p>
    <w:p>
      <w:pPr>
        <w:numPr>
          <w:ilvl w:val="0"/>
          <w:numId w:val="1067"/>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67"/>
        </w:numPr>
      </w:pPr>
      <w:r>
        <w:t xml:space="preserve">If attempting to bind a reference to a temporary object, … thinking …</w:t>
      </w:r>
    </w:p>
    <w:p>
      <w:pPr>
        <w:pStyle w:val="FirstParagraph"/>
      </w:pPr>
      <w:r>
        <w:t xml:space="preserve">See also C++ Core Guidelines F.53, …</w:t>
      </w:r>
    </w:p>
    <w:bookmarkEnd w:id="129"/>
    <w:bookmarkEnd w:id="130"/>
    <w:bookmarkStart w:id="134" w:name="OTR"/>
    <w:p>
      <w:pPr>
        <w:pStyle w:val="Heading2"/>
      </w:pPr>
      <w:r>
        <w:t xml:space="preserve">6.34 Subprogram Signature Mismatch [OTR]</w:t>
      </w:r>
    </w:p>
    <w:bookmarkStart w:id="132"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8"/>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9"/>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2"/>
    <w:bookmarkStart w:id="133" w:name="guidance-to-language-users"/>
    <w:p>
      <w:pPr>
        <w:pStyle w:val="Heading3"/>
      </w:pPr>
      <w:r>
        <w:t xml:space="preserve">6.34.2 Guidance to language users</w:t>
      </w:r>
    </w:p>
    <w:p>
      <w:pPr>
        <w:numPr>
          <w:ilvl w:val="0"/>
          <w:numId w:val="1070"/>
        </w:numPr>
      </w:pPr>
      <w:r>
        <w:t xml:space="preserve">Follow the guidelines of ISO/IEC TR 24772-1:2019 clause 6.34.5.</w:t>
      </w:r>
    </w:p>
    <w:p>
      <w:pPr>
        <w:numPr>
          <w:ilvl w:val="0"/>
          <w:numId w:val="1070"/>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70"/>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3"/>
    <w:bookmarkEnd w:id="134"/>
    <w:bookmarkStart w:id="137" w:name="recursion-gdl"/>
    <w:p>
      <w:pPr>
        <w:pStyle w:val="Heading2"/>
      </w:pPr>
      <w:r>
        <w:t xml:space="preserve">6.35 Recursion [GDL]</w:t>
      </w:r>
    </w:p>
    <w:bookmarkStart w:id="13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5"/>
    <w:bookmarkStart w:id="136" w:name="guidance-to-language-users"/>
    <w:p>
      <w:pPr>
        <w:pStyle w:val="Heading3"/>
      </w:pPr>
      <w:r>
        <w:t xml:space="preserve">6.35.2 Guidance to language users</w:t>
      </w:r>
    </w:p>
    <w:p>
      <w:pPr>
        <w:numPr>
          <w:ilvl w:val="0"/>
          <w:numId w:val="1071"/>
        </w:numPr>
        <w:pStyle w:val="Compact"/>
      </w:pPr>
      <w:r>
        <w:t xml:space="preserve">Apply the guidance described in TR 24772-1 clause 6.35.5.</w:t>
      </w:r>
    </w:p>
    <w:bookmarkEnd w:id="136"/>
    <w:bookmarkEnd w:id="137"/>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8"/>
    <w:bookmarkStart w:id="139" w:name="guidance-to-language-users"/>
    <w:p>
      <w:pPr>
        <w:pStyle w:val="Heading3"/>
      </w:pPr>
      <w:r>
        <w:t xml:space="preserve">6.36.2 Guidance to language users</w:t>
      </w:r>
    </w:p>
    <w:p>
      <w:pPr>
        <w:numPr>
          <w:ilvl w:val="0"/>
          <w:numId w:val="1072"/>
        </w:numPr>
      </w:pPr>
      <w:r>
        <w:t xml:space="preserve">Follow the mitigation mechanisms of subclause 6.36.5 of ISO/IEC TR</w:t>
      </w:r>
      <w:r>
        <w:t xml:space="preserve"> </w:t>
      </w:r>
      <w:r>
        <w:t xml:space="preserve">24772-1:2019.</w:t>
      </w:r>
    </w:p>
    <w:p>
      <w:pPr>
        <w:numPr>
          <w:ilvl w:val="0"/>
          <w:numId w:val="1072"/>
        </w:numPr>
      </w:pPr>
      <w:r>
        <w:t xml:space="preserve">With respect to</w:t>
      </w:r>
      <w:r>
        <w:t xml:space="preserve"> </w:t>
      </w:r>
      <w:r>
        <w:rPr>
          <w:rStyle w:val="VerbatimChar"/>
        </w:rPr>
        <w:t xml:space="preserve">errno</w:t>
      </w:r>
      <w:r>
        <w:t xml:space="preserve"> </w:t>
      </w:r>
      <w:r>
        <w:t xml:space="preserve">follow the mitigation mechanisms of subclause 6.36.5 of ISO/IEC TR</w:t>
      </w:r>
      <w:r>
        <w:t xml:space="preserve"> </w:t>
      </w:r>
      <w:r>
        <w:t xml:space="preserve">24772-3:2020.</w:t>
      </w:r>
    </w:p>
    <w:p>
      <w:pPr>
        <w:numPr>
          <w:ilvl w:val="0"/>
          <w:numId w:val="1072"/>
        </w:numPr>
      </w:pPr>
      <w:r>
        <w:t xml:space="preserve">Avoid error handling based on global state.</w:t>
      </w:r>
    </w:p>
    <w:p>
      <w:pPr>
        <w:numPr>
          <w:ilvl w:val="0"/>
          <w:numId w:val="1072"/>
        </w:numPr>
      </w:pPr>
      <w:r>
        <w:t xml:space="preserve">Use static analysis tools to detect and report missing or</w:t>
      </w:r>
      <w:r>
        <w:t xml:space="preserve"> </w:t>
      </w:r>
      <w:r>
        <w:t xml:space="preserve">ineffective error detection or handling.</w:t>
      </w:r>
    </w:p>
    <w:p>
      <w:pPr>
        <w:numPr>
          <w:ilvl w:val="0"/>
          <w:numId w:val="1072"/>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2"/>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2"/>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2"/>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2"/>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2"/>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73"/>
        </w:numPr>
      </w:pPr>
      <w:r>
        <w:t xml:space="preserve">Follow the guidelines of ISO/IEC TR 24772-1:2019 clause 6.38.5.</w:t>
      </w:r>
    </w:p>
    <w:p>
      <w:pPr>
        <w:numPr>
          <w:ilvl w:val="0"/>
          <w:numId w:val="1073"/>
        </w:numPr>
      </w:pPr>
      <w:r>
        <w:t xml:space="preserve">When using unions, implement an explicit discriminant and check its</w:t>
      </w:r>
      <w:r>
        <w:t xml:space="preserve"> </w:t>
      </w:r>
      <w:r>
        <w:t xml:space="preserve">value before accessing the data in the union.</w:t>
      </w:r>
    </w:p>
    <w:p>
      <w:pPr>
        <w:numPr>
          <w:ilvl w:val="0"/>
          <w:numId w:val="1073"/>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73"/>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SourceCode"/>
      </w:pPr>
      <w:r>
        <w:rPr>
          <w:rStyle w:val="VerbatimChar"/>
        </w:rPr>
        <w:t xml:space="preserve">&lt;!--</w:t>
      </w:r>
      <w:r>
        <w:br/>
      </w:r>
      <w:r>
        <w:rPr>
          <w:rStyle w:val="VerbatimChar"/>
        </w:rPr>
        <w:t xml:space="preserve">This may belong elsewhere -- TBD\&gt; C++ provides the "string view"</w:t>
      </w:r>
      <w:r>
        <w:br/>
      </w:r>
      <w:r>
        <w:rPr>
          <w:rStyle w:val="VerbatimChar"/>
        </w:rPr>
        <w:t xml:space="preserve">mechanism as safer pointers to strings. Updates through string view are</w:t>
      </w:r>
      <w:r>
        <w:br/>
      </w:r>
      <w:r>
        <w:rPr>
          <w:rStyle w:val="VerbatimChar"/>
        </w:rPr>
        <w:t xml:space="preserve">prohibited, but the initial non "view" value can be updated and this</w:t>
      </w:r>
      <w:r>
        <w:br/>
      </w:r>
      <w:r>
        <w:rPr>
          <w:rStyle w:val="VerbatimChar"/>
        </w:rPr>
        <w:t xml:space="preserve">change will be seen by all viewers, even if they are dependent on fixed</w:t>
      </w:r>
      <w:r>
        <w:br/>
      </w:r>
      <w:r>
        <w:rPr>
          <w:rStyle w:val="VerbatimChar"/>
        </w:rPr>
        <w:t xml:space="preserve">value.</w:t>
      </w:r>
      <w:r>
        <w:br/>
      </w:r>
      <w:r>
        <w:rPr>
          <w:rStyle w:val="VerbatimChar"/>
        </w:rPr>
        <w:t xml:space="preserve">--&gt;</w:t>
      </w:r>
    </w:p>
    <w:p>
      <w:pPr>
        <w:pStyle w:val="FirstParagraph"/>
      </w:pPr>
      <w:r>
        <w:t xml:space="preserve">Note: in C++, this is more commonly known as member-wise copying vs</w:t>
      </w:r>
      <w:r>
        <w:t xml:space="preserve"> </w:t>
      </w:r>
      <w:r>
        <w:t xml:space="preserve">semantic copying, or owning vs observing rights.</w:t>
      </w:r>
    </w:p>
    <w:p>
      <w:pPr>
        <w:pStyle w:val="SourceCode"/>
      </w:pPr>
      <w:r>
        <w:rPr>
          <w:rStyle w:val="VerbatimChar"/>
        </w:rPr>
        <w:t xml:space="preserve">&lt;!--</w:t>
      </w:r>
      <w:r>
        <w:br/>
      </w:r>
      <w:r>
        <w:rPr>
          <w:rStyle w:val="VerbatimChar"/>
        </w:rPr>
        <w:t xml:space="preserve">Note: Why CERT does not address this issue -- involves programmer intent</w:t>
      </w:r>
      <w:r>
        <w:br/>
      </w:r>
      <w:r>
        <w:rPr>
          <w:rStyle w:val="VerbatimChar"/>
        </w:rPr>
        <w:t xml:space="preserve">and not readily tool-checkable.</w:t>
      </w:r>
      <w:r>
        <w:br/>
      </w:r>
      <w:r>
        <w:rPr>
          <w:rStyle w:val="VerbatimChar"/>
        </w:rPr>
        <w:t xml:space="preserve">--&gt;</w:t>
      </w:r>
    </w:p>
    <w:bookmarkEnd w:id="144"/>
    <w:bookmarkStart w:id="145" w:name="guidance-to-language-users"/>
    <w:p>
      <w:pPr>
        <w:pStyle w:val="Heading3"/>
      </w:pPr>
      <w:r>
        <w:t xml:space="preserve">6.38.2 Guidance to language users</w:t>
      </w:r>
    </w:p>
    <w:p>
      <w:pPr>
        <w:numPr>
          <w:ilvl w:val="0"/>
          <w:numId w:val="1074"/>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74"/>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74"/>
        </w:numPr>
      </w:pPr>
      <w:r>
        <w:t xml:space="preserve">Avoid the use of raw pointers with the copy operation and (finish or</w:t>
      </w:r>
      <w:r>
        <w:t xml:space="preserve"> </w:t>
      </w:r>
      <w:r>
        <w:t xml:space="preserve">delete)</w:t>
      </w:r>
    </w:p>
    <w:p>
      <w:pPr>
        <w:numPr>
          <w:ilvl w:val="0"/>
          <w:numId w:val="1074"/>
        </w:numPr>
      </w:pPr>
      <w:r>
        <w:t xml:space="preserve">Follow the guidance of C++ core guidelines C.20, C.22, C.32, C.67</w:t>
      </w:r>
    </w:p>
    <w:p>
      <w:pPr>
        <w:numPr>
          <w:ilvl w:val="0"/>
          <w:numId w:val="1074"/>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75"/>
        </w:numPr>
      </w:pPr>
      <w:r>
        <w:t xml:space="preserve">When an unhandled exception escapes its thread of execution</w:t>
      </w:r>
    </w:p>
    <w:p>
      <w:pPr>
        <w:numPr>
          <w:ilvl w:val="0"/>
          <w:numId w:val="1075"/>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guidance-to-language-users"/>
    <w:p>
      <w:pPr>
        <w:pStyle w:val="Heading3"/>
      </w:pPr>
      <w:r>
        <w:t xml:space="preserve">6.39.2 Guidance to language users</w:t>
      </w:r>
    </w:p>
    <w:p>
      <w:pPr>
        <w:numPr>
          <w:ilvl w:val="0"/>
          <w:numId w:val="1076"/>
        </w:numPr>
      </w:pPr>
      <w:r>
        <w:t xml:space="preserve">Use containers and smart pointers in preference to direct (manual)</w:t>
      </w:r>
      <w:r>
        <w:t xml:space="preserve"> </w:t>
      </w:r>
      <w:r>
        <w:t xml:space="preserve">memory management.</w:t>
      </w:r>
    </w:p>
    <w:p>
      <w:pPr>
        <w:numPr>
          <w:ilvl w:val="0"/>
          <w:numId w:val="1076"/>
        </w:numPr>
      </w:pPr>
      <w:r>
        <w:t xml:space="preserve">Follow C++ Core guidelines section R and CERT MEM51.</w:t>
      </w:r>
    </w:p>
    <w:p>
      <w:pPr>
        <w:numPr>
          <w:ilvl w:val="0"/>
          <w:numId w:val="1076"/>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76"/>
        </w:numPr>
      </w:pPr>
      <w:r>
        <w:t xml:space="preserve">Use dynamic analysis tools to detect cycles.</w:t>
      </w:r>
    </w:p>
    <w:p>
      <w:pPr>
        <w:numPr>
          <w:ilvl w:val="0"/>
          <w:numId w:val="1076"/>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76"/>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76"/>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77"/>
        </w:numPr>
      </w:pPr>
      <w:r>
        <w:t xml:space="preserve">They provide type safe generic in contrast to legacy void*-based or</w:t>
      </w:r>
      <w:r>
        <w:t xml:space="preserve"> </w:t>
      </w:r>
      <w:r>
        <w:t xml:space="preserve">macro-based genericity;</w:t>
      </w:r>
    </w:p>
    <w:p>
      <w:pPr>
        <w:numPr>
          <w:ilvl w:val="0"/>
          <w:numId w:val="1077"/>
        </w:numPr>
      </w:pPr>
      <w:r>
        <w:t xml:space="preserve">They have no runtime overhead for inline operations; and</w:t>
      </w:r>
    </w:p>
    <w:p>
      <w:pPr>
        <w:numPr>
          <w:ilvl w:val="0"/>
          <w:numId w:val="1077"/>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78"/>
        </w:numPr>
      </w:pPr>
      <w:r>
        <w:t xml:space="preserve">The program compiles and executes safely;</w:t>
      </w:r>
    </w:p>
    <w:p>
      <w:pPr>
        <w:numPr>
          <w:ilvl w:val="0"/>
          <w:numId w:val="1078"/>
        </w:numPr>
      </w:pPr>
      <w:r>
        <w:t xml:space="preserve">The program fails to compile; or</w:t>
      </w:r>
    </w:p>
    <w:p>
      <w:pPr>
        <w:numPr>
          <w:ilvl w:val="0"/>
          <w:numId w:val="1078"/>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SourceCode"/>
      </w:pPr>
      <w:r>
        <w:rPr>
          <w:rStyle w:val="VerbatimChar"/>
        </w:rPr>
        <w:t xml:space="preserve">&lt;!--</w:t>
      </w:r>
      <w:r>
        <w:br/>
      </w:r>
      <w:r>
        <w:rPr>
          <w:rStyle w:val="VerbatimChar"/>
        </w:rPr>
        <w:t xml:space="preserve">Mitigation* *-- ensure complete coverage of Template code with unit tests</w:t>
      </w:r>
      <w:r>
        <w:br/>
      </w:r>
      <w:r>
        <w:rPr>
          <w:rStyle w:val="VerbatimChar"/>
        </w:rPr>
        <w:t xml:space="preserve">--&gt;</w:t>
      </w:r>
    </w:p>
    <w:p>
      <w:pPr>
        <w:pStyle w:val="FirstParagraph"/>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79"/>
        </w:numPr>
      </w:pPr>
      <w:r>
        <w:t xml:space="preserve">the first template argument must be a forward iterator.</w:t>
      </w:r>
    </w:p>
    <w:p>
      <w:pPr>
        <w:numPr>
          <w:ilvl w:val="0"/>
          <w:numId w:val="1079"/>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 body. The result is great flexibility, splendid generated code for</w:t>
      </w:r>
      <w:r>
        <w:t xml:space="preserve"> </w:t>
      </w:r>
      <w:r>
        <w:t xml:space="preserve">correct calls, and spectacularly bad error messages for incorrect calls. The obvious solution is to specify</w:t>
      </w:r>
      <w:r>
        <w:t xml:space="preserve"> </w:t>
      </w:r>
      <w:r>
        <w:t xml:space="preserve">the first two requirements as 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 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subclause</w:t>
      </w:r>
      <w:r>
        <w:t xml:space="preserve"> </w:t>
      </w:r>
      <w:hyperlink w:anchor="IHN">
        <w:r>
          <w:rPr>
            <w:rStyle w:val="Hyperlink"/>
          </w:rPr>
          <w:t xml:space="preserve">Type system [IHN]</w:t>
        </w:r>
      </w:hyperlink>
      <w:r>
        <w:t xml:space="preserve">.</w:t>
      </w:r>
    </w:p>
    <w:p>
      <w:pPr>
        <w:pStyle w:val="SourceCode"/>
      </w:pPr>
      <w:r>
        <w:rPr>
          <w:rStyle w:val="VerbatimChar"/>
        </w:rPr>
        <w:t xml:space="preserve">&lt;!--</w:t>
      </w:r>
      <w:r>
        <w:br/>
      </w:r>
      <w:r>
        <w:rPr>
          <w:rStyle w:val="VerbatimChar"/>
        </w:rPr>
        <w:t xml:space="preserve">Another issue -- likely to be placed elsewhere and referenced here</w:t>
      </w:r>
      <w:r>
        <w:br/>
      </w:r>
      <w:r>
        <w:br/>
      </w:r>
      <w:r>
        <w:rPr>
          <w:rStyle w:val="VerbatimChar"/>
        </w:rPr>
        <w:t xml:space="preserve">Standard vector construction issue where braces are replaced with curly</w:t>
      </w:r>
      <w:r>
        <w:br/>
      </w:r>
      <w:r>
        <w:rPr>
          <w:rStyle w:val="VerbatimChar"/>
        </w:rPr>
        <w:t xml:space="preserve">braces. (Paul)</w:t>
      </w:r>
      <w:r>
        <w:br/>
      </w:r>
      <w:r>
        <w:br/>
      </w:r>
      <w:r>
        <w:rPr>
          <w:rStyle w:val="VerbatimChar"/>
        </w:rPr>
        <w:t xml:space="preserve">Guidance -- use braces initially and only use other format if the</w:t>
      </w:r>
      <w:r>
        <w:br/>
      </w:r>
      <w:r>
        <w:rPr>
          <w:rStyle w:val="VerbatimChar"/>
        </w:rPr>
        <w:t xml:space="preserve">compiler fails ???</w:t>
      </w:r>
      <w:r>
        <w:br/>
      </w:r>
      <w:r>
        <w:rPr>
          <w:rStyle w:val="VerbatimChar"/>
        </w:rPr>
        <w:t xml:space="preserve">--&gt;</w:t>
      </w:r>
    </w:p>
    <w:p>
      <w:pPr>
        <w:pStyle w:val="SourceCode"/>
      </w:pPr>
      <w:r>
        <w:rPr>
          <w:rStyle w:val="VerbatimChar"/>
        </w:rPr>
        <w:t xml:space="preserve">&lt;!--</w:t>
      </w:r>
      <w:r>
        <w:br/>
      </w:r>
      <w:r>
        <w:rPr>
          <w:rStyle w:val="VerbatimChar"/>
        </w:rPr>
        <w:t xml:space="preserve">(Examples needed)</w:t>
      </w:r>
      <w:r>
        <w:br/>
      </w:r>
      <w:r>
        <w:rPr>
          <w:rStyle w:val="VerbatimChar"/>
        </w:rPr>
        <w:t xml:space="preserve">--&gt;</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guidance-to-language-users"/>
    <w:p>
      <w:pPr>
        <w:pStyle w:val="Heading3"/>
      </w:pPr>
      <w:r>
        <w:t xml:space="preserve">6.40.2 Guidance to language users</w:t>
      </w:r>
    </w:p>
    <w:p>
      <w:pPr>
        <w:numPr>
          <w:ilvl w:val="0"/>
          <w:numId w:val="1080"/>
        </w:numPr>
        <w:pStyle w:val="Compact"/>
      </w:pPr>
      <w:r>
        <w:t xml:space="preserve">Use static analysis tools to diagnose the use of inappropriate types</w:t>
      </w:r>
      <w:r>
        <w:t xml:space="preserve"> </w:t>
      </w:r>
      <w:r>
        <w:t xml:space="preserve">in a template interface</w:t>
      </w:r>
    </w:p>
    <w:p>
      <w:pPr>
        <w:pStyle w:val="SourceCode"/>
      </w:pPr>
      <w:r>
        <w:rPr>
          <w:rStyle w:val="VerbatimChar"/>
        </w:rPr>
        <w:t xml:space="preserve">&lt;!--</w:t>
      </w:r>
      <w:r>
        <w:br/>
      </w:r>
      <w:r>
        <w:rPr>
          <w:rStyle w:val="VerbatimChar"/>
        </w:rPr>
        <w:t xml:space="preserve">-   *Cyclic dependencies and ODR (one definition rule) use ...*</w:t>
      </w:r>
      <w:r>
        <w:br/>
      </w:r>
      <w:r>
        <w:rPr>
          <w:rStyle w:val="VerbatimChar"/>
        </w:rPr>
        <w:t xml:space="preserve">--&gt;</w:t>
      </w:r>
    </w:p>
    <w:p>
      <w:pPr>
        <w:numPr>
          <w:ilvl w:val="0"/>
          <w:numId w:val="1081"/>
        </w:numPr>
      </w:pPr>
      <w:r>
        <w:t xml:space="preserve">Consider using</w:t>
      </w:r>
      <w:r>
        <w:t xml:space="preserve"> </w:t>
      </w:r>
      <w:r>
        <w:rPr>
          <w:i/>
        </w:rPr>
        <w:t xml:space="preserve">concepts</w:t>
      </w:r>
      <w:r>
        <w:t xml:space="preserve"> </w:t>
      </w:r>
      <w:r>
        <w:t xml:space="preserve">for each template type parameter</w:t>
      </w:r>
    </w:p>
    <w:p>
      <w:pPr>
        <w:numPr>
          <w:ilvl w:val="0"/>
          <w:numId w:val="1081"/>
        </w:numPr>
        <w:pStyle w:val="SourceCode"/>
      </w:pPr>
      <w:r>
        <w:rPr>
          <w:rStyle w:val="VerbatimChar"/>
        </w:rPr>
        <w:t xml:space="preserve">  Create and use concepts that specify "meaningful" semantics</w:t>
      </w:r>
    </w:p>
    <w:p>
      <w:pPr>
        <w:numPr>
          <w:ilvl w:val="0"/>
          <w:numId w:val="1081"/>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81"/>
        </w:numPr>
      </w:pPr>
      <w:r>
        <w:t xml:space="preserve">Be aware that a constructor template or assignment operator function</w:t>
      </w:r>
      <w:r>
        <w:t xml:space="preserve"> </w:t>
      </w:r>
      <w:r>
        <w:t xml:space="preserve">template will not replace compiler-provided special member functions</w:t>
      </w:r>
    </w:p>
    <w:p>
      <w:pPr>
        <w:numPr>
          <w:ilvl w:val="0"/>
          <w:numId w:val="1081"/>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82"/>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83"/>
        </w:numPr>
      </w:pPr>
      <w:r>
        <w:t xml:space="preserve">For template specialization, declared the specialization:</w:t>
      </w:r>
    </w:p>
    <w:p>
      <w:pPr>
        <w:numPr>
          <w:ilvl w:val="1"/>
          <w:numId w:val="1084"/>
        </w:numPr>
      </w:pPr>
      <w:r>
        <w:t xml:space="preserve">In the same file as the primary template; or</w:t>
      </w:r>
    </w:p>
    <w:p>
      <w:pPr>
        <w:numPr>
          <w:ilvl w:val="1"/>
          <w:numId w:val="1084"/>
        </w:numPr>
      </w:pPr>
      <w:r>
        <w:t xml:space="preserve">In the same file as the user-defined type for which the</w:t>
      </w:r>
      <w:r>
        <w:t xml:space="preserve"> </w:t>
      </w:r>
      <w:r>
        <w:t xml:space="preserve">specialization is declared.</w:t>
      </w:r>
    </w:p>
    <w:p>
      <w:pPr>
        <w:numPr>
          <w:ilvl w:val="0"/>
          <w:numId w:val="1083"/>
        </w:numPr>
      </w:pPr>
      <w:r>
        <w:t xml:space="preserve">Do not specialize function templates, except when specialization is</w:t>
      </w:r>
      <w:r>
        <w:t xml:space="preserve"> </w:t>
      </w:r>
      <w:r>
        <w:t xml:space="preserve">on a non-deduceable template parameter</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85"/>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086"/>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086"/>
        </w:numPr>
        <w:pStyle w:val="SourceCode"/>
      </w:pPr>
      <w:r>
        <w:rPr>
          <w:rStyle w:val="VerbatimChar"/>
        </w:rPr>
        <w:t xml:space="preserve">  reduce the use of inheritance</w:t>
      </w:r>
    </w:p>
    <w:p>
      <w:pPr>
        <w:numPr>
          <w:ilvl w:val="0"/>
          <w:numId w:val="1085"/>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087"/>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85"/>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088"/>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85"/>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089"/>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85"/>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090"/>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BLP">
        <w:r>
          <w:rPr>
            <w:rStyle w:val="Hyperlink"/>
          </w:rPr>
          <w:t xml:space="preserve">Violations of the Liskov substitution principle[BLP]</w:t>
        </w:r>
      </w:hyperlink>
      <w:r>
        <w:t xml:space="preserve">:</w:t>
      </w:r>
      <w:r>
        <w:t xml:space="preserve"> </w:t>
      </w:r>
      <w:r>
        <w:t xml:space="preserve">member 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BLP">
        <w:r>
          <w:rPr>
            <w:rStyle w:val="Hyperlink"/>
          </w:rPr>
          <w:t xml:space="preserve">Violations of the Liskov substitution principle [BLP]</w:t>
        </w:r>
      </w:hyperlink>
    </w:p>
    <w:p>
      <w:pPr>
        <w:numPr>
          <w:ilvl w:val="0"/>
          <w:numId w:val="1091"/>
        </w:numPr>
      </w:pPr>
      <w:r>
        <w:t xml:space="preserve">Guidance: Keep inheritance hierarchies short</w:t>
      </w:r>
    </w:p>
    <w:p>
      <w:pPr>
        <w:numPr>
          <w:ilvl w:val="0"/>
          <w:numId w:val="1091"/>
        </w:numPr>
      </w:pPr>
      <w:r>
        <w:t xml:space="preserve">Guidance: Qualify the program to invoke member functions in explicit</w:t>
      </w:r>
      <w:r>
        <w:t xml:space="preserve"> </w:t>
      </w:r>
      <w:r>
        <w:t xml:space="preserve">parent classes.</w:t>
      </w:r>
    </w:p>
    <w:p>
      <w:pPr>
        <w:numPr>
          <w:ilvl w:val="0"/>
          <w:numId w:val="1091"/>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4"/>
    <w:bookmarkStart w:id="155" w:name="guidance-to-language-users"/>
    <w:p>
      <w:pPr>
        <w:pStyle w:val="Heading2"/>
      </w:pPr>
      <w:r>
        <w:t xml:space="preserve">6.41.2 Guidance to language users</w:t>
      </w:r>
    </w:p>
    <w:p>
      <w:pPr>
        <w:numPr>
          <w:ilvl w:val="0"/>
          <w:numId w:val="1092"/>
        </w:numPr>
      </w:pPr>
      <w:r>
        <w:t xml:space="preserve">Follow the guidance of ISO/IEC TR 24772-1:2019 clause 41.5.</w:t>
      </w:r>
    </w:p>
    <w:p>
      <w:pPr>
        <w:numPr>
          <w:ilvl w:val="0"/>
          <w:numId w:val="1092"/>
        </w:numPr>
      </w:pPr>
      <w:r>
        <w:t xml:space="preserve">Avoid the use of multiple inheritance whenever possible.</w:t>
      </w:r>
    </w:p>
    <w:p>
      <w:pPr>
        <w:numPr>
          <w:ilvl w:val="0"/>
          <w:numId w:val="1092"/>
        </w:numPr>
      </w:pPr>
      <w:r>
        <w:t xml:space="preserve">Avoid access to data components when getting and setting functions</w:t>
      </w:r>
      <w:r>
        <w:t xml:space="preserve"> </w:t>
      </w:r>
      <w:r>
        <w:t xml:space="preserve">are available for them.</w:t>
      </w:r>
    </w:p>
    <w:p>
      <w:pPr>
        <w:numPr>
          <w:ilvl w:val="0"/>
          <w:numId w:val="1092"/>
        </w:numPr>
      </w:pPr>
      <w:r>
        <w:t xml:space="preserve">Keep inheritance hierarchies short and narrow</w:t>
      </w:r>
    </w:p>
    <w:p>
      <w:pPr>
        <w:numPr>
          <w:ilvl w:val="0"/>
          <w:numId w:val="1092"/>
        </w:numPr>
      </w:pPr>
      <w:r>
        <w:t xml:space="preserve">Prefer non-virtual functions to virtual functions</w:t>
      </w:r>
    </w:p>
    <w:p>
      <w:pPr>
        <w:numPr>
          <w:ilvl w:val="0"/>
          <w:numId w:val="1092"/>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092"/>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092"/>
        </w:numPr>
      </w:pPr>
      <w:r>
        <w:t xml:space="preserve">If any class invariant depends upon a value of a data member, then</w:t>
      </w:r>
      <w:r>
        <w:t xml:space="preserve"> </w:t>
      </w:r>
      <w:r>
        <w:t xml:space="preserve">make that member private</w:t>
      </w:r>
    </w:p>
    <w:p>
      <w:pPr>
        <w:numPr>
          <w:ilvl w:val="0"/>
          <w:numId w:val="1092"/>
        </w:numPr>
      </w:pPr>
      <w:r>
        <w:t xml:space="preserve">Make data members private and provide a public interface to access</w:t>
      </w:r>
      <w:r>
        <w:t xml:space="preserve"> </w:t>
      </w:r>
      <w:r>
        <w:t xml:space="preserve">them that preserves class invariants</w:t>
      </w:r>
    </w:p>
    <w:p>
      <w:pPr>
        <w:numPr>
          <w:ilvl w:val="0"/>
          <w:numId w:val="1092"/>
        </w:numPr>
      </w:pPr>
      <w:r>
        <w:t xml:space="preserve">Provide complete documentation of all encapsulated data, and how</w:t>
      </w:r>
      <w:r>
        <w:t xml:space="preserve"> </w:t>
      </w:r>
      <w:r>
        <w:t xml:space="preserve">each method affects that data for each object in the hierarchy.</w:t>
      </w:r>
    </w:p>
    <w:p>
      <w:pPr>
        <w:numPr>
          <w:ilvl w:val="0"/>
          <w:numId w:val="1092"/>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092"/>
        </w:numPr>
      </w:pPr>
      <w:r>
        <w:t xml:space="preserve">Provide a member function that provides versioning information for</w:t>
      </w:r>
      <w:r>
        <w:t xml:space="preserve"> </w:t>
      </w:r>
      <w:r>
        <w:t xml:space="preserve">each class.</w:t>
      </w:r>
    </w:p>
    <w:p>
      <w:pPr>
        <w:numPr>
          <w:ilvl w:val="0"/>
          <w:numId w:val="1092"/>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092"/>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092"/>
        </w:numPr>
      </w:pPr>
      <w:r>
        <w:t xml:space="preserve">Avoid the creation of base classes that are both virtual and</w:t>
      </w:r>
      <w:r>
        <w:t xml:space="preserve"> </w:t>
      </w:r>
      <w:r>
        <w:t xml:space="preserve">non-virtual in the same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093"/>
        </w:numPr>
      </w:pPr>
      <w:r>
        <w:t xml:space="preserve">Obey all preconditions and postconditions of each member function,</w:t>
      </w:r>
      <w:r>
        <w:t xml:space="preserve"> </w:t>
      </w:r>
      <w:r>
        <w:t xml:space="preserve">whether they are specified in the language or not.</w:t>
      </w:r>
    </w:p>
    <w:p>
      <w:pPr>
        <w:numPr>
          <w:ilvl w:val="0"/>
          <w:numId w:val="1093"/>
        </w:numPr>
      </w:pPr>
      <w:r>
        <w:t xml:space="preserve">Prohibit the strengthening of preconditions (specified or not) by</w:t>
      </w:r>
      <w:r>
        <w:t xml:space="preserve"> </w:t>
      </w:r>
      <w:r>
        <w:t xml:space="preserve">overriding member functions.</w:t>
      </w:r>
    </w:p>
    <w:p>
      <w:pPr>
        <w:numPr>
          <w:ilvl w:val="0"/>
          <w:numId w:val="1093"/>
        </w:numPr>
      </w:pPr>
      <w:r>
        <w:t xml:space="preserve">Prohibit the weakening of postconditions (specified or not) by</w:t>
      </w:r>
      <w:r>
        <w:t xml:space="preserve"> </w:t>
      </w:r>
      <w:r>
        <w:t xml:space="preserve">overriding member functions.</w:t>
      </w:r>
    </w:p>
    <w:p>
      <w:pPr>
        <w:numPr>
          <w:ilvl w:val="0"/>
          <w:numId w:val="1093"/>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3"/>
        </w:numPr>
      </w:pPr>
      <w:r>
        <w:t xml:space="preserve">Use static analysis tools that identify misuse of inheritance in the</w:t>
      </w:r>
      <w:r>
        <w:t xml:space="preserve"> </w:t>
      </w:r>
      <w:r>
        <w:t xml:space="preserve">contract model.</w:t>
      </w:r>
    </w:p>
    <w:p>
      <w:pPr>
        <w:numPr>
          <w:ilvl w:val="0"/>
          <w:numId w:val="109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094"/>
        </w:numPr>
      </w:pPr>
      <w:r>
        <w:t xml:space="preserve">At a call site, consider whether virtual dispatch is desired. If</w:t>
      </w:r>
      <w:r>
        <w:t xml:space="preserve"> </w:t>
      </w:r>
      <w:r>
        <w:t xml:space="preserve">not, construct the call using the qualified name.</w:t>
      </w:r>
    </w:p>
    <w:p>
      <w:pPr>
        <w:numPr>
          <w:ilvl w:val="0"/>
          <w:numId w:val="1094"/>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5"/>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5"/>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5"/>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5"/>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6"/>
        </w:numPr>
      </w:pPr>
      <w:r>
        <w:t xml:space="preserve">are the only ones that can be performed implicitly</w:t>
      </w:r>
    </w:p>
    <w:p>
      <w:pPr>
        <w:numPr>
          <w:ilvl w:val="0"/>
          <w:numId w:val="1096"/>
        </w:numPr>
      </w:pPr>
      <w:r>
        <w:t xml:space="preserve">can cause object slicing</w:t>
      </w:r>
      <w:r>
        <w:t xml:space="preserve"> </w:t>
      </w:r>
      <w:r>
        <w:t xml:space="preserve">when a copy of a base class object is created from a derived class object.</w:t>
      </w:r>
    </w:p>
    <w:p>
      <w:pPr>
        <w:numPr>
          <w:ilvl w:val="0"/>
          <w:numId w:val="1096"/>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7"/>
        </w:numPr>
      </w:pPr>
      <w:r>
        <w:t xml:space="preserve">are explicit;</w:t>
      </w:r>
    </w:p>
    <w:p>
      <w:pPr>
        <w:numPr>
          <w:ilvl w:val="0"/>
          <w:numId w:val="1097"/>
        </w:numPr>
      </w:pPr>
      <w:r>
        <w:t xml:space="preserve">can be done safely with</w:t>
      </w:r>
      <w:r>
        <w:t xml:space="preserve"> </w:t>
      </w:r>
      <w:r>
        <w:rPr>
          <w:rStyle w:val="KeywordTok"/>
        </w:rPr>
        <w:t xml:space="preserve">dynamic_cast</w:t>
      </w:r>
    </w:p>
    <w:p>
      <w:pPr>
        <w:numPr>
          <w:ilvl w:val="0"/>
          <w:numId w:val="1097"/>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7"/>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8"/>
        </w:numPr>
      </w:pPr>
      <w:r>
        <w:t xml:space="preserve">are explicit</w:t>
      </w:r>
    </w:p>
    <w:p>
      <w:pPr>
        <w:numPr>
          <w:ilvl w:val="0"/>
          <w:numId w:val="1098"/>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8"/>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guidance-to-language-users"/>
    <w:p>
      <w:pPr>
        <w:pStyle w:val="Heading3"/>
      </w:pPr>
      <w:r>
        <w:t xml:space="preserve">6.44.2 Guidance to language users</w:t>
      </w:r>
    </w:p>
    <w:p>
      <w:pPr>
        <w:numPr>
          <w:ilvl w:val="0"/>
          <w:numId w:val="1099"/>
        </w:numPr>
      </w:pPr>
      <w:r>
        <w:t xml:space="preserve">Follow the advice provided in ISO/IEC 24772-1 clause 6.44.5.</w:t>
      </w:r>
    </w:p>
    <w:p>
      <w:pPr>
        <w:numPr>
          <w:ilvl w:val="0"/>
          <w:numId w:val="1099"/>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9"/>
        </w:numPr>
      </w:pPr>
      <w:r>
        <w:t xml:space="preserve">Avoid designs relying on downcasts or crosscasts;</w:t>
      </w:r>
      <w:r>
        <w:t xml:space="preserve"> </w:t>
      </w:r>
      <w:r>
        <w:t xml:space="preserve">rely on proper virtual member functions in the base classes instead.</w:t>
      </w:r>
    </w:p>
    <w:p>
      <w:pPr>
        <w:numPr>
          <w:ilvl w:val="0"/>
          <w:numId w:val="1099"/>
        </w:numPr>
      </w:pPr>
      <w:r>
        <w:t xml:space="preserve">Avoid explicit upcast, rely on implicit conversion.</w:t>
      </w:r>
    </w:p>
    <w:p>
      <w:pPr>
        <w:numPr>
          <w:ilvl w:val="0"/>
          <w:numId w:val="1099"/>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9"/>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9"/>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99"/>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5"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00"/>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5"/>
    <w:bookmarkStart w:id="168" w:name="Xc417c172da80bb70cea1f9e7af9871a63840609"/>
    <w:p>
      <w:pPr>
        <w:pStyle w:val="Heading2"/>
      </w:pPr>
      <w:r>
        <w:t xml:space="preserve">6.46 Argument Passing to Library Functions [TRJ]</w:t>
      </w:r>
    </w:p>
    <w:bookmarkStart w:id="166"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6"/>
    <w:bookmarkStart w:id="167" w:name="guidance-to-language-users"/>
    <w:p>
      <w:pPr>
        <w:pStyle w:val="Heading3"/>
      </w:pPr>
      <w:r>
        <w:t xml:space="preserve">6.46.2 Guidance to language users</w:t>
      </w:r>
    </w:p>
    <w:p>
      <w:pPr>
        <w:numPr>
          <w:ilvl w:val="0"/>
          <w:numId w:val="1101"/>
        </w:numPr>
      </w:pPr>
      <w:r>
        <w:t xml:space="preserve">Follow the guidelines of ISO/IEC TR 24772-1 clause 6.47.5.</w:t>
      </w:r>
    </w:p>
    <w:p>
      <w:pPr>
        <w:numPr>
          <w:ilvl w:val="0"/>
          <w:numId w:val="1101"/>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1"/>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7"/>
    <w:bookmarkEnd w:id="168"/>
    <w:bookmarkStart w:id="171" w:name="inter-language-calling-djs"/>
    <w:p>
      <w:pPr>
        <w:pStyle w:val="Heading2"/>
      </w:pPr>
      <w:r>
        <w:t xml:space="preserve">6.47 Inter-language Calling [DJS]</w:t>
      </w:r>
    </w:p>
    <w:bookmarkStart w:id="169"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9"/>
    <w:bookmarkStart w:id="170" w:name="guidance-to-language-users"/>
    <w:p>
      <w:pPr>
        <w:pStyle w:val="Heading3"/>
      </w:pPr>
      <w:r>
        <w:t xml:space="preserve">6.47.2 Guidance to language users</w:t>
      </w:r>
    </w:p>
    <w:p>
      <w:pPr>
        <w:numPr>
          <w:ilvl w:val="0"/>
          <w:numId w:val="1102"/>
        </w:numPr>
      </w:pPr>
      <w:r>
        <w:t xml:space="preserve">Follow the guidance contained in ISO/IEC TR 24772-1:2019 clause</w:t>
      </w:r>
      <w:r>
        <w:t xml:space="preserve"> </w:t>
      </w:r>
      <w:r>
        <w:t xml:space="preserve">6.47.5</w:t>
      </w:r>
    </w:p>
    <w:p>
      <w:pPr>
        <w:numPr>
          <w:ilvl w:val="0"/>
          <w:numId w:val="1102"/>
        </w:numPr>
      </w:pPr>
      <w:r>
        <w:t xml:space="preserve">Use standard layout types for the interoperable interfaces.</w:t>
      </w:r>
    </w:p>
    <w:p>
      <w:pPr>
        <w:numPr>
          <w:ilvl w:val="1"/>
          <w:numId w:val="1103"/>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3"/>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3"/>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2"/>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2"/>
        </w:numPr>
      </w:pPr>
      <w:r>
        <w:t xml:space="preserve">Be aware that C++ exceptions are not usually compatible with</w:t>
      </w:r>
      <w:r>
        <w:t xml:space="preserve"> </w:t>
      </w:r>
      <w:r>
        <w:t xml:space="preserve">exceptions in other languages.</w:t>
      </w:r>
    </w:p>
    <w:p>
      <w:pPr>
        <w:numPr>
          <w:ilvl w:val="0"/>
          <w:numId w:val="1102"/>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2"/>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0"/>
    <w:bookmarkEnd w:id="171"/>
    <w:bookmarkStart w:id="174" w:name="Xfd4a54be17d3eceb94ec5c5981ef893e36604c5"/>
    <w:p>
      <w:pPr>
        <w:pStyle w:val="Heading2"/>
      </w:pPr>
      <w:r>
        <w:t xml:space="preserve">6.48 Dynamically-linked Code and Self-modifying Code [NYY]</w:t>
      </w:r>
    </w:p>
    <w:bookmarkStart w:id="172"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2"/>
    <w:bookmarkStart w:id="173" w:name="guidance-to-language-users"/>
    <w:p>
      <w:pPr>
        <w:pStyle w:val="Heading3"/>
      </w:pPr>
      <w:r>
        <w:t xml:space="preserve">6.48.2 Guidance to language users</w:t>
      </w:r>
    </w:p>
    <w:p>
      <w:pPr>
        <w:pStyle w:val="FirstParagraph"/>
      </w:pPr>
      <w:r>
        <w:t xml:space="preserve">Follow the guidance of ISO/IEC TR 24772-1:2019 clause 6.48.5.</w:t>
      </w:r>
    </w:p>
    <w:bookmarkEnd w:id="173"/>
    <w:bookmarkEnd w:id="174"/>
    <w:bookmarkStart w:id="177" w:name="library-signature-nsq"/>
    <w:p>
      <w:pPr>
        <w:pStyle w:val="Heading2"/>
      </w:pPr>
      <w:r>
        <w:t xml:space="preserve">6.49 Library Signature [NSQ]</w:t>
      </w:r>
    </w:p>
    <w:bookmarkStart w:id="175"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5"/>
    <w:bookmarkStart w:id="176" w:name="guidance-to-language-users"/>
    <w:p>
      <w:pPr>
        <w:pStyle w:val="Heading3"/>
      </w:pPr>
      <w:r>
        <w:t xml:space="preserve">6.49.2 Guidance to language users</w:t>
      </w:r>
    </w:p>
    <w:p>
      <w:pPr>
        <w:pStyle w:val="FirstParagraph"/>
      </w:pPr>
      <w:r>
        <w:t xml:space="preserve">From Part 1, 6.49.5</w:t>
      </w:r>
    </w:p>
    <w:p>
      <w:pPr>
        <w:numPr>
          <w:ilvl w:val="0"/>
          <w:numId w:val="1104"/>
        </w:numPr>
      </w:pPr>
      <w:r>
        <w:t xml:space="preserve">Follow the guidance of ISO/IEC TR 24772-1:2019 clause 6.49.5.</w:t>
      </w:r>
    </w:p>
    <w:p>
      <w:pPr>
        <w:numPr>
          <w:ilvl w:val="0"/>
          <w:numId w:val="1104"/>
        </w:numPr>
      </w:pPr>
      <w:r>
        <w:t xml:space="preserve">Follow the advice of clause 6.47.2 as applicable.</w:t>
      </w:r>
    </w:p>
    <w:bookmarkEnd w:id="176"/>
    <w:bookmarkEnd w:id="177"/>
    <w:bookmarkStart w:id="180" w:name="X165926c342ab175b2667683b6cb7551fc7b18d8"/>
    <w:p>
      <w:pPr>
        <w:pStyle w:val="Heading2"/>
      </w:pPr>
      <w:r>
        <w:t xml:space="preserve">6.50. Unanticipated Exceptions from Library Routines [HJW]</w:t>
      </w:r>
    </w:p>
    <w:bookmarkStart w:id="178"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8"/>
    <w:bookmarkStart w:id="179" w:name="guidance-to-language-users"/>
    <w:p>
      <w:pPr>
        <w:pStyle w:val="Heading3"/>
      </w:pPr>
      <w:r>
        <w:t xml:space="preserve">6.50.2 Guidance to language users</w:t>
      </w:r>
    </w:p>
    <w:p>
      <w:pPr>
        <w:numPr>
          <w:ilvl w:val="0"/>
          <w:numId w:val="110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05"/>
        </w:numPr>
      </w:pPr>
      <w:r>
        <w:t xml:space="preserve">Follow the advice of clause 6.36.2 for catching and handling</w:t>
      </w:r>
      <w:r>
        <w:t xml:space="preserve"> </w:t>
      </w:r>
      <w:r>
        <w:t xml:space="preserve">exceptions.</w:t>
      </w:r>
    </w:p>
    <w:p>
      <w:pPr>
        <w:numPr>
          <w:ilvl w:val="0"/>
          <w:numId w:val="1105"/>
        </w:numPr>
      </w:pPr>
      <w:r>
        <w:t xml:space="preserve">Prefer function-scope static objects to namespace-scope objects for</w:t>
      </w:r>
      <w:r>
        <w:t xml:space="preserve"> </w:t>
      </w:r>
      <w:r>
        <w:t xml:space="preserve">objects needing dynamic initialization.</w:t>
      </w:r>
    </w:p>
    <w:bookmarkEnd w:id="179"/>
    <w:bookmarkEnd w:id="180"/>
    <w:bookmarkStart w:id="183" w:name="NMP"/>
    <w:p>
      <w:pPr>
        <w:pStyle w:val="Heading2"/>
      </w:pPr>
      <w:r>
        <w:t xml:space="preserve">6.51 Pre-processor Directives [NMP]</w:t>
      </w:r>
    </w:p>
    <w:bookmarkStart w:id="181"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1"/>
    <w:bookmarkStart w:id="182" w:name="guidance-to-language-users"/>
    <w:p>
      <w:pPr>
        <w:pStyle w:val="Heading3"/>
      </w:pPr>
      <w:r>
        <w:t xml:space="preserve">6.51.2 Guidance to language users</w:t>
      </w:r>
    </w:p>
    <w:p>
      <w:pPr>
        <w:numPr>
          <w:ilvl w:val="0"/>
          <w:numId w:val="110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0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6"/>
        </w:numPr>
      </w:pPr>
      <w:r>
        <w:t xml:space="preserve">If a function-like macro must be used, ensure that its</w:t>
      </w:r>
      <w:r>
        <w:t xml:space="preserve"> </w:t>
      </w:r>
      <w:r>
        <w:t xml:space="preserve">parameters and body are parenthesized.</w:t>
      </w:r>
    </w:p>
    <w:p>
      <w:pPr>
        <w:numPr>
          <w:ilvl w:val="0"/>
          <w:numId w:val="1106"/>
        </w:numPr>
      </w:pPr>
      <w:r>
        <w:t xml:space="preserve">In a function-like macro, ensure that each argument is evaluated at</w:t>
      </w:r>
      <w:r>
        <w:t xml:space="preserve"> </w:t>
      </w:r>
      <w:r>
        <w:t xml:space="preserve">most once.</w:t>
      </w:r>
    </w:p>
    <w:p>
      <w:pPr>
        <w:numPr>
          <w:ilvl w:val="0"/>
          <w:numId w:val="1106"/>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06"/>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6"/>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2"/>
    <w:bookmarkEnd w:id="183"/>
    <w:bookmarkStart w:id="186" w:name="Xe4ed1f6d7e7049a22cf11fb58e9b78561722b0b"/>
    <w:p>
      <w:pPr>
        <w:pStyle w:val="Heading2"/>
      </w:pPr>
      <w:r>
        <w:t xml:space="preserve">6.52 Suppression of Language-defined Run-time Checking [MXB]</w:t>
      </w:r>
    </w:p>
    <w:bookmarkStart w:id="184"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4"/>
    <w:bookmarkStart w:id="185"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5"/>
    <w:bookmarkEnd w:id="186"/>
    <w:bookmarkStart w:id="189" w:name="X2e6df9becdc68c65fdb33865090fafdb8a33550"/>
    <w:p>
      <w:pPr>
        <w:pStyle w:val="Heading2"/>
      </w:pPr>
      <w:r>
        <w:t xml:space="preserve">6.53 Provision of Inherently Unsafe Operations [SKL]</w:t>
      </w:r>
    </w:p>
    <w:bookmarkStart w:id="187"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7"/>
    <w:bookmarkStart w:id="188" w:name="guidance-to-language-users"/>
    <w:p>
      <w:pPr>
        <w:pStyle w:val="Heading3"/>
      </w:pPr>
      <w:r>
        <w:t xml:space="preserve">6.53.2 Guidance to language users</w:t>
      </w:r>
    </w:p>
    <w:p>
      <w:pPr>
        <w:numPr>
          <w:ilvl w:val="0"/>
          <w:numId w:val="1107"/>
        </w:numPr>
      </w:pPr>
      <w:r>
        <w:t xml:space="preserve">Follow the guidelines of ISO/IEC TR 24772-1:2019 clause 6.53.5.</w:t>
      </w:r>
    </w:p>
    <w:p>
      <w:pPr>
        <w:numPr>
          <w:ilvl w:val="0"/>
          <w:numId w:val="1107"/>
        </w:numPr>
      </w:pPr>
      <w:r>
        <w:t xml:space="preserve">Enable checks that warn about unsafe operations.</w:t>
      </w:r>
    </w:p>
    <w:p>
      <w:pPr>
        <w:numPr>
          <w:ilvl w:val="0"/>
          <w:numId w:val="1107"/>
        </w:numPr>
      </w:pPr>
      <w:r>
        <w:t xml:space="preserve">Use static analysis tools to detect unsafe constructs.</w:t>
      </w:r>
    </w:p>
    <w:bookmarkEnd w:id="188"/>
    <w:bookmarkEnd w:id="189"/>
    <w:bookmarkStart w:id="192" w:name="obscure-language-features-brs"/>
    <w:p>
      <w:pPr>
        <w:pStyle w:val="Heading2"/>
      </w:pPr>
      <w:r>
        <w:t xml:space="preserve">6.54 Obscure Language Features [BRS]</w:t>
      </w:r>
    </w:p>
    <w:bookmarkStart w:id="190"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0"/>
    <w:bookmarkStart w:id="191" w:name="guidance-to-language-users"/>
    <w:p>
      <w:pPr>
        <w:pStyle w:val="Heading3"/>
      </w:pPr>
      <w:r>
        <w:t xml:space="preserve">6.54.2 Guidance to language users</w:t>
      </w:r>
    </w:p>
    <w:p>
      <w:pPr>
        <w:numPr>
          <w:ilvl w:val="0"/>
          <w:numId w:val="1108"/>
        </w:numPr>
        <w:pStyle w:val="Compact"/>
      </w:pPr>
      <w:r>
        <w:t xml:space="preserve">Follow the guidelines of ISO/IEC TR 24772-1:2019 clause 6.54.5.</w:t>
      </w:r>
    </w:p>
    <w:p>
      <w:pPr>
        <w:pStyle w:val="FirstParagraph"/>
      </w:pPr>
      <w:r>
        <w:t xml:space="preserve">$incldue 6.55.UnspecifiedBehaviour-BQF.md</w:t>
      </w:r>
    </w:p>
    <w:bookmarkEnd w:id="191"/>
    <w:bookmarkEnd w:id="192"/>
    <w:bookmarkStart w:id="195" w:name="EWF"/>
    <w:p>
      <w:pPr>
        <w:pStyle w:val="Heading2"/>
      </w:pPr>
      <w:r>
        <w:t xml:space="preserve">6.56 Undefined Behaviour [EWF]</w:t>
      </w:r>
    </w:p>
    <w:bookmarkStart w:id="193"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3"/>
    <w:bookmarkStart w:id="194" w:name="guidance-to-language-users"/>
    <w:p>
      <w:pPr>
        <w:pStyle w:val="Heading3"/>
      </w:pPr>
      <w:r>
        <w:t xml:space="preserve">6.56.2 Guidance to language users</w:t>
      </w:r>
    </w:p>
    <w:p>
      <w:pPr>
        <w:numPr>
          <w:ilvl w:val="0"/>
          <w:numId w:val="1109"/>
        </w:numPr>
      </w:pPr>
      <w:r>
        <w:t xml:space="preserve">Follow the guidelines of ISO/IEC TR 24772-1:2019 clause 6.56.5.</w:t>
      </w:r>
    </w:p>
    <w:p>
      <w:pPr>
        <w:numPr>
          <w:ilvl w:val="0"/>
          <w:numId w:val="1109"/>
        </w:numPr>
      </w:pPr>
      <w:r>
        <w:t xml:space="preserve">Augment static analysis tool usage with runtime tools such as ASAN</w:t>
      </w:r>
      <w:r>
        <w:t xml:space="preserve"> </w:t>
      </w:r>
      <w:r>
        <w:t xml:space="preserve">(address sanitizer) and related tools.</w:t>
      </w:r>
    </w:p>
    <w:p>
      <w:pPr>
        <w:numPr>
          <w:ilvl w:val="0"/>
          <w:numId w:val="1109"/>
        </w:numPr>
      </w:pPr>
      <w:r>
        <w:t xml:space="preserve">Use static analysis tools to help identify occurrences of undefined</w:t>
      </w:r>
      <w:r>
        <w:t xml:space="preserve"> </w:t>
      </w:r>
      <w:r>
        <w:t xml:space="preserve">behaviour.</w:t>
      </w:r>
    </w:p>
    <w:p>
      <w:pPr>
        <w:numPr>
          <w:ilvl w:val="0"/>
          <w:numId w:val="1109"/>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09"/>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4"/>
    <w:bookmarkEnd w:id="195"/>
    <w:bookmarkStart w:id="198" w:name="implementationdefined-behaviour-fab"/>
    <w:p>
      <w:pPr>
        <w:pStyle w:val="Heading2"/>
      </w:pPr>
      <w:r>
        <w:t xml:space="preserve">6.57 Implementation–defined Behaviour [FAB]</w:t>
      </w:r>
    </w:p>
    <w:bookmarkStart w:id="196"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6"/>
    <w:bookmarkStart w:id="197" w:name="guidance-to-language-users"/>
    <w:p>
      <w:pPr>
        <w:pStyle w:val="Heading3"/>
      </w:pPr>
      <w:r>
        <w:t xml:space="preserve">6.57.2 Guidance to language users</w:t>
      </w:r>
    </w:p>
    <w:p>
      <w:pPr>
        <w:numPr>
          <w:ilvl w:val="0"/>
          <w:numId w:val="1110"/>
        </w:numPr>
      </w:pPr>
      <w:r>
        <w:t xml:space="preserve">Follow the guidelines of ISO/IEC TR 24772-1:2019 clause 6.57.5.</w:t>
      </w:r>
    </w:p>
    <w:p>
      <w:pPr>
        <w:numPr>
          <w:ilvl w:val="0"/>
          <w:numId w:val="1110"/>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0"/>
        </w:numPr>
      </w:pPr>
      <w:r>
        <w:t xml:space="preserve">Use multiple compilers/tools to increase your chance of identifying</w:t>
      </w:r>
      <w:r>
        <w:t xml:space="preserve"> </w:t>
      </w:r>
      <w:r>
        <w:t xml:space="preserve">constructs that have implementation-defined behaviours.</w:t>
      </w:r>
    </w:p>
    <w:p>
      <w:pPr>
        <w:numPr>
          <w:ilvl w:val="0"/>
          <w:numId w:val="1110"/>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7"/>
    <w:bookmarkEnd w:id="198"/>
    <w:bookmarkStart w:id="201" w:name="deprecated-language-features-mem"/>
    <w:p>
      <w:pPr>
        <w:pStyle w:val="Heading2"/>
      </w:pPr>
      <w:r>
        <w:t xml:space="preserve">6.58 Deprecated Language Features [MEM]</w:t>
      </w:r>
    </w:p>
    <w:bookmarkStart w:id="199"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9"/>
    <w:bookmarkStart w:id="200" w:name="guidance-to-language-users"/>
    <w:p>
      <w:pPr>
        <w:pStyle w:val="Heading3"/>
      </w:pPr>
      <w:r>
        <w:t xml:space="preserve">6.58.2 Guidance to language users</w:t>
      </w:r>
    </w:p>
    <w:p>
      <w:pPr>
        <w:numPr>
          <w:ilvl w:val="0"/>
          <w:numId w:val="1111"/>
        </w:numPr>
      </w:pPr>
      <w:r>
        <w:t xml:space="preserve">Follow the guidelines of ISO/IEC TR 24772-1 clause 6.58.5.</w:t>
      </w:r>
    </w:p>
    <w:p>
      <w:pPr>
        <w:numPr>
          <w:ilvl w:val="0"/>
          <w:numId w:val="1111"/>
        </w:numPr>
      </w:pPr>
      <w:r>
        <w:t xml:space="preserve">Enable compiler options or static analysis tools that identify the</w:t>
      </w:r>
      <w:r>
        <w:t xml:space="preserve"> </w:t>
      </w:r>
      <w:r>
        <w:t xml:space="preserve">use of deprecated features.</w:t>
      </w:r>
    </w:p>
    <w:p>
      <w:pPr>
        <w:numPr>
          <w:ilvl w:val="0"/>
          <w:numId w:val="1111"/>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0"/>
    <w:bookmarkEnd w:id="201"/>
    <w:bookmarkStart w:id="204" w:name="concurrency-activation-cga"/>
    <w:p>
      <w:pPr>
        <w:pStyle w:val="Heading2"/>
      </w:pPr>
      <w:r>
        <w:t xml:space="preserve">6.59 Concurrency – Activation [CGA]</w:t>
      </w:r>
    </w:p>
    <w:bookmarkStart w:id="202"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12"/>
        </w:numPr>
        <w:pStyle w:val="Compact"/>
      </w:pPr>
      <w:r>
        <w:t xml:space="preserve">6.61 Concurrent Data Access,</w:t>
      </w:r>
    </w:p>
    <w:p>
      <w:pPr>
        <w:numPr>
          <w:ilvl w:val="0"/>
          <w:numId w:val="1112"/>
        </w:numPr>
        <w:pStyle w:val="Compact"/>
      </w:pPr>
      <w:r>
        <w:t xml:space="preserve">6.14 and 6.33 dangling of data reference, if data is passed to the thread function as reference or pointer, instead of passing a copy.</w:t>
      </w:r>
    </w:p>
    <w:p>
      <w:pPr>
        <w:numPr>
          <w:ilvl w:val="0"/>
          <w:numId w:val="1112"/>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2"/>
    <w:bookmarkStart w:id="203" w:name="guidance-to-language-users"/>
    <w:p>
      <w:pPr>
        <w:pStyle w:val="Heading3"/>
      </w:pPr>
      <w:r>
        <w:t xml:space="preserve">6.59.2 Guidance to language users</w:t>
      </w:r>
    </w:p>
    <w:p>
      <w:pPr>
        <w:numPr>
          <w:ilvl w:val="0"/>
          <w:numId w:val="1113"/>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13"/>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13"/>
        </w:numPr>
      </w:pPr>
      <w:r>
        <w:t xml:space="preserve">Pass all thread function arguments by value, or ensure their lifetime outlasts the running thread. In the latter case proper synchronization is required.</w:t>
      </w:r>
    </w:p>
    <w:bookmarkEnd w:id="203"/>
    <w:bookmarkEnd w:id="204"/>
    <w:bookmarkStart w:id="206" w:name="concurrency-directed-termination-cgt"/>
    <w:p>
      <w:pPr>
        <w:pStyle w:val="Heading2"/>
      </w:pPr>
      <w:r>
        <w:t xml:space="preserve">6.60 Concurrency – Directed termination [CGT]</w:t>
      </w:r>
    </w:p>
    <w:bookmarkStart w:id="205"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5"/>
    <w:bookmarkEnd w:id="206"/>
    <w:bookmarkStart w:id="207" w:name="guidance-to-language-users"/>
    <w:p>
      <w:pPr>
        <w:pStyle w:val="Heading2"/>
      </w:pPr>
      <w:r>
        <w:t xml:space="preserve">6.60.2 Guidance to language users</w:t>
      </w:r>
    </w:p>
    <w:p>
      <w:pPr>
        <w:pStyle w:val="FirstParagraph"/>
      </w:pPr>
      <w:r>
        <w:t xml:space="preserve">Follow the guidance of 24772-1 Clause 6.59.5</w:t>
      </w:r>
    </w:p>
    <w:bookmarkEnd w:id="207"/>
    <w:bookmarkStart w:id="210" w:name="CGX"/>
    <w:p>
      <w:pPr>
        <w:pStyle w:val="Heading2"/>
      </w:pPr>
      <w:r>
        <w:t xml:space="preserve">6.61 Concurrent Data Access [CGX]</w:t>
      </w:r>
    </w:p>
    <w:bookmarkStart w:id="208"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08"/>
    <w:bookmarkStart w:id="209" w:name="guidance-to-language-users"/>
    <w:p>
      <w:pPr>
        <w:pStyle w:val="Heading3"/>
      </w:pPr>
      <w:r>
        <w:t xml:space="preserve">6.61.2 Guidance to language users</w:t>
      </w:r>
    </w:p>
    <w:p>
      <w:pPr>
        <w:numPr>
          <w:ilvl w:val="0"/>
          <w:numId w:val="1114"/>
        </w:numPr>
      </w:pPr>
      <w:r>
        <w:t xml:space="preserve">Follow the guidance of ISO/IEC TR 24772-1 clause 6.62.5.</w:t>
      </w:r>
    </w:p>
    <w:p>
      <w:pPr>
        <w:numPr>
          <w:ilvl w:val="0"/>
          <w:numId w:val="1114"/>
        </w:numPr>
      </w:pPr>
      <w:r>
        <w:t xml:space="preserve">Use mutexes, condition variables (convar) in preference to atomic</w:t>
      </w:r>
      <w:r>
        <w:t xml:space="preserve"> </w:t>
      </w:r>
      <w:r>
        <w:t xml:space="preserve">variables to protect data from simultaneous access.</w:t>
      </w:r>
    </w:p>
    <w:p>
      <w:pPr>
        <w:numPr>
          <w:ilvl w:val="0"/>
          <w:numId w:val="1114"/>
        </w:numPr>
      </w:pPr>
      <w:r>
        <w:t xml:space="preserve">Use volatile only for synchronizing abstract machine state from</w:t>
      </w:r>
      <w:r>
        <w:t xml:space="preserve"> </w:t>
      </w:r>
      <w:r>
        <w:t xml:space="preserve">memory.</w:t>
      </w:r>
    </w:p>
    <w:p>
      <w:pPr>
        <w:numPr>
          <w:ilvl w:val="0"/>
          <w:numId w:val="1114"/>
        </w:numPr>
      </w:pPr>
      <w:r>
        <w:t xml:space="preserve">Avoid the use of volatile for synchronizing access to shared memory</w:t>
      </w:r>
      <w:r>
        <w:t xml:space="preserve"> </w:t>
      </w:r>
      <w:r>
        <w:t xml:space="preserve">between threads (which needs mutex, condvar, or atomics)</w:t>
      </w:r>
    </w:p>
    <w:p>
      <w:pPr>
        <w:numPr>
          <w:ilvl w:val="1"/>
          <w:numId w:val="1115"/>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14"/>
        </w:numPr>
      </w:pPr>
      <w:r>
        <w:t xml:space="preserve">Avoid relaxed atomic operations whenever possible. Prefer the</w:t>
      </w:r>
      <w:r>
        <w:t xml:space="preserve"> </w:t>
      </w:r>
      <w:r>
        <w:t xml:space="preserve">sequentially consistent std::memory_order_seq_cst instead .</w:t>
      </w:r>
    </w:p>
    <w:p>
      <w:pPr>
        <w:numPr>
          <w:ilvl w:val="0"/>
          <w:numId w:val="1114"/>
        </w:numPr>
      </w:pPr>
      <w:r>
        <w:t xml:space="preserve">Use mutexes appropriately to protect accesses to non-atomic shared</w:t>
      </w:r>
      <w:r>
        <w:t xml:space="preserve"> </w:t>
      </w:r>
      <w:r>
        <w:t xml:space="preserve">objects.</w:t>
      </w:r>
    </w:p>
    <w:p>
      <w:pPr>
        <w:numPr>
          <w:ilvl w:val="0"/>
          <w:numId w:val="1114"/>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09"/>
    <w:bookmarkEnd w:id="210"/>
    <w:bookmarkStart w:id="214" w:name="concurrency-premature-termination-cgs"/>
    <w:p>
      <w:pPr>
        <w:pStyle w:val="Heading2"/>
      </w:pPr>
      <w:r>
        <w:t xml:space="preserve">6.62 Concurrency – Premature Termination [CGS]</w:t>
      </w:r>
    </w:p>
    <w:bookmarkStart w:id="211" w:name="applicability-to-language"/>
    <w:p>
      <w:pPr>
        <w:pStyle w:val="Heading3"/>
      </w:pPr>
      <w:r>
        <w:t xml:space="preserve">6.62.1 Applicability to language</w:t>
      </w:r>
    </w:p>
    <w:bookmarkEnd w:id="211"/>
    <w:bookmarkStart w:id="212"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2"/>
    <w:bookmarkStart w:id="213" w:name="guidance-to-language-users"/>
    <w:p>
      <w:pPr>
        <w:pStyle w:val="Heading3"/>
      </w:pPr>
      <w:r>
        <w:t xml:space="preserve">6.62.2 Guidance to language users</w:t>
      </w:r>
    </w:p>
    <w:p>
      <w:pPr>
        <w:numPr>
          <w:ilvl w:val="0"/>
          <w:numId w:val="1116"/>
        </w:numPr>
      </w:pPr>
      <w:r>
        <w:t xml:space="preserve">Follow the guidelines of TR 24772-1 clause 6.63.5.</w:t>
      </w:r>
    </w:p>
    <w:p>
      <w:pPr>
        <w:numPr>
          <w:ilvl w:val="0"/>
          <w:numId w:val="1116"/>
        </w:numPr>
      </w:pPr>
      <w:r>
        <w:t xml:space="preserve">Use low-level operating system primitives or other APIs where</w:t>
      </w:r>
      <w:r>
        <w:t xml:space="preserve"> </w:t>
      </w:r>
      <w:r>
        <w:t xml:space="preserve">available to check that a required thread is still active.</w:t>
      </w:r>
    </w:p>
    <w:p>
      <w:pPr>
        <w:numPr>
          <w:ilvl w:val="0"/>
          <w:numId w:val="1116"/>
        </w:numPr>
      </w:pPr>
      <w:r>
        <w:t xml:space="preserve">Make the main program join all created threads that need to complete</w:t>
      </w:r>
      <w:r>
        <w:t xml:space="preserve"> </w:t>
      </w:r>
      <w:r>
        <w:t xml:space="preserve">normally.</w:t>
      </w:r>
    </w:p>
    <w:bookmarkEnd w:id="213"/>
    <w:bookmarkEnd w:id="214"/>
    <w:bookmarkStart w:id="236" w:name="CGM"/>
    <w:p>
      <w:pPr>
        <w:pStyle w:val="Heading2"/>
      </w:pPr>
      <w:r>
        <w:t xml:space="preserve">6.63 Protocol Lock Errors [CGM]</w:t>
      </w:r>
    </w:p>
    <w:bookmarkStart w:id="215"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5"/>
    <w:bookmarkStart w:id="235" w:name="guidance-to-language-users"/>
    <w:p>
      <w:pPr>
        <w:pStyle w:val="Heading3"/>
      </w:pPr>
      <w:r>
        <w:t xml:space="preserve">6.63.2 Guidance to language users</w:t>
      </w:r>
    </w:p>
    <w:p>
      <w:pPr>
        <w:numPr>
          <w:ilvl w:val="0"/>
          <w:numId w:val="1117"/>
        </w:numPr>
      </w:pPr>
      <w:r>
        <w:t xml:space="preserve">Follow the guidelines of TR 24772-1 clause 6.63.5.</w:t>
      </w:r>
    </w:p>
    <w:p>
      <w:pPr>
        <w:numPr>
          <w:ilvl w:val="0"/>
          <w:numId w:val="1117"/>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7"/>
        </w:numPr>
      </w:pPr>
      <w:r>
        <w:t xml:space="preserve">Use higher level building blocks (such as TBB) in preference to …</w:t>
      </w:r>
    </w:p>
    <w:p>
      <w:pPr>
        <w:numPr>
          <w:ilvl w:val="0"/>
          <w:numId w:val="1117"/>
        </w:numPr>
      </w:pPr>
      <w:r>
        <w:t xml:space="preserve">Use the C++ Task mechanism in preference to threads …</w:t>
      </w:r>
    </w:p>
    <w:p>
      <w:pPr>
        <w:numPr>
          <w:ilvl w:val="0"/>
          <w:numId w:val="1117"/>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7"/>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7"/>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7"/>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7"/>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7"/>
        </w:numPr>
      </w:pPr>
      <w:r>
        <w:rPr>
          <w:i/>
          <w:b/>
        </w:rPr>
        <w:t xml:space="preserve">Do not use platform specific multi-threading facilities</w:t>
      </w:r>
    </w:p>
    <w:p>
      <w:pPr>
        <w:numPr>
          <w:ilvl w:val="0"/>
          <w:numId w:val="1117"/>
        </w:numPr>
      </w:pPr>
      <w:r>
        <w:rPr>
          <w:i/>
          <w:b/>
        </w:rPr>
        <w:t xml:space="preserve">A thread shall not access objects whose lifetime has expired</w:t>
      </w:r>
    </w:p>
    <w:p>
      <w:pPr>
        <w:numPr>
          <w:ilvl w:val="0"/>
          <w:numId w:val="1117"/>
        </w:numPr>
      </w:pPr>
      <w:hyperlink r:id="rId216">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7"/>
        </w:numPr>
      </w:pPr>
      <w:hyperlink r:id="rId217">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7"/>
        </w:numPr>
      </w:pPr>
      <w:hyperlink r:id="rId218">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7"/>
        </w:numPr>
      </w:pPr>
      <w:hyperlink r:id="rId219">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7"/>
        </w:numPr>
      </w:pPr>
      <w:hyperlink r:id="rId220">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7"/>
        </w:numPr>
      </w:pPr>
      <w:hyperlink r:id="rId221">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7"/>
        </w:numPr>
      </w:pPr>
      <w:hyperlink r:id="rId222">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7"/>
        </w:numPr>
      </w:pPr>
      <w:hyperlink r:id="rId223">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7"/>
        </w:numPr>
      </w:pPr>
      <w:hyperlink r:id="rId224">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7"/>
        </w:numPr>
      </w:pPr>
      <w:hyperlink r:id="rId225">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7"/>
        </w:numPr>
      </w:pPr>
      <w:hyperlink r:id="rId226">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7"/>
        </w:numPr>
      </w:pPr>
      <w:hyperlink r:id="rId227">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7"/>
        </w:numPr>
      </w:pPr>
      <w:hyperlink r:id="rId228">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7"/>
        </w:numPr>
      </w:pPr>
      <w:hyperlink r:id="rId229">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7"/>
        </w:numPr>
      </w:pPr>
      <w:hyperlink r:id="rId230">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7"/>
        </w:numPr>
      </w:pPr>
      <w:hyperlink r:id="rId231">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7"/>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7"/>
        </w:numPr>
      </w:pPr>
      <w:r>
        <w:t xml:space="preserve">0.10.2 [36] Source CCG Rule CP.101: Distrust your</w:t>
      </w:r>
      <w:r>
        <w:t xml:space="preserve"> </w:t>
      </w:r>
      <w:r>
        <w:t xml:space="preserve">hardware/compiler combination</w:t>
      </w:r>
    </w:p>
    <w:p>
      <w:pPr>
        <w:numPr>
          <w:ilvl w:val="0"/>
          <w:numId w:val="1117"/>
        </w:numPr>
      </w:pPr>
      <w:r>
        <w:t xml:space="preserve">0.10.3 [37] Source CCG Rule CP.102: Carefully study the literature</w:t>
      </w:r>
    </w:p>
    <w:p>
      <w:pPr>
        <w:numPr>
          <w:ilvl w:val="0"/>
          <w:numId w:val="1117"/>
        </w:numPr>
      </w:pPr>
      <w:hyperlink r:id="rId232">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7"/>
        </w:numPr>
      </w:pPr>
      <w:hyperlink r:id="rId233">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7"/>
        </w:numPr>
      </w:pPr>
      <w:hyperlink r:id="rId234">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5"/>
    <w:bookmarkEnd w:id="236"/>
    <w:bookmarkStart w:id="239" w:name="uncontrolled-format-string-shl"/>
    <w:p>
      <w:pPr>
        <w:pStyle w:val="Heading2"/>
      </w:pPr>
      <w:r>
        <w:t xml:space="preserve">6.64 Uncontrolled Format String [SHL]</w:t>
      </w:r>
    </w:p>
    <w:bookmarkStart w:id="237"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7"/>
    <w:bookmarkStart w:id="238"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38"/>
    <w:bookmarkEnd w:id="239"/>
    <w:bookmarkEnd w:id="240"/>
    <w:bookmarkStart w:id="244" w:name="UJO"/>
    <w:p>
      <w:pPr>
        <w:pStyle w:val="Heading1"/>
      </w:pPr>
      <w:r>
        <w:t xml:space="preserve">6.65 Modifying constants [UJO]</w:t>
      </w:r>
    </w:p>
    <w:bookmarkStart w:id="242"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1" w:name="EWF"/>
      <w:r>
        <w:t xml:space="preserve">Undefined Behavior [EWF]</w:t>
      </w:r>
      <w:bookmarkEnd w:id="241"/>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r>
        <w:rPr>
          <w:rStyle w:val="ErrorTok"/>
        </w:rPr>
        <w:t xml:space="preserve">```</w:t>
      </w:r>
      <w:r>
        <w:br/>
      </w:r>
      <w:r>
        <w:br/>
      </w:r>
      <w:r>
        <w:rPr>
          <w:rStyle w:val="NormalTok"/>
        </w:rPr>
        <w:t xml:space="preserve">Attempts to modify the object referenced by </w:t>
      </w:r>
      <w:r>
        <w:rPr>
          <w:rStyle w:val="ErrorTok"/>
        </w:rPr>
        <w:t xml:space="preserve">`</w:t>
      </w:r>
      <w:r>
        <w:rPr>
          <w:rStyle w:val="VariableTok"/>
        </w:rPr>
        <w:t xml:space="preserve">m_j</w:t>
      </w:r>
      <w:r>
        <w:rPr>
          <w:rStyle w:val="ErrorTok"/>
        </w:rPr>
        <w:t xml:space="preserve">`</w:t>
      </w:r>
      <w:r>
        <w:rPr>
          <w:rStyle w:val="NormalTok"/>
        </w:rPr>
        <w:t xml:space="preserve">{.cpp} are ill-formed</w:t>
      </w:r>
      <w:r>
        <w:br/>
      </w:r>
      <w:r>
        <w:rPr>
          <w:rStyle w:val="NormalTok"/>
        </w:rPr>
        <w:t xml:space="preserve">when they occur in the </w:t>
      </w:r>
      <w:r>
        <w:rPr>
          <w:rStyle w:val="AttributeTok"/>
        </w:rPr>
        <w:t xml:space="preserve">const</w:t>
      </w:r>
      <w:r>
        <w:rPr>
          <w:rStyle w:val="NormalTok"/>
        </w:rPr>
        <w:t xml:space="preserve"> member function </w:t>
      </w:r>
      <w:r>
        <w:rPr>
          <w:rStyle w:val="ErrorTok"/>
        </w:rPr>
        <w:t xml:space="preserve">`</w:t>
      </w:r>
      <w:r>
        <w:rPr>
          <w:rStyle w:val="NormalTok"/>
        </w:rPr>
        <w:t xml:space="preserve">f2</w:t>
      </w:r>
      <w:r>
        <w:rPr>
          <w:rStyle w:val="ErrorTok"/>
        </w:rPr>
        <w:t xml:space="preserve">`</w:t>
      </w:r>
      <w:r>
        <w:rPr>
          <w:rStyle w:val="NormalTok"/>
        </w:rPr>
        <w:t xml:space="preserve">{.cpp}.</w:t>
      </w:r>
      <w:r>
        <w:br/>
      </w:r>
      <w:r>
        <w:br/>
      </w:r>
      <w:r>
        <w:rPr>
          <w:rStyle w:val="NormalTok"/>
        </w:rPr>
        <w:t xml:space="preserve">C++ container iterator types, </w:t>
      </w:r>
      <w:r>
        <w:rPr>
          <w:rStyle w:val="ErrorTok"/>
        </w:rPr>
        <w:t xml:space="preserve">`</w:t>
      </w:r>
      <w:r>
        <w:rPr>
          <w:rStyle w:val="NormalTok"/>
        </w:rPr>
        <w:t xml:space="preserve">iterator</w:t>
      </w:r>
      <w:r>
        <w:rPr>
          <w:rStyle w:val="ErrorTok"/>
        </w:rPr>
        <w:t xml:space="preserve">`</w:t>
      </w:r>
      <w:r>
        <w:rPr>
          <w:rStyle w:val="NormalTok"/>
        </w:rPr>
        <w:t xml:space="preserve">{.cpp} </w:t>
      </w:r>
      <w:r>
        <w:rPr>
          <w:rStyle w:val="KeywordTok"/>
        </w:rPr>
        <w:t xml:space="preserve">and</w:t>
      </w:r>
      <w:r>
        <w:rPr>
          <w:rStyle w:val="NormalTok"/>
        </w:rPr>
        <w:t xml:space="preserve"> </w:t>
      </w:r>
      <w:r>
        <w:rPr>
          <w:rStyle w:val="ErrorTok"/>
        </w:rPr>
        <w:t xml:space="preserve">`</w:t>
      </w:r>
      <w:r>
        <w:rPr>
          <w:rStyle w:val="NormalTok"/>
        </w:rPr>
        <w:t xml:space="preserve">const_iterator</w:t>
      </w:r>
      <w:r>
        <w:rPr>
          <w:rStyle w:val="ErrorTok"/>
        </w:rPr>
        <w:t xml:space="preserve">`</w:t>
      </w:r>
      <w:r>
        <w:rPr>
          <w:rStyle w:val="NormalTok"/>
        </w:rPr>
        <w:t xml:space="preserve">{.cpp},</w:t>
      </w:r>
      <w:r>
        <w:br/>
      </w:r>
      <w:r>
        <w:rPr>
          <w:rStyle w:val="NormalTok"/>
        </w:rPr>
        <w:t xml:space="preserve">are examples of use of </w:t>
      </w:r>
      <w:r>
        <w:rPr>
          <w:rStyle w:val="KeywordTok"/>
        </w:rPr>
        <w:t xml:space="preserve">this</w:t>
      </w:r>
      <w:r>
        <w:rPr>
          <w:rStyle w:val="NormalTok"/>
        </w:rPr>
        <w:t xml:space="preserve"> pattern.</w:t>
      </w:r>
      <w:r>
        <w:br/>
      </w:r>
      <w:r>
        <w:br/>
      </w:r>
      <w:r>
        <w:rPr>
          <w:rStyle w:val="NormalTok"/>
        </w:rPr>
        <w:t xml:space="preserve">If a member variable is declared with the </w:t>
      </w:r>
      <w:r>
        <w:rPr>
          <w:rStyle w:val="ErrorTok"/>
        </w:rPr>
        <w:t xml:space="preserve">`</w:t>
      </w:r>
      <w:r>
        <w:rPr>
          <w:rStyle w:val="NormalTok"/>
        </w:rPr>
        <w:t xml:space="preserve">mutable</w:t>
      </w:r>
      <w:r>
        <w:rPr>
          <w:rStyle w:val="ErrorTok"/>
        </w:rPr>
        <w:t xml:space="preserve">`</w:t>
      </w:r>
      <w:r>
        <w:rPr>
          <w:rStyle w:val="NormalTok"/>
        </w:rPr>
        <w:t xml:space="preserve">{.cpp} keyword,</w:t>
      </w:r>
      <w:r>
        <w:br/>
      </w:r>
      <w:r>
        <w:rPr>
          <w:rStyle w:val="NormalTok"/>
        </w:rPr>
        <w:t xml:space="preserve">then it can still be modified, even </w:t>
      </w:r>
      <w:r>
        <w:rPr>
          <w:rStyle w:val="ControlFlowTok"/>
        </w:rPr>
        <w:t xml:space="preserve">if</w:t>
      </w:r>
      <w:r>
        <w:rPr>
          <w:rStyle w:val="NormalTok"/>
        </w:rPr>
        <w:t xml:space="preserve"> the containing object is</w:t>
      </w:r>
      <w:r>
        <w:br/>
      </w:r>
      <w:r>
        <w:rPr>
          <w:rStyle w:val="ErrorTok"/>
        </w:rPr>
        <w:t xml:space="preserve">`</w:t>
      </w:r>
      <w:r>
        <w:rPr>
          <w:rStyle w:val="NormalTok"/>
        </w:rPr>
        <w:t xml:space="preserve">const</w:t>
      </w:r>
      <w:r>
        <w:rPr>
          <w:rStyle w:val="ErrorTok"/>
        </w:rPr>
        <w:t xml:space="preserve">`</w:t>
      </w:r>
      <w:r>
        <w:rPr>
          <w:rStyle w:val="NormalTok"/>
        </w:rPr>
        <w:t xml:space="preserve">{.cpp}.  This is preferable to use </w:t>
      </w:r>
      <w:r>
        <w:rPr>
          <w:rStyle w:val="ErrorTok"/>
        </w:rPr>
        <w:t xml:space="preserve">`</w:t>
      </w:r>
      <w:r>
        <w:rPr>
          <w:rStyle w:val="NormalTok"/>
        </w:rPr>
        <w:t xml:space="preserve">mutable</w:t>
      </w:r>
      <w:r>
        <w:rPr>
          <w:rStyle w:val="ErrorTok"/>
        </w:rPr>
        <w:t xml:space="preserve">`</w:t>
      </w:r>
      <w:r>
        <w:rPr>
          <w:rStyle w:val="NormalTok"/>
        </w:rPr>
        <w:t xml:space="preserve">{.cpp} rather than</w:t>
      </w:r>
      <w:r>
        <w:br/>
      </w:r>
      <w:r>
        <w:rPr>
          <w:rStyle w:val="NormalTok"/>
        </w:rPr>
        <w:t xml:space="preserve">removing the constness of the containing object </w:t>
      </w:r>
      <w:r>
        <w:br/>
      </w:r>
      <w:r>
        <w:rPr>
          <w:rStyle w:val="NormalTok"/>
        </w:rPr>
        <w:t xml:space="preserve">(see [Conversion Errors [FLC] ]{</w:t>
      </w:r>
      <w:r>
        <w:rPr>
          <w:rStyle w:val="ErrorTok"/>
        </w:rPr>
        <w:t xml:space="preserve">#FLC}).  </w:t>
      </w:r>
      <w:r>
        <w:br/>
      </w:r>
      <w:r>
        <w:rPr>
          <w:rStyle w:val="NormalTok"/>
        </w:rPr>
        <w:t xml:space="preserve">Members declared </w:t>
      </w:r>
      <w:r>
        <w:rPr>
          <w:rStyle w:val="ErrorTok"/>
        </w:rPr>
        <w:t xml:space="preserve">`</w:t>
      </w:r>
      <w:r>
        <w:rPr>
          <w:rStyle w:val="NormalTok"/>
        </w:rPr>
        <w:t xml:space="preserve">mutable</w:t>
      </w:r>
      <w:r>
        <w:rPr>
          <w:rStyle w:val="ErrorTok"/>
        </w:rPr>
        <w:t xml:space="preserve">`</w:t>
      </w:r>
      <w:r>
        <w:rPr>
          <w:rStyle w:val="NormalTok"/>
        </w:rPr>
        <w:t xml:space="preserve">{.cpp} typically should </w:t>
      </w:r>
      <w:r>
        <w:rPr>
          <w:rStyle w:val="KeywordTok"/>
        </w:rPr>
        <w:t xml:space="preserve">not</w:t>
      </w:r>
      <w:r>
        <w:br/>
      </w:r>
      <w:r>
        <w:rPr>
          <w:rStyle w:val="NormalTok"/>
        </w:rPr>
        <w:t xml:space="preserve">contribute to the value of the object.  The following is a common</w:t>
      </w:r>
      <w:r>
        <w:br/>
      </w:r>
      <w:r>
        <w:rPr>
          <w:rStyle w:val="NormalTok"/>
        </w:rPr>
        <w:t xml:space="preserve">example where a mutex member is declared </w:t>
      </w:r>
      <w:r>
        <w:rPr>
          <w:rStyle w:val="ErrorTok"/>
        </w:rPr>
        <w:t xml:space="preserve">`</w:t>
      </w:r>
      <w:r>
        <w:rPr>
          <w:rStyle w:val="NormalTok"/>
        </w:rPr>
        <w:t xml:space="preserve">mutable</w:t>
      </w:r>
      <w:r>
        <w:rPr>
          <w:rStyle w:val="ErrorTok"/>
        </w:rPr>
        <w:t xml:space="preserve">`</w:t>
      </w:r>
      <w:r>
        <w:rPr>
          <w:rStyle w:val="NormalTok"/>
        </w:rPr>
        <w:t xml:space="preserve">{.cpp} to allow</w:t>
      </w:r>
      <w:r>
        <w:br/>
      </w:r>
      <w:r>
        <w:rPr>
          <w:rStyle w:val="NormalTok"/>
        </w:rPr>
        <w:t xml:space="preserve">locking in a </w:t>
      </w:r>
      <w:r>
        <w:rPr>
          <w:rStyle w:val="ErrorTok"/>
        </w:rPr>
        <w:t xml:space="preserve">`</w:t>
      </w:r>
      <w:r>
        <w:rPr>
          <w:rStyle w:val="NormalTok"/>
        </w:rPr>
        <w:t xml:space="preserve">const</w:t>
      </w:r>
      <w:r>
        <w:rPr>
          <w:rStyle w:val="ErrorTok"/>
        </w:rPr>
        <w:t xml:space="preserve">`</w:t>
      </w:r>
      <w:r>
        <w:rPr>
          <w:rStyle w:val="NormalTok"/>
        </w:rPr>
        <w:t xml:space="preserve">{.cpp} member function:</w:t>
      </w:r>
      <w:r>
        <w:br/>
      </w:r>
      <w:r>
        <w:br/>
      </w:r>
      <w:r>
        <w:rPr>
          <w:rStyle w:val="ErrorTok"/>
        </w:rPr>
        <w:t xml:space="preserve">```</w:t>
      </w:r>
      <w:r>
        <w:rPr>
          <w:rStyle w:val="NormalTok"/>
        </w:rPr>
        <w:t xml:space="preserve">{.cpp}</w:t>
      </w:r>
      <w:r>
        <w:br/>
      </w: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2"/>
    <w:bookmarkStart w:id="243"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18"/>
        </w:numPr>
      </w:pPr>
      <w:r>
        <w:t xml:space="preserve">Do not cast-away</w:t>
      </w:r>
      <w:r>
        <w:t xml:space="preserve"> </w:t>
      </w:r>
      <w:r>
        <w:rPr>
          <w:rStyle w:val="AttributeTok"/>
        </w:rPr>
        <w:t xml:space="preserve">const</w:t>
      </w:r>
      <w:r>
        <w:t xml:space="preserve">.</w:t>
      </w:r>
    </w:p>
    <w:p>
      <w:pPr>
        <w:numPr>
          <w:ilvl w:val="0"/>
          <w:numId w:val="1118"/>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8"/>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18"/>
        </w:numPr>
      </w:pPr>
      <w:r>
        <w:t xml:space="preserve">Consider the use of</w:t>
      </w:r>
      <w:r>
        <w:t xml:space="preserve"> </w:t>
      </w:r>
      <w:r>
        <w:t xml:space="preserve">“</w:t>
      </w:r>
      <w:r>
        <w:t xml:space="preserve">constexpr</w:t>
      </w:r>
      <w:r>
        <w:t xml:space="preserve">”</w:t>
      </w:r>
      <w:r>
        <w:t xml:space="preserve"> </w:t>
      </w:r>
      <w:r>
        <w:t xml:space="preserve">wherever possible to move the detection</w:t>
      </w:r>
    </w:p>
    <w:p>
      <w:pPr>
        <w:numPr>
          <w:ilvl w:val="0"/>
          <w:numId w:val="1118"/>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3"/>
    <w:bookmarkEnd w:id="244"/>
    <w:bookmarkStart w:id="245"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5"/>
    <w:bookmarkStart w:id="247"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9"/>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9"/>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9"/>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9"/>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9"/>
        </w:numPr>
        <w:pStyle w:val="SourceCode"/>
      </w:pPr>
      <w:r>
        <w:rPr>
          <w:rStyle w:val="VerbatimChar"/>
        </w:rPr>
        <w:t xml:space="preserve">Defining an array type that does automatic bounds checking.</w:t>
      </w:r>
    </w:p>
    <w:p>
      <w:pPr>
        <w:numPr>
          <w:ilvl w:val="0"/>
          <w:numId w:val="1119"/>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9"/>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9"/>
        </w:numPr>
        <w:pStyle w:val="SourceCode"/>
      </w:pPr>
      <w:r>
        <w:rPr>
          <w:rStyle w:val="VerbatimChar"/>
        </w:rPr>
        <w:t xml:space="preserve">Defining an array type that does automatic bounds checking.</w:t>
      </w:r>
    </w:p>
    <w:p>
      <w:pPr>
        <w:numPr>
          <w:ilvl w:val="0"/>
          <w:numId w:val="1119"/>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6"/>
      </w:r>
      <w:r>
        <w:t xml:space="preserve">.</w:t>
      </w:r>
    </w:p>
    <w:p>
      <w:pPr>
        <w:numPr>
          <w:ilvl w:val="0"/>
          <w:numId w:val="1119"/>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9"/>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9"/>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9"/>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9"/>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9"/>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9"/>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9"/>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9"/>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9"/>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9"/>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9"/>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9"/>
        </w:numPr>
        <w:pStyle w:val="SourceCode"/>
      </w:pPr>
      <w:r>
        <w:rPr>
          <w:rStyle w:val="VerbatimChar"/>
        </w:rPr>
        <w:t xml:space="preserve">Creating an Annex that lists deprecated features.</w:t>
      </w:r>
    </w:p>
    <w:bookmarkEnd w:id="247"/>
    <w:bookmarkStart w:id="261"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8"/>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9">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0">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1">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2">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3">
        <w:r>
          <w:rPr>
            <w:rStyle w:val="Hyperlink"/>
          </w:rPr>
          <w:t xml:space="preserve">http://myweb.lmu.edu/dondi/share/pl/type-checking-v02.pdf</w:t>
        </w:r>
      </w:hyperlink>
    </w:p>
    <w:p>
      <w:pPr>
        <w:pStyle w:val="Bibliography1"/>
      </w:pPr>
      <w:r>
        <w:t xml:space="preserve">[32] MISRA Limited. "</w:t>
      </w:r>
      <w:hyperlink r:id="rId254">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5">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6">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7">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8">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9">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0">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1"/>
    <w:bookmarkStart w:id="262" w:name="index"/>
    <w:p>
      <w:pPr>
        <w:pStyle w:val="Heading1"/>
      </w:pPr>
      <w:r>
        <w:t xml:space="preserve">Index</w:t>
      </w:r>
    </w:p>
    <w:p>
      <w:pPr>
        <w:pStyle w:val="Bibliography1"/>
      </w:pPr>
      <w:r>
        <w:t xml:space="preserve">LHS (left-hand side), 22</w:t>
      </w:r>
    </w:p>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6">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1" Target="NMP" TargetMode="Externa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1" Target="NMP" TargetMode="Externa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2022-06-13T16:32:30Z</dcterms:created>
  <dcterms:modified xsi:type="dcterms:W3CDTF">2022-06-13T16:32:30Z</dcterms:modified>
</cp:coreProperties>
</file>

<file path=docProps/custom.xml><?xml version="1.0" encoding="utf-8"?>
<Properties xmlns="http://schemas.openxmlformats.org/officeDocument/2006/custom-properties" xmlns:vt="http://schemas.openxmlformats.org/officeDocument/2006/docPropsVTypes"/>
</file>