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p>
    <w:p>
      <w:pPr>
        <w:pStyle w:val="BodyText"/>
      </w:pPr>
      <w:r>
        <w:rPr>
          <w:u w:val="single"/>
          <w:b/>
        </w:rPr>
        <w:t xml:space="preserve">access protection</w:t>
      </w:r>
      <w:r>
        <w:t xml:space="preserve">:</w:t>
      </w:r>
    </w:p>
    <w:p>
      <w:pPr>
        <w:pStyle w:val="BodyText"/>
      </w:pPr>
      <w:r>
        <w:t xml:space="preserve">use of the</w:t>
      </w:r>
      <w:r>
        <w:t xml:space="preserve"> </w:t>
      </w:r>
      <w:r>
        <w:rPr>
          <w:i/>
        </w:rPr>
        <w:t xml:space="preserve">protected</w:t>
      </w:r>
      <w:r>
        <w:t xml:space="preserve"> </w:t>
      </w:r>
      <w:r>
        <w:t xml:space="preserve">keyword to signify that access to the named object is restricted to methods within the class or a subclass</w:t>
      </w:r>
    </w:p>
    <w:p>
      <w:pPr>
        <w:pStyle w:val="BodyText"/>
      </w:pPr>
      <w:r>
        <w:rPr>
          <w:u w:val="single"/>
          <w:b/>
        </w:rPr>
        <w:t xml:space="preserve">3.4</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3.5</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3.6</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3.7</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3.8</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3.9</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3.10</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3.11</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3.12</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[3.14]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[3.15]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3.16</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3.17</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3.18</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3.19</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3.20</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3.21</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3.22</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3.23</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3.24</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3.25</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3.26</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3.27</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3.28</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3.29</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3.30</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3.31</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3.32</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3.33</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3.34</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3.35</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3.36</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3.37</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3.38</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3.39</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3.40</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3"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DataTypeTok"/>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 and</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Use the avoidance mechanisms of ISO/IEC 24772-1:2024, 6.2.5. and provided in the different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KeywordTok"/>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and on system boundaries, e.g., for input, convert a read value immediately to the appropriate strong type.</w:t>
      </w:r>
    </w:p>
    <w:p>
      <w:pPr>
        <w:numPr>
          <w:ilvl w:val="0"/>
          <w:numId w:val="1013"/>
        </w:numPr>
      </w:pPr>
      <w:r>
        <w:t xml:space="preserve">UIse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 not support a direct mapping to machine words. In addition,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KeywordTok"/>
        </w:rPr>
        <w:t xml:space="preserve">operator</w:t>
      </w:r>
      <w:r>
        <w:rPr>
          <w:rStyle w:val="NormalTok"/>
        </w:rPr>
        <w:t xml:space="preserve">&lt;=&gt;</w:t>
      </w:r>
      <w:r>
        <w:t xml:space="preserve"> </w:t>
      </w:r>
      <w:r>
        <w:t xml:space="preserve">for a floating point type is</w:t>
      </w:r>
      <w:r>
        <w:t xml:space="preserve"> </w:t>
      </w:r>
      <w:r>
        <w:rPr>
          <w:rStyle w:val="BuiltInTok"/>
        </w:rPr>
        <w:t xml:space="preserve">std::</w:t>
      </w:r>
      <w:r>
        <w:rPr>
          <w:rStyle w:val="NormalTok"/>
        </w:rPr>
        <w:t xml:space="preserve">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KeywordTok"/>
        </w:rPr>
        <w:t xml:space="preserve">static_cast</w:t>
      </w:r>
      <w:r>
        <w:t xml:space="preserve">,</w:t>
      </w:r>
    </w:p>
    <w:p>
      <w:pPr>
        <w:numPr>
          <w:ilvl w:val="1"/>
          <w:numId w:val="1020"/>
        </w:numPr>
        <w:pStyle w:val="Compact"/>
      </w:pPr>
      <w:r>
        <w:rPr>
          <w:rStyle w:val="KeywordTok"/>
        </w:rPr>
        <w:t xml:space="preserve">const_cast</w:t>
      </w:r>
      <w:r>
        <w:t xml:space="preserve">,</w:t>
      </w:r>
    </w:p>
    <w:p>
      <w:pPr>
        <w:numPr>
          <w:ilvl w:val="1"/>
          <w:numId w:val="1020"/>
        </w:numPr>
        <w:pStyle w:val="Compact"/>
      </w:pPr>
      <w:r>
        <w:rPr>
          <w:rStyle w:val="KeywordTok"/>
        </w:rPr>
        <w:t xml:space="preserve">dynamic_cast</w:t>
      </w:r>
      <w:r>
        <w:t xml:space="preserve">,</w:t>
      </w:r>
    </w:p>
    <w:p>
      <w:pPr>
        <w:numPr>
          <w:ilvl w:val="1"/>
          <w:numId w:val="1020"/>
        </w:numPr>
        <w:pStyle w:val="Compact"/>
      </w:pPr>
      <w:r>
        <w:rPr>
          <w:rStyle w:val="KeywordTok"/>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KeywordTok"/>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KeywordTok"/>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NormalTok"/>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KeywordTok"/>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be illegal.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w:t>
      </w:r>
      <w:r>
        <w:t xml:space="preserve"> </w:t>
      </w:r>
      <w:r>
        <w:t xml:space="preserve">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 clause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KeywordTok"/>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24772-3 clause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BuiltInTok"/>
        </w:rPr>
        <w:t xml:space="preserve">std::</w:t>
      </w:r>
      <w:r>
        <w:rPr>
          <w:rStyle w:val="NormalTok"/>
        </w:rPr>
        <w:t xml:space="preserve">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w:t>
      </w:r>
      <w:r>
        <w:t xml:space="preserve"> </w:t>
      </w:r>
      <w:r>
        <w:t xml:space="preserve">The call in question will then change its binding without warning upon its next compilation.</w:t>
      </w:r>
      <w:r>
        <w:t xml:space="preserve"> </w:t>
      </w:r>
      <w:r>
        <w:t xml:space="preserve">For cases, where the preference rules do not resolve the ambiguity, the resulting error message by the compiler avoids the vulnerability.</w:t>
      </w:r>
      <w:r>
        <w:t xml:space="preserve"> </w:t>
      </w:r>
      <w:r>
        <w:t xml:space="preserve">Function template specializations are not considered during overload resolution; only the base template 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w:t>
      </w:r>
      <w:r>
        <w:br/>
      </w:r>
      <w:r>
        <w:t xml:space="preserve">Where lookup searches a namespace referred to by a</w:t>
      </w:r>
      <w:r>
        <w:t xml:space="preserve"> </w:t>
      </w:r>
      <w:r>
        <w:rPr>
          <w:rStyle w:val="KeywordTok"/>
        </w:rPr>
        <w:t xml:space="preserve">using</w:t>
      </w:r>
      <w:r>
        <w:t xml:space="preserve"> </w:t>
      </w:r>
      <w:r>
        <w:t xml:space="preserve">directive, all names in that namespace will be visible but some can be unwanted.</w:t>
      </w:r>
      <w:r>
        <w:br/>
      </w:r>
      <w:r>
        <w:t xml:space="preserve">A</w:t>
      </w:r>
      <w:r>
        <w:t xml:space="preserve"> </w:t>
      </w:r>
      <w:r>
        <w:rPr>
          <w:i/>
        </w:rPr>
        <w:t xml:space="preserve">using</w:t>
      </w:r>
      <w:r>
        <w:t xml:space="preserve"> </w:t>
      </w:r>
      <w:r>
        <w:t xml:space="preserve">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Consider using named function objects instead of function names for calling a function to suppress overload resolution using argument dependent lookup (ADL).</w:t>
      </w:r>
    </w:p>
    <w:p>
      <w:pPr>
        <w:numPr>
          <w:ilvl w:val="0"/>
          <w:numId w:val="1050"/>
        </w:numPr>
      </w:pPr>
      <w:r>
        <w:t xml:space="preserve">Avoid implicit conversions of function arguments.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Style w:val="Compact"/>
      </w:pPr>
      <w:r>
        <w:t xml:space="preserve">Write accesses to objects in that expression,</w:t>
      </w:r>
    </w:p>
    <w:p>
      <w:pPr>
        <w:numPr>
          <w:ilvl w:val="0"/>
          <w:numId w:val="1055"/>
        </w:numPr>
        <w:pStyle w:val="Compact"/>
      </w:pPr>
      <w:r>
        <w:t xml:space="preserve">Reading a volatile object,</w:t>
      </w:r>
    </w:p>
    <w:p>
      <w:pPr>
        <w:numPr>
          <w:ilvl w:val="0"/>
          <w:numId w:val="1055"/>
        </w:numPr>
        <w:pStyle w:val="Compact"/>
      </w:pPr>
      <w:r>
        <w:t xml:space="preserve">Calling a library I/O function, and</w:t>
      </w:r>
    </w:p>
    <w:p>
      <w:pPr>
        <w:numPr>
          <w:ilvl w:val="0"/>
          <w:numId w:val="1055"/>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t xml:space="preserve">Avoid overloading the comma operator, as the</w:t>
      </w:r>
      <w:r>
        <w:t xml:space="preserve"> </w:t>
      </w:r>
      <w:r>
        <w:t xml:space="preserve">overloaded version has unspecified order of evaluation of its arguments.</w:t>
      </w:r>
    </w:p>
    <w:p>
      <w:pPr>
        <w:numPr>
          <w:ilvl w:val="0"/>
          <w:numId w:val="1056"/>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9"/>
        </w:numPr>
      </w:pPr>
      <w:r>
        <w:t xml:space="preserve">Simplify expressions to aid in code readability and help future maintainers understand the intent and nuances of the code. For example by,</w:t>
      </w:r>
    </w:p>
    <w:p>
      <w:pPr>
        <w:numPr>
          <w:ilvl w:val="1"/>
          <w:numId w:val="1060"/>
        </w:numPr>
        <w:pStyle w:val="Compact"/>
      </w:pPr>
      <w:r>
        <w:t xml:space="preserve">using parentheses around sub-expressions to limit precedence confusion,</w:t>
      </w:r>
    </w:p>
    <w:p>
      <w:pPr>
        <w:numPr>
          <w:ilvl w:val="1"/>
          <w:numId w:val="1060"/>
        </w:numPr>
        <w:pStyle w:val="Compact"/>
      </w:pPr>
      <w:r>
        <w:t xml:space="preserve">extracting intermediate results into const variables with a meaningful name, or</w:t>
      </w:r>
    </w:p>
    <w:p>
      <w:pPr>
        <w:numPr>
          <w:ilvl w:val="1"/>
          <w:numId w:val="1060"/>
        </w:numPr>
        <w:pStyle w:val="Compact"/>
      </w:pPr>
      <w:r>
        <w:t xml:space="preserve">extracting a subexpression into a function with a meaningful name.</w:t>
      </w:r>
    </w:p>
    <w:p>
      <w:pPr>
        <w:numPr>
          <w:ilvl w:val="0"/>
          <w:numId w:val="1059"/>
        </w:numPr>
      </w:pPr>
      <w:r>
        <w:t xml:space="preserve">Prohibit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p>
      <w:pPr>
        <w:numPr>
          <w:ilvl w:val="0"/>
          <w:numId w:val="1059"/>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Style w:val="Compact"/>
      </w:pPr>
      <w:r>
        <w:t xml:space="preserve">Apply the avoidance mechanisms of ISO/IEC 24772-1 clause 6.26.5.</w:t>
      </w:r>
    </w:p>
    <w:p>
      <w:pPr>
        <w:numPr>
          <w:ilvl w:val="0"/>
          <w:numId w:val="1061"/>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1"/>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1"/>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Apply the avoidance mechanisms of ISO/IEC 24772-1 6.36.5;</w:t>
      </w:r>
    </w:p>
    <w:p>
      <w:pPr>
        <w:numPr>
          <w:ilvl w:val="0"/>
          <w:numId w:val="1076"/>
        </w:numPr>
      </w:pPr>
      <w:r>
        <w:t xml:space="preserve">Develop an error management strategy, including:</w:t>
      </w:r>
    </w:p>
    <w:p>
      <w:pPr>
        <w:numPr>
          <w:ilvl w:val="1"/>
          <w:numId w:val="1077"/>
        </w:numPr>
        <w:pStyle w:val="Compact"/>
      </w:pPr>
      <w:r>
        <w:t xml:space="preserve">error-detection,</w:t>
      </w:r>
    </w:p>
    <w:p>
      <w:pPr>
        <w:numPr>
          <w:ilvl w:val="1"/>
          <w:numId w:val="1077"/>
        </w:numPr>
        <w:pStyle w:val="Compact"/>
      </w:pPr>
      <w:r>
        <w:t xml:space="preserve">error-reporting, and</w:t>
      </w:r>
    </w:p>
    <w:p>
      <w:pPr>
        <w:numPr>
          <w:ilvl w:val="1"/>
          <w:numId w:val="1077"/>
        </w:numPr>
        <w:pStyle w:val="Compact"/>
      </w:pPr>
      <w:r>
        <w:t xml:space="preserve">error-handling,</w:t>
      </w:r>
      <w:r>
        <w:t xml:space="preserve"> </w:t>
      </w:r>
      <w:r>
        <w:t xml:space="preserve">that, based on context, selects the most appropriate mechanism(s)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If static objects with dynamic initialization cannot be avoided, prefer function-scope static objects to namespace-scope objects.</w:t>
      </w:r>
    </w:p>
    <w:p>
      <w:pPr>
        <w:numPr>
          <w:ilvl w:val="0"/>
          <w:numId w:val="1076"/>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6"/>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8"/>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Pr>
      <w:r>
        <w:t xml:space="preserve">Follow the avoidance mechanisms of ISO/IEC 24772-1 clause 6.38.5.</w:t>
      </w:r>
    </w:p>
    <w:p>
      <w:pPr>
        <w:numPr>
          <w:ilvl w:val="0"/>
          <w:numId w:val="1079"/>
        </w:numPr>
      </w:pPr>
      <w:r>
        <w:t xml:space="preserve">Use and create value types.</w:t>
      </w:r>
    </w:p>
    <w:p>
      <w:pPr>
        <w:numPr>
          <w:ilvl w:val="0"/>
          <w:numId w:val="1079"/>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80"/>
        </w:numPr>
        <w:pStyle w:val="Compact"/>
      </w:pPr>
      <w:r>
        <w:t xml:space="preserve">when reference semantics is required, e.g., for side effects, or</w:t>
      </w:r>
    </w:p>
    <w:p>
      <w:pPr>
        <w:numPr>
          <w:ilvl w:val="1"/>
          <w:numId w:val="1080"/>
        </w:numPr>
        <w:pStyle w:val="Compact"/>
      </w:pPr>
      <w:r>
        <w:t xml:space="preserve">when copying is prohibitively expensive.</w:t>
      </w:r>
    </w:p>
    <w:p>
      <w:pPr>
        <w:numPr>
          <w:ilvl w:val="0"/>
          <w:numId w:val="1079"/>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9"/>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1"/>
        </w:numPr>
      </w:pPr>
      <w:r>
        <w:t xml:space="preserve">Apply the avoidance mechanism of ISO/IEC 24772-1:2024 6.39.5</w:t>
      </w:r>
    </w:p>
    <w:p>
      <w:pPr>
        <w:numPr>
          <w:ilvl w:val="0"/>
          <w:numId w:val="1081"/>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1"/>
        </w:numPr>
      </w:pPr>
      <w:r>
        <w:t xml:space="preserve">Avoid mixing C-based functions and C++ memory management functions.</w:t>
      </w:r>
    </w:p>
    <w:p>
      <w:pPr>
        <w:numPr>
          <w:ilvl w:val="0"/>
          <w:numId w:val="1081"/>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1"/>
        </w:numPr>
      </w:pPr>
      <w:r>
        <w:t xml:space="preserve">Prefer containers standard library containers over other forms of memory management.</w:t>
      </w:r>
    </w:p>
    <w:p>
      <w:pPr>
        <w:numPr>
          <w:ilvl w:val="0"/>
          <w:numId w:val="1081"/>
        </w:numPr>
      </w:pPr>
      <w:r>
        <w:t xml:space="preserve">Use smart pointers and their factory functions to allocate and manage heap memory.</w:t>
      </w:r>
    </w:p>
    <w:p>
      <w:pPr>
        <w:numPr>
          <w:ilvl w:val="0"/>
          <w:numId w:val="1081"/>
        </w:numPr>
      </w:pPr>
      <w:r>
        <w:t xml:space="preserve">For heap fragmentation issues, use special memory resource objects with appropriate allocation strategies.</w:t>
      </w:r>
    </w:p>
    <w:p>
      <w:pPr>
        <w:numPr>
          <w:ilvl w:val="0"/>
          <w:numId w:val="1081"/>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1"/>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1"/>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2"/>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2"/>
        </w:numPr>
        <w:pStyle w:val="Compact"/>
      </w:pPr>
      <w:r>
        <w:t xml:space="preserve">They have no runtime overhead;</w:t>
      </w:r>
    </w:p>
    <w:p>
      <w:pPr>
        <w:numPr>
          <w:ilvl w:val="0"/>
          <w:numId w:val="1082"/>
        </w:numPr>
        <w:pStyle w:val="Compact"/>
      </w:pPr>
      <w:r>
        <w:t xml:space="preserve">They do not have any implicit run-time memory usage; and</w:t>
      </w:r>
    </w:p>
    <w:p>
      <w:pPr>
        <w:numPr>
          <w:ilvl w:val="0"/>
          <w:numId w:val="1082"/>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3"/>
        </w:numPr>
      </w:pPr>
      <w:r>
        <w:t xml:space="preserve">Follow the avoidance mechanisms of ISO/IEC 24772-1 subclause 6.40.5. and the guidance provided in the different related sections of this document.</w:t>
      </w:r>
    </w:p>
    <w:p>
      <w:pPr>
        <w:numPr>
          <w:ilvl w:val="0"/>
          <w:numId w:val="1083"/>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3"/>
        </w:numPr>
      </w:pPr>
      <w:r>
        <w:t xml:space="preserve">Consider using</w:t>
      </w:r>
      <w:r>
        <w:t xml:space="preserve"> </w:t>
      </w:r>
      <w:r>
        <w:rPr>
          <w:i/>
        </w:rPr>
        <w:t xml:space="preserve">concepts</w:t>
      </w:r>
      <w:r>
        <w:t xml:space="preserve"> </w:t>
      </w:r>
      <w:r>
        <w:t xml:space="preserve">to constrain template parameters.</w:t>
      </w:r>
    </w:p>
    <w:p>
      <w:pPr>
        <w:numPr>
          <w:ilvl w:val="0"/>
          <w:numId w:val="1083"/>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3"/>
        </w:numPr>
      </w:pPr>
      <w:r>
        <w:t xml:space="preserve">Be aware that a constructor template or assignment operator function</w:t>
      </w:r>
      <w:r>
        <w:t xml:space="preserve"> </w:t>
      </w:r>
      <w:r>
        <w:t xml:space="preserve">template will not replace compiler-provided special member functions.</w:t>
      </w:r>
    </w:p>
    <w:p>
      <w:pPr>
        <w:numPr>
          <w:ilvl w:val="0"/>
          <w:numId w:val="1083"/>
        </w:numPr>
      </w:pPr>
      <w:r>
        <w:t xml:space="preserve">For generic operator functions, consider providing them as hidden</w:t>
      </w:r>
      <w:r>
        <w:t xml:space="preserve"> </w:t>
      </w:r>
      <w:r>
        <w:t xml:space="preserve">friends through mix-in class templates.</w:t>
      </w:r>
    </w:p>
    <w:p>
      <w:pPr>
        <w:numPr>
          <w:ilvl w:val="0"/>
          <w:numId w:val="1083"/>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3"/>
        </w:numPr>
      </w:pPr>
      <w:r>
        <w:t xml:space="preserve">For template specialization, ensure that specializations are declared as follows:</w:t>
      </w:r>
    </w:p>
    <w:p>
      <w:pPr>
        <w:numPr>
          <w:ilvl w:val="1"/>
          <w:numId w:val="1084"/>
        </w:numPr>
      </w:pPr>
      <w:r>
        <w:t xml:space="preserve">In the same file as the primary template; or</w:t>
      </w:r>
    </w:p>
    <w:p>
      <w:pPr>
        <w:numPr>
          <w:ilvl w:val="1"/>
          <w:numId w:val="1084"/>
        </w:numPr>
      </w:pPr>
      <w:r>
        <w:t xml:space="preserve">In the same file as the user-defined type for which the</w:t>
      </w:r>
      <w:r>
        <w:t xml:space="preserve"> </w:t>
      </w:r>
      <w:r>
        <w:t xml:space="preserve">specialization is declared.</w:t>
      </w:r>
    </w:p>
    <w:p>
      <w:pPr>
        <w:numPr>
          <w:ilvl w:val="0"/>
          <w:numId w:val="1083"/>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5"/>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5"/>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5"/>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6"/>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6"/>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6"/>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6"/>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clause 41.5.</w:t>
      </w:r>
    </w:p>
    <w:p>
      <w:pPr>
        <w:numPr>
          <w:ilvl w:val="0"/>
          <w:numId w:val="1087"/>
        </w:numPr>
        <w:pStyle w:val="Compact"/>
      </w:pPr>
      <w:r>
        <w:t xml:space="preserve">Avoid multiple inheritance.</w:t>
      </w:r>
    </w:p>
    <w:p>
      <w:pPr>
        <w:numPr>
          <w:ilvl w:val="0"/>
          <w:numId w:val="1087"/>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7"/>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7"/>
        </w:numPr>
        <w:pStyle w:val="Compact"/>
      </w:pPr>
      <w:r>
        <w:t xml:space="preserve">Prefer composition over inheritance.</w:t>
      </w:r>
    </w:p>
    <w:p>
      <w:pPr>
        <w:numPr>
          <w:ilvl w:val="0"/>
          <w:numId w:val="1087"/>
        </w:numPr>
        <w:pStyle w:val="Compact"/>
      </w:pPr>
      <w:r>
        <w:t xml:space="preserve">Keep inheritance hierarchies shallow.</w:t>
      </w:r>
    </w:p>
    <w:p>
      <w:pPr>
        <w:numPr>
          <w:ilvl w:val="0"/>
          <w:numId w:val="1087"/>
        </w:numPr>
        <w:pStyle w:val="Compact"/>
      </w:pPr>
      <w:r>
        <w:t xml:space="preserve">Avoid the use of virtual member functions unless unbounded run-time polymorphism can be justified.</w:t>
      </w:r>
    </w:p>
    <w:p>
      <w:pPr>
        <w:numPr>
          <w:ilvl w:val="0"/>
          <w:numId w:val="1087"/>
        </w:numPr>
        <w:pStyle w:val="Compact"/>
      </w:pPr>
      <w:r>
        <w:t xml:space="preserve">If a class has any virtual functions, ensure it has a virtual destructor.</w:t>
      </w:r>
    </w:p>
    <w:p>
      <w:pPr>
        <w:numPr>
          <w:ilvl w:val="0"/>
          <w:numId w:val="1087"/>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7"/>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7"/>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7"/>
        </w:numPr>
        <w:pStyle w:val="Compact"/>
      </w:pPr>
      <w:r>
        <w:t xml:space="preserve">Do not assume that a private virtual function cannot be overridden.</w:t>
      </w:r>
    </w:p>
    <w:p>
      <w:pPr>
        <w:numPr>
          <w:ilvl w:val="0"/>
          <w:numId w:val="1087"/>
        </w:numPr>
        <w:pStyle w:val="Compact"/>
      </w:pPr>
      <w:r>
        <w:t xml:space="preserve">Consider using fully-qualified names to address members of a base class.</w:t>
      </w:r>
    </w:p>
    <w:p>
      <w:pPr>
        <w:numPr>
          <w:ilvl w:val="0"/>
          <w:numId w:val="1087"/>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7"/>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7"/>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7"/>
        </w:numPr>
        <w:pStyle w:val="Compact"/>
      </w:pPr>
      <w:r>
        <w:t xml:space="preserve">Prohibit mixing virtual and non-virtual inheritance of the same base class in a hierarchy.</w:t>
      </w:r>
    </w:p>
    <w:p>
      <w:pPr>
        <w:numPr>
          <w:ilvl w:val="0"/>
          <w:numId w:val="1087"/>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7"/>
        </w:numPr>
        <w:pStyle w:val="Compact"/>
      </w:pPr>
      <w:r>
        <w:t xml:space="preserve">Use static analysis tools, including compilers from different sources, to:</w:t>
      </w:r>
    </w:p>
    <w:p>
      <w:pPr>
        <w:numPr>
          <w:ilvl w:val="1"/>
          <w:numId w:val="1088"/>
        </w:numPr>
        <w:pStyle w:val="Compact"/>
      </w:pPr>
      <w:r>
        <w:t xml:space="preserve">detect hiding of member names in virtual base classes, and</w:t>
      </w:r>
    </w:p>
    <w:p>
      <w:pPr>
        <w:numPr>
          <w:ilvl w:val="1"/>
          <w:numId w:val="1088"/>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9"/>
        </w:numPr>
      </w:pPr>
      <w:r>
        <w:t xml:space="preserve">Apply the avoidance mechanisms of ISO/IEC 24772-1 6.42.5</w:t>
      </w:r>
    </w:p>
    <w:p>
      <w:pPr>
        <w:numPr>
          <w:ilvl w:val="0"/>
          <w:numId w:val="1089"/>
        </w:numPr>
      </w:pPr>
      <w:r>
        <w:t xml:space="preserve">Use static analysis tools that identify violations of preconditions and postconditions.</w:t>
      </w:r>
    </w:p>
    <w:p>
      <w:pPr>
        <w:numPr>
          <w:ilvl w:val="0"/>
          <w:numId w:val="1089"/>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90"/>
        </w:numPr>
      </w:pPr>
      <w:r>
        <w:t xml:space="preserve">At a call site, consider whether virtual dispatch is desired: if</w:t>
      </w:r>
      <w:r>
        <w:t xml:space="preserve"> </w:t>
      </w:r>
      <w:r>
        <w:t xml:space="preserve">not, construct the call using the qualified name.</w:t>
      </w:r>
    </w:p>
    <w:p>
      <w:pPr>
        <w:numPr>
          <w:ilvl w:val="0"/>
          <w:numId w:val="1090"/>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1"/>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1"/>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1"/>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1"/>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2"/>
        </w:numPr>
      </w:pPr>
      <w:r>
        <w:t xml:space="preserve">are the only ones that can be performed implicitly</w:t>
      </w:r>
    </w:p>
    <w:p>
      <w:pPr>
        <w:numPr>
          <w:ilvl w:val="0"/>
          <w:numId w:val="1092"/>
        </w:numPr>
      </w:pPr>
      <w:r>
        <w:t xml:space="preserve">can cause object slicing</w:t>
      </w:r>
      <w:r>
        <w:t xml:space="preserve"> </w:t>
      </w:r>
      <w:r>
        <w:t xml:space="preserve">when a copy of a base class object is created from a derived class object.</w:t>
      </w:r>
    </w:p>
    <w:p>
      <w:pPr>
        <w:numPr>
          <w:ilvl w:val="0"/>
          <w:numId w:val="1092"/>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3"/>
        </w:numPr>
      </w:pPr>
      <w:r>
        <w:t xml:space="preserve">are explicit;</w:t>
      </w:r>
    </w:p>
    <w:p>
      <w:pPr>
        <w:numPr>
          <w:ilvl w:val="0"/>
          <w:numId w:val="1093"/>
        </w:numPr>
      </w:pPr>
      <w:r>
        <w:t xml:space="preserve">can be done safely with</w:t>
      </w:r>
      <w:r>
        <w:t xml:space="preserve"> </w:t>
      </w:r>
      <w:r>
        <w:rPr>
          <w:rStyle w:val="KeywordTok"/>
        </w:rPr>
        <w:t xml:space="preserve">dynamic_cast</w:t>
      </w:r>
    </w:p>
    <w:p>
      <w:pPr>
        <w:numPr>
          <w:ilvl w:val="0"/>
          <w:numId w:val="1093"/>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4"/>
        </w:numPr>
      </w:pPr>
      <w:r>
        <w:t xml:space="preserve">are explicit</w:t>
      </w:r>
    </w:p>
    <w:p>
      <w:pPr>
        <w:numPr>
          <w:ilvl w:val="0"/>
          <w:numId w:val="1094"/>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4"/>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5"/>
        </w:numPr>
      </w:pPr>
      <w:r>
        <w:t xml:space="preserve">Follow the avoidance mechanisms of ISO/IEC 24772-1 clause 6.44.5.</w:t>
      </w:r>
    </w:p>
    <w:p>
      <w:pPr>
        <w:numPr>
          <w:ilvl w:val="0"/>
          <w:numId w:val="1095"/>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5"/>
        </w:numPr>
      </w:pPr>
      <w:r>
        <w:t xml:space="preserve">Avoid designs relying on downcasts or crosscasts;</w:t>
      </w:r>
      <w:r>
        <w:t xml:space="preserve"> </w:t>
      </w:r>
      <w:r>
        <w:t xml:space="preserve">rely on proper virtual member functions in the base classes instead.</w:t>
      </w:r>
    </w:p>
    <w:p>
      <w:pPr>
        <w:numPr>
          <w:ilvl w:val="0"/>
          <w:numId w:val="1095"/>
        </w:numPr>
      </w:pPr>
      <w:r>
        <w:t xml:space="preserve">Avoid explicit upcast, rely on implicit conversion.</w:t>
      </w:r>
    </w:p>
    <w:p>
      <w:pPr>
        <w:numPr>
          <w:ilvl w:val="0"/>
          <w:numId w:val="1095"/>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5"/>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5"/>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5"/>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6"/>
        </w:numPr>
        <w:pStyle w:val="Compact"/>
      </w:pPr>
      <w:r>
        <w:t xml:space="preserve">Prohibit identifiers containing a double underscore</w:t>
      </w:r>
      <w:r>
        <w:t xml:space="preserve"> </w:t>
      </w:r>
      <w:r>
        <w:rPr>
          <w:rStyle w:val="VerbatimChar"/>
        </w:rPr>
        <w:t xml:space="preserve">__</w:t>
      </w:r>
      <w:r>
        <w:t xml:space="preserve">.</w:t>
      </w:r>
    </w:p>
    <w:p>
      <w:pPr>
        <w:numPr>
          <w:ilvl w:val="0"/>
          <w:numId w:val="1096"/>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6"/>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6"/>
        </w:numPr>
        <w:pStyle w:val="Compact"/>
      </w:pPr>
      <w:r>
        <w:t xml:space="preserve">Prohibit the declaration of names in reserved namespaces.</w:t>
      </w:r>
    </w:p>
    <w:p>
      <w:pPr>
        <w:numPr>
          <w:ilvl w:val="0"/>
          <w:numId w:val="1096"/>
        </w:numPr>
        <w:pStyle w:val="Compact"/>
      </w:pPr>
      <w:r>
        <w:t xml:space="preserve">Prohibit the specialization of a restricted template.</w:t>
      </w:r>
    </w:p>
    <w:p>
      <w:pPr>
        <w:numPr>
          <w:ilvl w:val="0"/>
          <w:numId w:val="1096"/>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7"/>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 clause 6.47.5</w:t>
      </w:r>
    </w:p>
    <w:p>
      <w:pPr>
        <w:numPr>
          <w:ilvl w:val="0"/>
          <w:numId w:val="1098"/>
        </w:numPr>
      </w:pPr>
      <w:r>
        <w:t xml:space="preserve">Use standard layout types for interoperable interfaces.</w:t>
      </w:r>
    </w:p>
    <w:p>
      <w:pPr>
        <w:numPr>
          <w:ilvl w:val="0"/>
          <w:numId w:val="1098"/>
        </w:numPr>
      </w:pPr>
      <w:r>
        <w:t xml:space="preserve">Use language linkage facilities that support the languages being used.</w:t>
      </w:r>
    </w:p>
    <w:p>
      <w:pPr>
        <w:numPr>
          <w:ilvl w:val="0"/>
          <w:numId w:val="1098"/>
        </w:numPr>
      </w:pPr>
      <w:r>
        <w:t xml:space="preserve">Be aware that the static initialization phase and dynamic</w:t>
      </w:r>
      <w:r>
        <w:t xml:space="preserve"> </w:t>
      </w:r>
      <w:r>
        <w:t xml:space="preserve">initialization for every language system are required before the</w:t>
      </w:r>
      <w:r>
        <w:t xml:space="preserve"> </w:t>
      </w:r>
      <w:r>
        <w:t xml:space="preserve">system begins execution.</w:t>
      </w:r>
    </w:p>
    <w:p>
      <w:pPr>
        <w:numPr>
          <w:ilvl w:val="0"/>
          <w:numId w:val="1098"/>
        </w:numPr>
      </w:pPr>
      <w:r>
        <w:t xml:space="preserve">Be aware that C++ exceptions are not usually compatible with</w:t>
      </w:r>
      <w:r>
        <w:t xml:space="preserve"> </w:t>
      </w:r>
      <w:r>
        <w:t xml:space="preserve">exceptions in other languages.</w:t>
      </w:r>
    </w:p>
    <w:p>
      <w:pPr>
        <w:numPr>
          <w:ilvl w:val="0"/>
          <w:numId w:val="1098"/>
        </w:numPr>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applies to C++. 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Follow the avoidance mechanisms of ISO/IEC 24772-1 clause 6.48.5 and ISO/IEC 24772-3 clause 6.48.2.</w:t>
      </w:r>
    </w:p>
    <w:p>
      <w:pPr>
        <w:numPr>
          <w:ilvl w:val="0"/>
          <w:numId w:val="1099"/>
        </w:numPr>
        <w:pStyle w:val="Compact"/>
      </w:pPr>
      <w:r>
        <w:t xml:space="preserve">Follow the avoidance mechanisms of 6.11.2 Pointer type conversions [HFC].</w:t>
      </w:r>
    </w:p>
    <w:p>
      <w:pPr>
        <w:numPr>
          <w:ilvl w:val="0"/>
          <w:numId w:val="1099"/>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clause 6.49</w:t>
      </w:r>
      <w:r>
        <w:t xml:space="preserve"> </w:t>
      </w:r>
      <w:r>
        <w:t xml:space="preserve">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0"/>
        </w:numPr>
      </w:pPr>
      <w:r>
        <w:t xml:space="preserve">Follow the avoidance mechanisms of ISO/IEC 24772-1 clause 6.49.5.</w:t>
      </w:r>
    </w:p>
    <w:p>
      <w:pPr>
        <w:numPr>
          <w:ilvl w:val="0"/>
          <w:numId w:val="1100"/>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2" w:name="X165926c342ab175b2667683b6cb7551fc7b18d8"/>
    <w:p>
      <w:pPr>
        <w:pStyle w:val="Heading2"/>
      </w:pPr>
      <w:r>
        <w:t xml:space="preserve">6.50. Unanticipated Exceptions from Library Routines [HJW]</w:t>
      </w:r>
    </w:p>
    <w:bookmarkStart w:id="190" w:name="applicability-to-language"/>
    <w:p>
      <w:pPr>
        <w:pStyle w:val="Heading3"/>
      </w:pPr>
      <w:r>
        <w:t xml:space="preserve">6.50.1 Applicability to language</w:t>
      </w:r>
    </w:p>
    <w:p>
      <w:pPr>
        <w:pStyle w:val="FirstParagraph"/>
      </w:pPr>
      <w:r>
        <w:t xml:space="preserve">The vulnerability as documented in ISO IEC 24772-1:2019 clause 6.50</w:t>
      </w:r>
      <w:r>
        <w:t xml:space="preserve"> </w:t>
      </w:r>
      <w:r>
        <w:t xml:space="preserve">exists for C++. C++ supports both the exception mechanism and the error return mechanism.</w:t>
      </w:r>
      <w:r>
        <w:t xml:space="preserve"> </w:t>
      </w:r>
      <w:r>
        <w:t xml:space="preserve">This clause assumes that any exceptions thrown by an external library are compatible with C++, otherwise the result is undefined.</w:t>
      </w:r>
    </w:p>
    <w:p>
      <w:pPr>
        <w:pStyle w:val="BodyText"/>
      </w:pPr>
      <w:r>
        <w:t xml:space="preserve">When calling a function from a library whose source code is not visible, an</w:t>
      </w:r>
      <w:r>
        <w:t xml:space="preserve"> </w:t>
      </w:r>
      <w:r>
        <w:t xml:space="preserve">unknown exception can be thrown.</w:t>
      </w:r>
      <w:r>
        <w:t xml:space="preserve"> </w:t>
      </w:r>
      <w:r>
        <w:t xml:space="preserve">For such cases, the exception thrown from such a function is guaranteed</w:t>
      </w:r>
      <w:r>
        <w:t xml:space="preserve"> </w:t>
      </w:r>
      <w:r>
        <w:t xml:space="preserve">to be caught by</w:t>
      </w:r>
      <w:r>
        <w:t xml:space="preserve"> </w:t>
      </w:r>
      <w:r>
        <w:rPr>
          <w:rStyle w:val="ControlFlowTok"/>
        </w:rPr>
        <w:t xml:space="preserve">catch</w:t>
      </w:r>
      <w:r>
        <w:rPr>
          <w:rStyle w:val="NormalTok"/>
        </w:rPr>
        <w:t xml:space="preserve">(...)</w:t>
      </w:r>
      <w:r>
        <w:t xml:space="preserve">. See</w:t>
      </w:r>
      <w:r>
        <w:t xml:space="preserve"> </w:t>
      </w:r>
      <w:bookmarkStart w:id="189" w:name="OYB"/>
      <w:r>
        <w:t xml:space="preserve">Ignored Error Status and Unhandled Exceptions</w:t>
      </w:r>
      <w:r>
        <w:t xml:space="preserve"> </w:t>
      </w:r>
      <w:r>
        <w:t xml:space="preserve">[OYB]</w:t>
      </w:r>
      <w:bookmarkEnd w:id="189"/>
      <w:r>
        <w:t xml:space="preserve">.</w:t>
      </w:r>
    </w:p>
    <w:bookmarkEnd w:id="190"/>
    <w:bookmarkStart w:id="191"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 IEC 24772-1 6.50.</w:t>
      </w:r>
    </w:p>
    <w:p>
      <w:pPr>
        <w:numPr>
          <w:ilvl w:val="0"/>
          <w:numId w:val="1101"/>
        </w:numPr>
      </w:pPr>
      <w:r>
        <w:t xml:space="preserve">Apply the avoidance mechanisms of clause 6.36.2 for catching and handling</w:t>
      </w:r>
      <w:r>
        <w:t xml:space="preserve"> </w:t>
      </w:r>
      <w:r>
        <w:t xml:space="preserve">exceptions.</w:t>
      </w:r>
    </w:p>
    <w:p>
      <w:pPr>
        <w:numPr>
          <w:ilvl w:val="0"/>
          <w:numId w:val="1101"/>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1"/>
    <w:bookmarkEnd w:id="192"/>
    <w:bookmarkStart w:id="195" w:name="NMP"/>
    <w:p>
      <w:pPr>
        <w:pStyle w:val="Heading2"/>
      </w:pPr>
      <w:r>
        <w:t xml:space="preserve">6.51 Pre-processor Directives [NMP]</w:t>
      </w:r>
    </w:p>
    <w:bookmarkStart w:id="193"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bookmarkEnd w:id="193"/>
    <w:bookmarkStart w:id="19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2"/>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3"/>
        </w:numPr>
        <w:pStyle w:val="Compact"/>
      </w:pPr>
      <w:r>
        <w:t xml:space="preserve">its parameters and body are parenthesized;</w:t>
      </w:r>
    </w:p>
    <w:p>
      <w:pPr>
        <w:numPr>
          <w:ilvl w:val="1"/>
          <w:numId w:val="1103"/>
        </w:numPr>
        <w:pStyle w:val="Compact"/>
      </w:pPr>
      <w:r>
        <w:t xml:space="preserve">each argument is evaluated at most once;</w:t>
      </w:r>
    </w:p>
    <w:p>
      <w:pPr>
        <w:numPr>
          <w:ilvl w:val="1"/>
          <w:numId w:val="1103"/>
        </w:numPr>
        <w:pStyle w:val="Compact"/>
      </w:pPr>
      <w:r>
        <w:t xml:space="preserve">the replaced code does not have side effects.</w:t>
      </w:r>
    </w:p>
    <w:p>
      <w:pPr>
        <w:numPr>
          <w:ilvl w:val="0"/>
          <w:numId w:val="1102"/>
        </w:numPr>
      </w:pPr>
      <w:r>
        <w:t xml:space="preserve">Ensure that arguments to function-like macros do not resemble a preprocessing directive.</w:t>
      </w:r>
    </w:p>
    <w:p>
      <w:pPr>
        <w:numPr>
          <w:ilvl w:val="0"/>
          <w:numId w:val="1102"/>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2"/>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2"/>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2"/>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2"/>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2"/>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bookmarkEnd w:id="194"/>
    <w:bookmarkEnd w:id="195"/>
    <w:bookmarkStart w:id="198" w:name="Xe4ed1f6d7e7049a22cf11fb58e9b78561722b0b"/>
    <w:p>
      <w:pPr>
        <w:pStyle w:val="Heading2"/>
      </w:pPr>
      <w:r>
        <w:t xml:space="preserve">6.52 Suppression of Language-defined Run-time Checking [MXB]</w:t>
      </w:r>
    </w:p>
    <w:bookmarkStart w:id="196"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TR 24772-1:2019 clause 6.52 does not apply to C++, because there is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6"/>
    <w:bookmarkStart w:id="197"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clause 6.52.5.</w:t>
      </w:r>
    </w:p>
    <w:bookmarkEnd w:id="197"/>
    <w:bookmarkEnd w:id="198"/>
    <w:bookmarkStart w:id="201" w:name="X2e6df9becdc68c65fdb33865090fafdb8a33550"/>
    <w:p>
      <w:pPr>
        <w:pStyle w:val="Heading2"/>
      </w:pPr>
      <w:r>
        <w:t xml:space="preserve">6.53 Provision of Inherently Unsafe Operations [SKL]</w:t>
      </w:r>
    </w:p>
    <w:bookmarkStart w:id="199" w:name="applicability-to-language"/>
    <w:p>
      <w:pPr>
        <w:pStyle w:val="Heading3"/>
      </w:pPr>
      <w:r>
        <w:t xml:space="preserve">6.53.1 Applicability to language</w:t>
      </w:r>
    </w:p>
    <w:p>
      <w:pPr>
        <w:pStyle w:val="FirstParagraph"/>
      </w:pPr>
      <w:r>
        <w:t xml:space="preserve">The vulnerability as described in ISO/IEC 24772-1:2019 clause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199"/>
    <w:bookmarkStart w:id="200"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and ISO/IEC TR 24772-3:2020 clause 6.53.5.</w:t>
      </w:r>
    </w:p>
    <w:p>
      <w:pPr>
        <w:numPr>
          <w:ilvl w:val="0"/>
          <w:numId w:val="1104"/>
        </w:numPr>
      </w:pPr>
      <w:r>
        <w:t xml:space="preserve">Enable checks that warn about unsafe operations.</w:t>
      </w:r>
    </w:p>
    <w:p>
      <w:pPr>
        <w:numPr>
          <w:ilvl w:val="0"/>
          <w:numId w:val="1104"/>
        </w:numPr>
      </w:pPr>
      <w:r>
        <w:t xml:space="preserve">Apply static analysis tools to detect unsafe constructs.</w:t>
      </w:r>
    </w:p>
    <w:bookmarkEnd w:id="200"/>
    <w:bookmarkEnd w:id="201"/>
    <w:bookmarkStart w:id="204" w:name="BRS"/>
    <w:p>
      <w:pPr>
        <w:pStyle w:val="Heading2"/>
      </w:pPr>
      <w:r>
        <w:t xml:space="preserve">6.54 Obscure Language Features [BRS]</w:t>
      </w:r>
    </w:p>
    <w:bookmarkStart w:id="202" w:name="applicability-of-language"/>
    <w:p>
      <w:pPr>
        <w:pStyle w:val="Heading3"/>
      </w:pPr>
      <w:r>
        <w:t xml:space="preserve">6.54.1 Applicability of language</w:t>
      </w:r>
    </w:p>
    <w:p>
      <w:pPr>
        <w:pStyle w:val="FirstParagraph"/>
      </w:pPr>
      <w:r>
        <w:t xml:space="preserve">The vulnerability as described in ISO/IEC 24772-1 clause 6.54</w:t>
      </w:r>
      <w:r>
        <w:t xml:space="preserve"> </w:t>
      </w:r>
      <w:r>
        <w:t xml:space="preserve">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2"/>
    <w:bookmarkStart w:id="203"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clause 6.54.5.</w:t>
      </w:r>
      <w:r>
        <w:t xml:space="preserve"> </w:t>
      </w:r>
      <w:r>
        <w:t xml:space="preserve">- Use static analysis tools, including multiple compilers from different sources and with appropriate levels of checking to help identify occurrences of obscure language features.</w:t>
      </w:r>
    </w:p>
    <w:bookmarkEnd w:id="203"/>
    <w:bookmarkEnd w:id="204"/>
    <w:bookmarkStart w:id="207" w:name="unspecified-behaviour-bqf"/>
    <w:p>
      <w:pPr>
        <w:pStyle w:val="Heading2"/>
      </w:pPr>
      <w:r>
        <w:t xml:space="preserve">6.55 Unspecified Behaviour [BQF]</w:t>
      </w:r>
    </w:p>
    <w:bookmarkStart w:id="205" w:name="applicability-of-language"/>
    <w:p>
      <w:pPr>
        <w:pStyle w:val="Heading3"/>
      </w:pPr>
      <w:r>
        <w:t xml:space="preserve">6.55.1 Applicability of language</w:t>
      </w:r>
    </w:p>
    <w:p>
      <w:pPr>
        <w:pStyle w:val="FirstParagraph"/>
      </w:pPr>
      <w:r>
        <w:t xml:space="preserve">The vulnerability as described in ISO/IEC 24772-1:2019 clause 6.55</w:t>
      </w:r>
      <w:r>
        <w:t xml:space="preserve"> </w:t>
      </w:r>
      <w:r>
        <w:t xml:space="preserve">applies to C++.</w:t>
      </w:r>
    </w:p>
    <w:p>
      <w:pPr>
        <w:pStyle w:val="BodyText"/>
      </w:pPr>
      <w:r>
        <w:t xml:space="preserve">In the following example, the value of</w:t>
      </w:r>
      <w:r>
        <w:t xml:space="preserve"> </w:t>
      </w:r>
      <w:r>
        <w:rPr>
          <w:rStyle w:val="NormalTok"/>
        </w:rPr>
        <w:t xml:space="preserve">size</w:t>
      </w:r>
      <w:r>
        <w:t xml:space="preserve"> </w:t>
      </w:r>
      <w:r>
        <w:t xml:space="preserve">can be different than the length of</w:t>
      </w:r>
      <w:r>
        <w:t xml:space="preserve"> </w:t>
      </w:r>
      <w:r>
        <w:rPr>
          <w:rStyle w:val="NormalTok"/>
        </w:rPr>
        <w:t xml:space="preserve">data</w:t>
      </w:r>
      <w:r>
        <w:t xml:space="preserve"> </w:t>
      </w:r>
      <w:r>
        <w:t xml:space="preserve">because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bookmarkEnd w:id="205"/>
    <w:bookmarkStart w:id="206"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 clause 6.55.5.</w:t>
      </w:r>
    </w:p>
    <w:p>
      <w:pPr>
        <w:numPr>
          <w:ilvl w:val="0"/>
          <w:numId w:val="1105"/>
        </w:numPr>
      </w:pPr>
      <w:r>
        <w:t xml:space="preserve">Use static analysis tools and multiple compilers/tools from different sources to help identify occurrences of unspecified behaviour.</w:t>
      </w:r>
    </w:p>
    <w:bookmarkEnd w:id="206"/>
    <w:bookmarkEnd w:id="207"/>
    <w:bookmarkStart w:id="210" w:name="EWF"/>
    <w:p>
      <w:pPr>
        <w:pStyle w:val="Heading2"/>
      </w:pPr>
      <w:r>
        <w:t xml:space="preserve">6.56 Undefined Behaviour [EWF]</w:t>
      </w:r>
    </w:p>
    <w:bookmarkStart w:id="208" w:name="applicability-to-language"/>
    <w:p>
      <w:pPr>
        <w:pStyle w:val="Heading3"/>
      </w:pPr>
      <w:r>
        <w:t xml:space="preserve">6.56.1 Applicability to language</w:t>
      </w:r>
    </w:p>
    <w:p>
      <w:pPr>
        <w:pStyle w:val="FirstParagraph"/>
      </w:pPr>
      <w:r>
        <w:t xml:space="preserve">The vulnerability as described in ISO/IEC 24772-1 clause 6.56</w:t>
      </w:r>
      <w:r>
        <w:t xml:space="preserve"> </w:t>
      </w:r>
      <w:r>
        <w:t xml:space="preserve">applies to C++. 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w:t>
      </w:r>
      <w:r>
        <w:t xml:space="preserve"> </w:t>
      </w:r>
      <w:r>
        <w:t xml:space="preserve">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UB often appears to work correctly but masks situations that can result in serious consequences, for example:</w:t>
      </w:r>
    </w:p>
    <w:p>
      <w:pPr>
        <w:numPr>
          <w:ilvl w:val="0"/>
          <w:numId w:val="1106"/>
        </w:numPr>
        <w:pStyle w:val="Compact"/>
      </w:pPr>
      <w:r>
        <w:t xml:space="preserve">Compilers optimize based on the assemed lack of UB, that can result in the incorrect pruning of code paths</w:t>
      </w:r>
    </w:p>
    <w:p>
      <w:pPr>
        <w:numPr>
          <w:ilvl w:val="0"/>
          <w:numId w:val="1106"/>
        </w:numPr>
        <w:pStyle w:val="Compact"/>
      </w:pPr>
      <w:r>
        <w:t xml:space="preserve">Compiler (or tool chain) changes or updates can result in previously undetected UB’s being manifested with serious consequences.</w:t>
      </w:r>
    </w:p>
    <w:p>
      <w:pPr>
        <w:numPr>
          <w:ilvl w:val="0"/>
          <w:numId w:val="1106"/>
        </w:numPr>
        <w:pStyle w:val="Compact"/>
      </w:pPr>
      <w:r>
        <w:t xml:space="preserve">If the impact of a UB is the overwriting of some memory location, non-obvious changes to the source code can result in a previously benign action now having serious consequences.</w:t>
      </w:r>
    </w:p>
    <w:p>
      <w:pPr>
        <w:numPr>
          <w:ilvl w:val="0"/>
          <w:numId w:val="1106"/>
        </w:numPr>
        <w:pStyle w:val="Compact"/>
      </w:pPr>
      <w:r>
        <w:t xml:space="preserve">The impact of the UB often depends on additional factors, for example the available capacity of a container decides if memory needs to be reallocated.</w:t>
      </w:r>
    </w:p>
    <w:p>
      <w:pPr>
        <w:pStyle w:val="FirstParagraph"/>
      </w:pPr>
      <w:r>
        <w:t xml:space="preserve">Undefined behaviour often manifests in code distant from where the UB occured, resulting in extremely hard to find bug.</w:t>
      </w:r>
      <w:r>
        <w:t xml:space="preserve"> </w:t>
      </w:r>
      <w:r>
        <w:t xml:space="preserve">Therfore,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8"/>
    <w:bookmarkStart w:id="209"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7"/>
        </w:numPr>
      </w:pPr>
      <w:r>
        <w:t xml:space="preserve">Follow the avoidance mechanisms of ISO/IEC 24772-1 clause 6.56.5.</w:t>
      </w:r>
    </w:p>
    <w:p>
      <w:pPr>
        <w:numPr>
          <w:ilvl w:val="0"/>
          <w:numId w:val="1107"/>
        </w:numPr>
      </w:pPr>
      <w:r>
        <w:t xml:space="preserve">Exploit compile-time evaluation whenever possible to detect undefined behaviour.</w:t>
      </w:r>
    </w:p>
    <w:p>
      <w:pPr>
        <w:numPr>
          <w:ilvl w:val="0"/>
          <w:numId w:val="1107"/>
        </w:numPr>
      </w:pPr>
      <w:r>
        <w:t xml:space="preserve">Use static analysis tools to help identify occurrences and consequences of undefined behaviour.</w:t>
      </w:r>
    </w:p>
    <w:p>
      <w:pPr>
        <w:numPr>
          <w:ilvl w:val="0"/>
          <w:numId w:val="1107"/>
        </w:numPr>
      </w:pPr>
      <w:r>
        <w:t xml:space="preserve">Use runtime tools such as ASAN (address sanitizer) and related tools.</w:t>
      </w:r>
    </w:p>
    <w:p>
      <w:pPr>
        <w:numPr>
          <w:ilvl w:val="0"/>
          <w:numId w:val="1107"/>
        </w:numPr>
      </w:pPr>
      <w:r>
        <w:t xml:space="preserve">Use multiple compilers/tools and different optimization levels to</w:t>
      </w:r>
      <w:r>
        <w:t xml:space="preserve"> </w:t>
      </w:r>
      <w:r>
        <w:t xml:space="preserve">increase the chance of identifying constructs that have undefined</w:t>
      </w:r>
      <w:r>
        <w:t xml:space="preserve"> </w:t>
      </w:r>
      <w:r>
        <w:t xml:space="preserve">behaviours.</w:t>
      </w:r>
    </w:p>
    <w:p>
      <w:pPr>
        <w:numPr>
          <w:ilvl w:val="0"/>
          <w:numId w:val="1107"/>
        </w:numPr>
      </w:pPr>
      <w:r>
        <w:t xml:space="preserve">Where the C++ language or library provide both defined behaviour mechanisms and</w:t>
      </w:r>
      <w:r>
        <w:t xml:space="preserve"> </w:t>
      </w:r>
      <w:r>
        <w:t xml:space="preserve">undefined behaviour mechanisms, mandate the use the mechanisms with</w:t>
      </w:r>
      <w:r>
        <w:t xml:space="preserve"> </w:t>
      </w:r>
      <w:r>
        <w:t xml:space="preserve">defined behaviours.</w:t>
      </w:r>
    </w:p>
    <w:p>
      <w:pPr>
        <w:numPr>
          <w:ilvl w:val="0"/>
          <w:numId w:val="1107"/>
        </w:numPr>
      </w:pPr>
      <w:r>
        <w:t xml:space="preserve">Explicitly test or use assertions for situations that can cause undefined behaviour.</w:t>
      </w:r>
    </w:p>
    <w:bookmarkEnd w:id="209"/>
    <w:bookmarkEnd w:id="210"/>
    <w:bookmarkStart w:id="213" w:name="implementation-defined-behaviour-fab"/>
    <w:p>
      <w:pPr>
        <w:pStyle w:val="Heading2"/>
      </w:pPr>
      <w:r>
        <w:t xml:space="preserve">6.57 Implementation-defined Behaviour [FAB]</w:t>
      </w:r>
    </w:p>
    <w:bookmarkStart w:id="211" w:name="applicability-to-language"/>
    <w:p>
      <w:pPr>
        <w:pStyle w:val="Heading3"/>
      </w:pPr>
      <w:r>
        <w:t xml:space="preserve">6.57.1 Applicability to language</w:t>
      </w:r>
    </w:p>
    <w:p>
      <w:pPr>
        <w:pStyle w:val="FirstParagraph"/>
      </w:pPr>
      <w:r>
        <w:t xml:space="preserve">The vulnerability as described in ISO/IEC 24772-1:2019 clause 6.57</w:t>
      </w:r>
      <w:r>
        <w:t xml:space="preserve"> </w:t>
      </w:r>
      <w:r>
        <w:t xml:space="preserve">applies to C++. In ISO/IEC 14882, the term</w:t>
      </w:r>
      <w:r>
        <w:t xml:space="preserve"> </w:t>
      </w:r>
      <w:r>
        <w:t xml:space="preserve">“</w:t>
      </w:r>
      <w:r>
        <w:t xml:space="preserve">implementation-defined</w:t>
      </w:r>
      <w:r>
        <w:t xml:space="preserve">”</w:t>
      </w:r>
      <w:r>
        <w:t xml:space="preserve"> </w:t>
      </w:r>
      <w:r>
        <w:t xml:space="preserve">is used to describe implementation-defined behaviour. In addition, the</w:t>
      </w:r>
      <w:r>
        <w:t xml:space="preserve"> </w:t>
      </w:r>
      <w:r>
        <w:t xml:space="preserve">C++ standard provides a dedicated index titled,</w:t>
      </w:r>
      <w:r>
        <w:t xml:space="preserve"> </w:t>
      </w:r>
      <w:r>
        <w:t xml:space="preserve">“</w:t>
      </w:r>
      <w:r>
        <w:t xml:space="preserve">Index of</w:t>
      </w:r>
      <w:r>
        <w:t xml:space="preserve"> </w:t>
      </w:r>
      <w:r>
        <w:t xml:space="preserve">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8"/>
        </w:numPr>
      </w:pPr>
      <w:r>
        <w:t xml:space="preserve">A given implementation may change or remove an implementation-defined behaviour; and</w:t>
      </w:r>
    </w:p>
    <w:p>
      <w:pPr>
        <w:numPr>
          <w:ilvl w:val="0"/>
          <w:numId w:val="1108"/>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1"/>
    <w:bookmarkStart w:id="212"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6.57.5.</w:t>
      </w:r>
    </w:p>
    <w:p>
      <w:pPr>
        <w:numPr>
          <w:ilvl w:val="0"/>
          <w:numId w:val="1109"/>
        </w:numPr>
      </w:pPr>
      <w:r>
        <w:t xml:space="preserve">Eliminate to the extent possible any reliance on</w:t>
      </w:r>
      <w:r>
        <w:t xml:space="preserve"> </w:t>
      </w:r>
      <w:r>
        <w:t xml:space="preserve">implementation-defined behaviour from programs in order to increase</w:t>
      </w:r>
      <w:r>
        <w:t xml:space="preserve"> </w:t>
      </w:r>
      <w:r>
        <w:t xml:space="preserve">portability.</w:t>
      </w:r>
    </w:p>
    <w:p>
      <w:pPr>
        <w:numPr>
          <w:ilvl w:val="0"/>
          <w:numId w:val="1109"/>
        </w:numPr>
      </w:pPr>
      <w:r>
        <w:t xml:space="preserve">Use multiple compilers/tools to increase the likelyhood of identifying</w:t>
      </w:r>
      <w:r>
        <w:t xml:space="preserve"> </w:t>
      </w:r>
      <w:r>
        <w:t xml:space="preserve">constructs that have implementation-defined behaviours.</w:t>
      </w:r>
    </w:p>
    <w:p>
      <w:pPr>
        <w:numPr>
          <w:ilvl w:val="0"/>
          <w:numId w:val="1109"/>
        </w:numPr>
      </w:pPr>
      <w:r>
        <w:t xml:space="preserve">Refer to</w:t>
      </w:r>
      <w:r>
        <w:t xml:space="preserve"> </w:t>
      </w:r>
      <w:r>
        <w:t xml:space="preserve">“</w:t>
      </w:r>
      <w:r>
        <w:t xml:space="preserve">Index of implementation-defined behavior</w:t>
      </w:r>
      <w:r>
        <w:t xml:space="preserve">”</w:t>
      </w:r>
      <w:r>
        <w:t xml:space="preserve"> </w:t>
      </w:r>
      <w:r>
        <w:t xml:space="preserve">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2"/>
    <w:bookmarkEnd w:id="213"/>
    <w:bookmarkStart w:id="216" w:name="deprecated-language-features-mem"/>
    <w:p>
      <w:pPr>
        <w:pStyle w:val="Heading2"/>
      </w:pPr>
      <w:r>
        <w:t xml:space="preserve">6.58 Deprecated Language Features [MEM]</w:t>
      </w:r>
    </w:p>
    <w:bookmarkStart w:id="214" w:name="applicability-to-language"/>
    <w:p>
      <w:pPr>
        <w:pStyle w:val="Heading3"/>
      </w:pPr>
      <w:r>
        <w:t xml:space="preserve">6.58.1 Applicability to language</w:t>
      </w:r>
    </w:p>
    <w:p>
      <w:pPr>
        <w:pStyle w:val="FirstParagraph"/>
      </w:pPr>
      <w:r>
        <w:t xml:space="preserve">The vulnerability as described in ISO/IEC 24772-1 clause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4"/>
    <w:bookmarkStart w:id="215"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 clause 6.58.5.</w:t>
      </w:r>
    </w:p>
    <w:p>
      <w:pPr>
        <w:numPr>
          <w:ilvl w:val="0"/>
          <w:numId w:val="1110"/>
        </w:numPr>
      </w:pPr>
      <w:r>
        <w:t xml:space="preserve">Enable compiler options or use static analysis tools that identify the</w:t>
      </w:r>
      <w:r>
        <w:t xml:space="preserve"> </w:t>
      </w:r>
      <w:r>
        <w:t xml:space="preserve">use of deprecated features.</w:t>
      </w:r>
    </w:p>
    <w:p>
      <w:pPr>
        <w:numPr>
          <w:ilvl w:val="0"/>
          <w:numId w:val="1110"/>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5"/>
    <w:bookmarkEnd w:id="216"/>
    <w:bookmarkStart w:id="219" w:name="CGA"/>
    <w:p>
      <w:pPr>
        <w:pStyle w:val="Heading2"/>
      </w:pPr>
      <w:r>
        <w:t xml:space="preserve">6.59 Concurrency – Activation [CGA]</w:t>
      </w:r>
    </w:p>
    <w:bookmarkStart w:id="217"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7"/>
    <w:bookmarkStart w:id="218"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1"/>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1"/>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1"/>
        </w:numPr>
        <w:pStyle w:val="Compact"/>
      </w:pPr>
      <w:r>
        <w:t xml:space="preserve">When handling the exception thrown due to failure to create a thread, ensure that potentially dependent other threads are informed.</w:t>
      </w:r>
    </w:p>
    <w:p>
      <w:pPr>
        <w:numPr>
          <w:ilvl w:val="0"/>
          <w:numId w:val="1111"/>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1"/>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1"/>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8"/>
    <w:bookmarkEnd w:id="219"/>
    <w:bookmarkStart w:id="221" w:name="concurrency-directed-termination-cgt"/>
    <w:p>
      <w:pPr>
        <w:pStyle w:val="Heading2"/>
      </w:pPr>
      <w:r>
        <w:t xml:space="preserve">6.60 Concurrency – Directed termination [CGT]</w:t>
      </w:r>
    </w:p>
    <w:bookmarkStart w:id="220"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0"/>
    <w:bookmarkEnd w:id="221"/>
    <w:bookmarkStart w:id="222"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 threads created using the C library, follow the avoidance mechanisms of ISO/IEC TR 24772-3.</w:t>
      </w:r>
    </w:p>
    <w:p>
      <w:pPr>
        <w:numPr>
          <w:ilvl w:val="0"/>
          <w:numId w:val="1112"/>
        </w:numPr>
      </w:pPr>
      <w:r>
        <w:t xml:space="preserve">Follow the avoidance mechanisms of ISO/IEC 24772-1 clause 6.60.5.</w:t>
      </w:r>
    </w:p>
    <w:p>
      <w:pPr>
        <w:numPr>
          <w:ilvl w:val="0"/>
          <w:numId w:val="1112"/>
        </w:numPr>
      </w:pPr>
      <w:r>
        <w:t xml:space="preserve">Use code reviews and static analysis tools if available, to ensure that threads correctly terminate.</w:t>
      </w:r>
    </w:p>
    <w:bookmarkEnd w:id="222"/>
    <w:bookmarkStart w:id="225" w:name="CGX"/>
    <w:p>
      <w:pPr>
        <w:pStyle w:val="Heading2"/>
      </w:pPr>
      <w:r>
        <w:t xml:space="preserve">6.61 Concurrent Data Access [CGX]</w:t>
      </w:r>
    </w:p>
    <w:bookmarkStart w:id="223"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3"/>
    <w:bookmarkStart w:id="224"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3"/>
        </w:numPr>
      </w:pPr>
      <w:r>
        <w:t xml:space="preserve">Place all mutable data in memory accessible to only one thread at a time;</w:t>
      </w:r>
    </w:p>
    <w:p>
      <w:pPr>
        <w:numPr>
          <w:ilvl w:val="0"/>
          <w:numId w:val="1113"/>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3"/>
        </w:numPr>
      </w:pPr>
      <w:r>
        <w:t xml:space="preserve">Prohibit calling lock and unlock facilities directly.</w:t>
      </w:r>
    </w:p>
    <w:p>
      <w:pPr>
        <w:numPr>
          <w:ilvl w:val="0"/>
          <w:numId w:val="1113"/>
        </w:numPr>
      </w:pPr>
      <w:r>
        <w:t xml:space="preserve">Forbid the use of volatile for synchronization;</w:t>
      </w:r>
    </w:p>
    <w:p>
      <w:pPr>
        <w:numPr>
          <w:ilvl w:val="0"/>
          <w:numId w:val="1113"/>
        </w:numPr>
      </w:pPr>
      <w:r>
        <w:t xml:space="preserve">Avoid specifying memory orders on atomic operations other than sequential consistency;</w:t>
      </w:r>
    </w:p>
    <w:p>
      <w:pPr>
        <w:numPr>
          <w:ilvl w:val="0"/>
          <w:numId w:val="1113"/>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3"/>
        </w:numPr>
      </w:pPr>
      <w:r>
        <w:t xml:space="preserve">Pass all thread function arguments by non-pointer-like values.</w:t>
      </w:r>
    </w:p>
    <w:bookmarkEnd w:id="224"/>
    <w:bookmarkEnd w:id="225"/>
    <w:bookmarkStart w:id="229" w:name="concurrency-premature-termination-cgs"/>
    <w:p>
      <w:pPr>
        <w:pStyle w:val="Heading2"/>
      </w:pPr>
      <w:r>
        <w:t xml:space="preserve">6.62 Concurrency – Premature Termination [CGS]</w:t>
      </w:r>
    </w:p>
    <w:bookmarkStart w:id="226" w:name="applicability-to-language"/>
    <w:p>
      <w:pPr>
        <w:pStyle w:val="Heading3"/>
      </w:pPr>
      <w:r>
        <w:t xml:space="preserve">6.62.1 Applicability to language</w:t>
      </w:r>
    </w:p>
    <w:bookmarkEnd w:id="226"/>
    <w:bookmarkStart w:id="227"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7"/>
    <w:bookmarkStart w:id="228"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4"/>
        </w:numPr>
      </w:pPr>
      <w:r>
        <w:t xml:space="preserve">Use the avoidance mechanisms of ISO/IEC 24772-1 clause 6.63.5.</w:t>
      </w:r>
    </w:p>
    <w:p>
      <w:pPr>
        <w:numPr>
          <w:ilvl w:val="0"/>
          <w:numId w:val="1114"/>
        </w:numPr>
      </w:pPr>
      <w:r>
        <w:t xml:space="preserve">Use low-level operating system primitives or other APIs where</w:t>
      </w:r>
      <w:r>
        <w:t xml:space="preserve"> </w:t>
      </w:r>
      <w:r>
        <w:t xml:space="preserve">available to check that a required thread is still active.</w:t>
      </w:r>
    </w:p>
    <w:p>
      <w:pPr>
        <w:numPr>
          <w:ilvl w:val="0"/>
          <w:numId w:val="1114"/>
        </w:numPr>
      </w:pPr>
      <w:r>
        <w:t xml:space="preserve">Prohibit explicit or implicit calls to program-terminating functions whenever active threads are executing.</w:t>
      </w:r>
    </w:p>
    <w:p>
      <w:pPr>
        <w:numPr>
          <w:ilvl w:val="0"/>
          <w:numId w:val="1114"/>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4"/>
        </w:numPr>
      </w:pPr>
      <w:r>
        <w:t xml:space="preserve">Return some indication of conditions resulting in premature termination</w:t>
      </w:r>
    </w:p>
    <w:p>
      <w:pPr>
        <w:numPr>
          <w:ilvl w:val="0"/>
          <w:numId w:val="1114"/>
        </w:numPr>
      </w:pPr>
      <w:r>
        <w:t xml:space="preserve">Ensure that the main program joins all created threads that need to complete</w:t>
      </w:r>
      <w:r>
        <w:t xml:space="preserve"> </w:t>
      </w:r>
      <w:r>
        <w:t xml:space="preserve">normally, such as by using the std::jthread type.</w:t>
      </w:r>
    </w:p>
    <w:bookmarkEnd w:id="228"/>
    <w:bookmarkEnd w:id="229"/>
    <w:bookmarkStart w:id="232" w:name="uncontrolled-format-string-shl"/>
    <w:p>
      <w:pPr>
        <w:pStyle w:val="Heading2"/>
      </w:pPr>
      <w:r>
        <w:t xml:space="preserve">6.64 Uncontrolled Format String [SHL]</w:t>
      </w:r>
    </w:p>
    <w:bookmarkStart w:id="230"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0"/>
    <w:bookmarkStart w:id="231"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5"/>
        </w:numPr>
      </w:pPr>
      <w:r>
        <w:t xml:space="preserve">Forbid the use of the C library facilities provided by</w:t>
      </w:r>
      <w:r>
        <w:t xml:space="preserve"> </w:t>
      </w:r>
      <w:r>
        <w:rPr>
          <w:rStyle w:val="VerbatimChar"/>
          <w:b/>
        </w:rPr>
        <w:t xml:space="preserve">&lt;cstdio&gt;</w:t>
      </w:r>
      <w:r>
        <w:t xml:space="preserve">.</w:t>
      </w:r>
    </w:p>
    <w:p>
      <w:pPr>
        <w:numPr>
          <w:ilvl w:val="0"/>
          <w:numId w:val="1115"/>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5"/>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1"/>
    <w:bookmarkEnd w:id="232"/>
    <w:bookmarkEnd w:id="233"/>
    <w:bookmarkStart w:id="238" w:name="UJO"/>
    <w:p>
      <w:pPr>
        <w:pStyle w:val="Heading1"/>
      </w:pPr>
      <w:r>
        <w:t xml:space="preserve">6.65 Modifying constants [UJO]</w:t>
      </w:r>
    </w:p>
    <w:bookmarkStart w:id="236"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4" w:name="EWF"/>
      <w:r>
        <w:t xml:space="preserve">Undefined Behavior [EWF]</w:t>
      </w:r>
      <w:bookmarkEnd w:id="234"/>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5" w:name="FLC"/>
      <w:r>
        <w:t xml:space="preserve">Conversion Errors [FLC]</w:t>
      </w:r>
      <w:bookmarkEnd w:id="235"/>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6"/>
    <w:bookmarkStart w:id="237"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6"/>
        </w:numPr>
      </w:pPr>
      <w:r>
        <w:t xml:space="preserve">Apply the avoidance mechanisms of ISO IEC 24772-1 clause 6.65.5.</w:t>
      </w:r>
    </w:p>
    <w:p>
      <w:pPr>
        <w:numPr>
          <w:ilvl w:val="0"/>
          <w:numId w:val="1116"/>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6"/>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6"/>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6"/>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6"/>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6"/>
        </w:numPr>
      </w:pPr>
      <w:r>
        <w:t xml:space="preserve">Ensure in concurrent code, that mutable data members are implicitly or explicitly synchronized.</w:t>
      </w:r>
    </w:p>
    <w:p>
      <w:pPr>
        <w:numPr>
          <w:ilvl w:val="0"/>
          <w:numId w:val="1116"/>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6"/>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7"/>
    <w:bookmarkEnd w:id="238"/>
    <w:bookmarkStart w:id="239" w:name="language-specific-vulnerabilities-for-c"/>
    <w:p>
      <w:pPr>
        <w:pStyle w:val="Heading1"/>
      </w:pPr>
      <w:r>
        <w:t xml:space="preserve">7. Language specific vulnerabilities for C++</w:t>
      </w:r>
    </w:p>
    <w:p>
      <w:pPr>
        <w:pStyle w:val="FirstParagraph"/>
      </w:pPr>
      <w:r>
        <w:t xml:space="preserve">TBD</w:t>
      </w:r>
    </w:p>
    <w:bookmarkEnd w:id="239"/>
    <w:bookmarkStart w:id="241"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7"/>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7"/>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7"/>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7"/>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7"/>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0"/>
      </w:r>
      <w:r>
        <w:t xml:space="preserve">.</w:t>
      </w:r>
    </w:p>
    <w:p>
      <w:pPr>
        <w:numPr>
          <w:ilvl w:val="0"/>
          <w:numId w:val="1117"/>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7"/>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7"/>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7"/>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7"/>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7"/>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7"/>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7"/>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7"/>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7"/>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7"/>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7"/>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7"/>
        </w:numPr>
        <w:pStyle w:val="SourceCode"/>
      </w:pPr>
      <w:r>
        <w:rPr>
          <w:rStyle w:val="VerbatimChar"/>
        </w:rPr>
        <w:t xml:space="preserve">Creating an Annex that lists deprecated features.</w:t>
      </w:r>
    </w:p>
    <w:bookmarkEnd w:id="241"/>
    <w:bookmarkStart w:id="255"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2"/>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3">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4">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5">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6">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7">
        <w:r>
          <w:rPr>
            <w:rStyle w:val="Hyperlink"/>
          </w:rPr>
          <w:t xml:space="preserve">http://myweb.lmu.edu/dondi/share/pl/type-checking-v02.pdf</w:t>
        </w:r>
      </w:hyperlink>
    </w:p>
    <w:p>
      <w:pPr>
        <w:pStyle w:val="Bibliography1"/>
      </w:pPr>
      <w:r>
        <w:t xml:space="preserve">[32] MISRA Limited. "</w:t>
      </w:r>
      <w:hyperlink r:id="rId248">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9">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0">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1">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2">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3">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4">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5"/>
    <w:bookmarkStart w:id="256" w:name="index"/>
    <w:p>
      <w:pPr>
        <w:pStyle w:val="Heading1"/>
      </w:pPr>
      <w:r>
        <w:t xml:space="preserve">Index</w:t>
      </w:r>
    </w:p>
    <w:p>
      <w:pPr>
        <w:pStyle w:val="Bibliography1"/>
      </w:pPr>
      <w:r>
        <w:t xml:space="preserve">LHS (left-hand side), 22</w:t>
      </w:r>
    </w:p>
    <w:bookmarkEnd w:id="2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0">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2">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2026-04-27T16:18:07Z</dcterms:created>
  <dcterms:modified xsi:type="dcterms:W3CDTF">2026-04-27T16:18:07Z</dcterms:modified>
</cp:coreProperties>
</file>

<file path=docProps/custom.xml><?xml version="1.0" encoding="utf-8"?>
<Properties xmlns="http://schemas.openxmlformats.org/officeDocument/2006/custom-properties" xmlns:vt="http://schemas.openxmlformats.org/officeDocument/2006/docPropsVTypes"/>
</file>