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apply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ISO/IEC 24772-1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as described in ISO/IEC TR 24772-3:2020 apply.</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2026-09-14T19:38:23Z</dcterms:created>
  <dcterms:modified xsi:type="dcterms:W3CDTF">2026-09-14T19:38:23Z</dcterms:modified>
</cp:coreProperties>
</file>

<file path=docProps/custom.xml><?xml version="1.0" encoding="utf-8"?>
<Properties xmlns="http://schemas.openxmlformats.org/officeDocument/2006/custom-properties" xmlns:vt="http://schemas.openxmlformats.org/officeDocument/2006/docPropsVTypes"/>
</file>