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An instantiated template follows the same reachability rules as would be followed for the non-template case.</w:t>
      </w:r>
    </w:p>
    <w:p>
      <w:pPr>
        <w:pStyle w:val="BodyText"/>
      </w:pPr>
      <w:r>
        <w:t xml:space="preserve">This clause does not consider:</w:t>
      </w:r>
      <w:r>
        <w:t xml:space="preserve"> </w:t>
      </w:r>
      <w:r>
        <w:t xml:space="preserve">- discarded statements that are intentionally unreachable, e.g., through branches of the `if constexpr’{.cpp} statement.</w:t>
      </w:r>
      <w:r>
        <w:br/>
      </w:r>
      <w:r>
        <w:t xml:space="preserve">- commented out code;</w:t>
      </w:r>
      <w:r>
        <w:t xml:space="preserve"> </w:t>
      </w:r>
      <w:r>
        <w:t xml:space="preserve">- an uninstantiated template;</w:t>
      </w:r>
      <w:r>
        <w:t xml:space="preserve"> </w:t>
      </w:r>
      <w:r>
        <w:t xml:space="preserve">- code excluded using the C++ preprocessor</w:t>
      </w:r>
      <w:r>
        <w:t xml:space="preserve"> </w:t>
      </w:r>
      <w:r>
        <w:t xml:space="preserve">as these do not result in the generation of code.</w:t>
      </w:r>
    </w:p>
    <w:p>
      <w:pPr>
        <w:pStyle w:val="BodyText"/>
      </w:pPr>
      <w:r>
        <w:t xml:space="preserve">C++ provides the</w:t>
      </w:r>
      <w:r>
        <w:t xml:space="preserve"> </w:t>
      </w:r>
      <w:r>
        <w:rPr>
          <w:rStyle w:val="NormalTok"/>
        </w:rPr>
        <w:t xml:space="preserve">= </w:t>
      </w:r>
      <w:r>
        <w:rPr>
          <w:rStyle w:val="KeywordTok"/>
        </w:rPr>
        <w:t xml:space="preserve">delete</w:t>
      </w:r>
      <w:r>
        <w:t xml:space="preserve"> </w:t>
      </w:r>
      <w:r>
        <w:t xml:space="preserve">definition that can be used to mark that a (possibly overloaded) function is intentionally deactivated.</w:t>
      </w:r>
    </w:p>
    <w:p>
      <w:pPr>
        <w:pStyle w:val="SourceCode"/>
      </w:pPr>
      <w:r>
        <w:rPr>
          <w:rStyle w:val="NormalTok"/>
        </w:rPr>
        <w:t xml:space="preserve">   </w:t>
      </w:r>
      <w:r>
        <w:rPr>
          <w:rStyle w:val="BuiltInTok"/>
        </w:rPr>
        <w:t xml:space="preserve">std::</w:t>
      </w:r>
      <w:r>
        <w:rPr>
          <w:rStyle w:val="NormalTok"/>
        </w:rPr>
        <w:t xml:space="preserve">string foo(</w:t>
      </w:r>
      <w:r>
        <w:rPr>
          <w:rStyle w:val="DataTypeTok"/>
        </w:rPr>
        <w:t xml:space="preserve">int</w:t>
      </w:r>
      <w:r>
        <w:rPr>
          <w:rStyle w:val="NormalTok"/>
        </w:rPr>
        <w:t xml:space="preserve">) = </w:t>
      </w:r>
      <w:r>
        <w:rPr>
          <w:rStyle w:val="KeywordTok"/>
        </w:rPr>
        <w:t xml:space="preserve">delete</w:t>
      </w:r>
      <w:r>
        <w:rPr>
          <w:rStyle w:val="NormalTok"/>
        </w:rPr>
        <w:t xml:space="preserve">;</w:t>
      </w:r>
      <w:r>
        <w:br/>
      </w:r>
      <w:r>
        <w:rPr>
          <w:rStyle w:val="NormalTok"/>
        </w:rPr>
        <w:t xml:space="preserve">   </w:t>
      </w:r>
      <w:r>
        <w:rPr>
          <w:rStyle w:val="BuiltInTok"/>
        </w:rPr>
        <w:t xml:space="preserve">std::</w:t>
      </w:r>
      <w:r>
        <w:rPr>
          <w:rStyle w:val="NormalTok"/>
        </w:rPr>
        <w:t xml:space="preserve">string foo(</w:t>
      </w:r>
      <w:r>
        <w:rPr>
          <w:rStyle w:val="DataTypeTok"/>
        </w:rPr>
        <w:t xml:space="preserve">char</w:t>
      </w:r>
      <w:r>
        <w:rPr>
          <w:rStyle w:val="NormalTok"/>
        </w:rPr>
        <w:t xml:space="preserve">);</w:t>
      </w:r>
      <w:r>
        <w:br/>
      </w:r>
      <w:r>
        <w:rPr>
          <w:rStyle w:val="NormalTok"/>
        </w:rPr>
        <w:t xml:space="preserve">   </w:t>
      </w:r>
      <w:r>
        <w:rPr>
          <w:rStyle w:val="KeywordTok"/>
        </w:rPr>
        <w:t xml:space="preserve">auto</w:t>
      </w:r>
      <w:r>
        <w:rPr>
          <w:rStyle w:val="NormalTok"/>
        </w:rPr>
        <w:t xml:space="preserve"> s = foo(</w:t>
      </w:r>
      <w:r>
        <w:rPr>
          <w:rStyle w:val="DecValTok"/>
        </w:rPr>
        <w:t xml:space="preserve">0</w:t>
      </w:r>
      <w:r>
        <w:rPr>
          <w:rStyle w:val="NormalTok"/>
        </w:rPr>
        <w:t xml:space="preserve">); </w:t>
      </w:r>
      <w:r>
        <w:rPr>
          <w:rStyle w:val="CommentTok"/>
        </w:rPr>
        <w:t xml:space="preserve">// compiler error - selected function is deleted.</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OtherTok"/>
        </w:rPr>
        <w:t xml:space="preserve">assert</w:t>
      </w:r>
      <w:r>
        <w:rPr>
          <w:rStyle w:val="NormalTok"/>
        </w:rPr>
        <w:t xml:space="preserve">(</w:t>
      </w:r>
      <w:r>
        <w:rPr>
          <w:rStyle w:val="KeywordTok"/>
        </w:rPr>
        <w:t xml:space="preserve">false</w:t>
      </w:r>
      <w:r>
        <w:rPr>
          <w:rStyle w:val="NormalTok"/>
        </w:rPr>
        <w:t xml:space="preserv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2"/>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If a function-like macro must be used, ensure that its</w:t>
      </w:r>
      <w:r>
        <w:t xml:space="preserve"> </w:t>
      </w:r>
      <w:r>
        <w:t xml:space="preserve">parameters and body are parenthesized.</w:t>
      </w:r>
    </w:p>
    <w:p>
      <w:pPr>
        <w:numPr>
          <w:ilvl w:val="0"/>
          <w:numId w:val="1102"/>
        </w:numPr>
      </w:pPr>
      <w:r>
        <w:t xml:space="preserve">In a function-like macro, ensure that each argument is evaluated at</w:t>
      </w:r>
      <w:r>
        <w:t xml:space="preserve"> </w:t>
      </w:r>
      <w:r>
        <w:t xml:space="preserve">most once.</w:t>
      </w:r>
    </w:p>
    <w:p>
      <w:pPr>
        <w:numPr>
          <w:ilvl w:val="0"/>
          <w:numId w:val="1102"/>
        </w:numPr>
      </w:pPr>
      <w:r>
        <w:t xml:space="preserve">Prohibit embedding the following in a function-like macro: pre-processor directives; or side-effects such as an assignment, increment/decrement, volatile access, or function call.</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Use the avoidance mechanisms of ISO/IEC 24772-1:2024 and ISO/IEC TR 24772-3:2020 clause 6.53.5.</w:t>
      </w:r>
    </w:p>
    <w:p>
      <w:pPr>
        <w:numPr>
          <w:ilvl w:val="0"/>
          <w:numId w:val="1103"/>
        </w:numPr>
      </w:pPr>
      <w:r>
        <w:t xml:space="preserve">Enable checks that warn about unsafe operations.</w:t>
      </w:r>
    </w:p>
    <w:p>
      <w:pPr>
        <w:numPr>
          <w:ilvl w:val="0"/>
          <w:numId w:val="1103"/>
        </w:numPr>
      </w:pPr>
      <w:r>
        <w:t xml:space="preserve">Use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clause 6.54.5.</w:t>
      </w:r>
    </w:p>
    <w:p>
      <w:pPr>
        <w:numPr>
          <w:ilvl w:val="0"/>
          <w:numId w:val="1104"/>
        </w:numPr>
      </w:pPr>
      <w:r>
        <w:t xml:space="preserve">Use static analysis tools or multiple compilers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6.55.5.</w:t>
      </w:r>
    </w:p>
    <w:p>
      <w:pPr>
        <w:numPr>
          <w:ilvl w:val="0"/>
          <w:numId w:val="1105"/>
        </w:numPr>
      </w:pPr>
      <w:r>
        <w:t xml:space="preserve">Use static analysis tools and multiple compilers/tools to help identify occurrences of</w:t>
      </w:r>
      <w:r>
        <w:t xml:space="preserve"> </w:t>
      </w:r>
      <w:r>
        <w:t xml:space="preserve">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2026-02-02T17:31:56Z</dcterms:created>
  <dcterms:modified xsi:type="dcterms:W3CDTF">2026-02-02T17:31:56Z</dcterms:modified>
</cp:coreProperties>
</file>

<file path=docProps/custom.xml><?xml version="1.0" encoding="utf-8"?>
<Properties xmlns="http://schemas.openxmlformats.org/officeDocument/2006/custom-properties" xmlns:vt="http://schemas.openxmlformats.org/officeDocument/2006/docPropsVTypes"/>
</file>