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&lt;!- SGM - removed "symbols and conventions from title and renumbered from [3.1.x] to [3.x] –&gt;</w:t>
      </w:r>
    </w:p>
    <w:p>
      <w:pPr>
        <w:pStyle w:val="BodyText"/>
      </w:pPr>
      <w:r>
        <w:t xml:space="preserve">For the purposes of this document, the terms and definitions given in</w:t>
      </w:r>
      <w:r>
        <w:t xml:space="preserve"> </w:t>
      </w:r>
      <w:r>
        <w:t xml:space="preserve">ISO/IEC 2382, in TR 24772–1, in 14882:2014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p>
    <w:p>
      <w:pPr>
        <w:pStyle w:val="BodyText"/>
      </w:pPr>
      <w:r>
        <w:rPr>
          <w:u w:val="single"/>
        </w:rPr>
        <w:t xml:space="preserve">access protection</w:t>
      </w:r>
      <w:r>
        <w:t xml:space="preserve">:</w:t>
      </w:r>
    </w:p>
    <w:p>
      <w:pPr>
        <w:pStyle w:val="BodyText"/>
      </w:pPr>
      <w:r>
        <w:rPr>
          <w:u w:val="single"/>
          <w:b/>
        </w:rPr>
        <w:t xml:space="preserve">3.4</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3.5</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3.6</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3.7</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3.8</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3.9</w:t>
      </w:r>
    </w:p>
    <w:p>
      <w:pPr>
        <w:pStyle w:val="BodyText"/>
      </w:pPr>
      <w:r>
        <w:rPr>
          <w:u w:val="single"/>
          <w:b/>
        </w:rPr>
        <w:t xml:space="preserve">diagnostic message</w:t>
      </w:r>
      <w:r>
        <w:br/>
      </w:r>
    </w:p>
    <w:p>
      <w:pPr>
        <w:pStyle w:val="BodyText"/>
      </w:pPr>
      <w:r>
        <w:t xml:space="preserve">informational message that is either an error or warning about an issue detected by the implementation</w:t>
      </w:r>
    </w:p>
    <w:p>
      <w:pPr>
        <w:pStyle w:val="BodyText"/>
      </w:pPr>
      <w:r>
        <w:rPr>
          <w:u w:val="single"/>
          <w:b/>
        </w:rPr>
        <w:t xml:space="preserve">3.10</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3.11</w:t>
      </w:r>
      <w:r>
        <w:br/>
      </w: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3.12</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[3.14]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[3.15]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3.16</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3.17</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3.18</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3.19</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3.20</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3.21</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3.22</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3.23</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3.24</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3.25</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3.26</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3.27</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3.28</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3.29</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3.30</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3.31</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w:t>
      </w:r>
      <w:r>
        <w:t xml:space="preserve"> </w:t>
      </w:r>
      <w:r>
        <w:t xml:space="preserve">static storage duration, thread storage duration, automatic storage duration and dynamic storage duration</w:t>
      </w:r>
    </w:p>
    <w:p>
      <w:pPr>
        <w:pStyle w:val="BodyText"/>
      </w:pPr>
      <w:r>
        <w:rPr>
          <w:u w:val="single"/>
          <w:b/>
        </w:rPr>
        <w:t xml:space="preserve">3.32</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3.33</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3.34</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3.35</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3.36</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3.37</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3.38</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3.39</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3.40</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3"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DataTypeTok"/>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 and</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Use the avoidance mechanisms of ISO/IEC 24772-1:2024, 6.2.5. and provided in the different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KeywordTok"/>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and on system boundaries, e.g., for input, convert a read value immediately to the appropriate strong type.</w:t>
      </w:r>
    </w:p>
    <w:p>
      <w:pPr>
        <w:numPr>
          <w:ilvl w:val="0"/>
          <w:numId w:val="1013"/>
        </w:numPr>
      </w:pPr>
      <w:r>
        <w:t xml:space="preserve">UIse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 not support a direct mapping to machine words. In addition,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contains NaNs.</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members.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KeywordTok"/>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KeywordTok"/>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NormalTok"/>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KeywordTok"/>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be illegal.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w:t>
      </w:r>
      <w:r>
        <w:t xml:space="preserve"> </w:t>
      </w:r>
      <w:r>
        <w:t xml:space="preserve">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 clause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ISO/IEC TR 24772-1:2019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w:t>
      </w:r>
      <w:r>
        <w:t xml:space="preserve"> </w:t>
      </w:r>
      <w:r>
        <w:t xml:space="preserve">The call in question will then change its binding without warning upon its next compilation.</w:t>
      </w:r>
      <w:r>
        <w:t xml:space="preserve"> </w:t>
      </w:r>
      <w:r>
        <w:t xml:space="preserve">For cases, where the preference rules do not resolve the ambiguity, the resulting error message by the compiler avoids the vulnerability.</w:t>
      </w:r>
      <w:r>
        <w:t xml:space="preserve"> </w:t>
      </w:r>
      <w:r>
        <w:t xml:space="preserve">Function template specializations are not considered during overload resolution; only the base template 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w:t>
      </w:r>
      <w:r>
        <w:br/>
      </w:r>
      <w:r>
        <w:t xml:space="preserve">Where lookup searches a namespace referred to by a</w:t>
      </w:r>
      <w:r>
        <w:t xml:space="preserve"> </w:t>
      </w:r>
      <w:r>
        <w:rPr>
          <w:rStyle w:val="KeywordTok"/>
        </w:rPr>
        <w:t xml:space="preserve">using</w:t>
      </w:r>
      <w:r>
        <w:t xml:space="preserve"> </w:t>
      </w:r>
      <w:r>
        <w:t xml:space="preserve">directive, all names in that namespace will be visible but some can be unwanted.</w:t>
      </w:r>
      <w:r>
        <w:br/>
      </w:r>
      <w:r>
        <w:t xml:space="preserve">A</w:t>
      </w:r>
      <w:r>
        <w:t xml:space="preserve"> </w:t>
      </w:r>
      <w:r>
        <w:rPr>
          <w:i/>
        </w:rPr>
        <w:t xml:space="preserve">using</w:t>
      </w:r>
      <w:r>
        <w:t xml:space="preserve"> </w:t>
      </w:r>
      <w:r>
        <w:t xml:space="preserve">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Consider using named function objects instead of function names for calling a function to suppress overload resolution using argument dependent lookup (ADL).</w:t>
      </w:r>
    </w:p>
    <w:p>
      <w:pPr>
        <w:numPr>
          <w:ilvl w:val="0"/>
          <w:numId w:val="1050"/>
        </w:numPr>
      </w:pPr>
      <w:r>
        <w:t xml:space="preserve">Avoid implicit conversions of function arguments.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Style w:val="Compact"/>
      </w:pPr>
      <w:r>
        <w:t xml:space="preserve">Write accesses to objects in that expression,</w:t>
      </w:r>
    </w:p>
    <w:p>
      <w:pPr>
        <w:numPr>
          <w:ilvl w:val="0"/>
          <w:numId w:val="1055"/>
        </w:numPr>
        <w:pStyle w:val="Compact"/>
      </w:pPr>
      <w:r>
        <w:t xml:space="preserve">Reading a volatile object,</w:t>
      </w:r>
    </w:p>
    <w:p>
      <w:pPr>
        <w:numPr>
          <w:ilvl w:val="0"/>
          <w:numId w:val="1055"/>
        </w:numPr>
        <w:pStyle w:val="Compact"/>
      </w:pPr>
      <w:r>
        <w:t xml:space="preserve">Calling a library I/O function, and</w:t>
      </w:r>
    </w:p>
    <w:p>
      <w:pPr>
        <w:numPr>
          <w:ilvl w:val="0"/>
          <w:numId w:val="1055"/>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t xml:space="preserve">Avoid overloading the comma operator, as the</w:t>
      </w:r>
      <w:r>
        <w:t xml:space="preserve"> </w:t>
      </w:r>
      <w:r>
        <w:t xml:space="preserve">overloaded version has unspecified order of evaluation of its arguments.</w:t>
      </w:r>
    </w:p>
    <w:p>
      <w:pPr>
        <w:numPr>
          <w:ilvl w:val="0"/>
          <w:numId w:val="1056"/>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9"/>
        </w:numPr>
      </w:pPr>
      <w:r>
        <w:t xml:space="preserve">Simplify expressions to aid in code readability and help future maintainers understand the intent and nuances of the code. For example by,</w:t>
      </w:r>
    </w:p>
    <w:p>
      <w:pPr>
        <w:numPr>
          <w:ilvl w:val="1"/>
          <w:numId w:val="1060"/>
        </w:numPr>
        <w:pStyle w:val="Compact"/>
      </w:pPr>
      <w:r>
        <w:t xml:space="preserve">using parentheses around sub-expressions to limit precedence confusion,</w:t>
      </w:r>
    </w:p>
    <w:p>
      <w:pPr>
        <w:numPr>
          <w:ilvl w:val="1"/>
          <w:numId w:val="1060"/>
        </w:numPr>
        <w:pStyle w:val="Compact"/>
      </w:pPr>
      <w:r>
        <w:t xml:space="preserve">extracting intermediate results into const variables with a meaningful name, or</w:t>
      </w:r>
    </w:p>
    <w:p>
      <w:pPr>
        <w:numPr>
          <w:ilvl w:val="1"/>
          <w:numId w:val="1060"/>
        </w:numPr>
        <w:pStyle w:val="Compact"/>
      </w:pPr>
      <w:r>
        <w:t xml:space="preserve">extracting a subexpression into a function with a meaningful name.</w:t>
      </w:r>
    </w:p>
    <w:p>
      <w:pPr>
        <w:numPr>
          <w:ilvl w:val="0"/>
          <w:numId w:val="1059"/>
        </w:numPr>
      </w:pPr>
      <w:r>
        <w:t xml:space="preserve">Prohibit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p>
      <w:pPr>
        <w:numPr>
          <w:ilvl w:val="0"/>
          <w:numId w:val="1059"/>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Style w:val="Compact"/>
      </w:pPr>
      <w:r>
        <w:t xml:space="preserve">Apply the avoidance mechanisms of ISO/IEC 24772-1 clause 6.26.5.</w:t>
      </w:r>
    </w:p>
    <w:p>
      <w:pPr>
        <w:numPr>
          <w:ilvl w:val="0"/>
          <w:numId w:val="1061"/>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1"/>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1"/>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ISO/IEC 24772-3 clause 6.36 for details and guidance.</w:t>
      </w:r>
    </w:p>
    <w:p>
      <w:pPr>
        <w:pStyle w:val="BodyText"/>
      </w:pPr>
      <w:r>
        <w:t xml:space="preserve">In addition to</w:t>
      </w:r>
      <w:r>
        <w:t xml:space="preserve"> </w:t>
      </w:r>
      <w:r>
        <w:rPr>
          <w:rStyle w:val="VerbatimChar"/>
        </w:rPr>
        <w:t xml:space="preserve">errno</w:t>
      </w:r>
      <w:r>
        <w:t xml:space="preserve"> </w:t>
      </w:r>
      <w:r>
        <w:t xml:space="preserve">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is too easy to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 In addition, the programmer can define exceptions that are appropriate for their application.</w:t>
      </w:r>
      <w:r>
        <w:t xml:space="preserve"> </w:t>
      </w:r>
      <w:r>
        <w:t xml:space="preserve">These exceptions are handled using an exception handler.</w:t>
      </w:r>
      <w:r>
        <w:t xml:space="preserve"> </w:t>
      </w:r>
      <w:r>
        <w:t xml:space="preserve">Exceptions can be handled in the environment where the</w:t>
      </w:r>
      <w:r>
        <w:t xml:space="preserve"> </w:t>
      </w:r>
      <w:r>
        <w:t xml:space="preserve">exception occurs or can be propagated out to an enclosing scope.</w:t>
      </w:r>
      <w:r>
        <w:t xml:space="preserve"> </w:t>
      </w:r>
      <w:r>
        <w:t xml:space="preserve">An attempt to propagate an exception from</w:t>
      </w:r>
      <w:r>
        <w:t xml:space="preserve"> </w:t>
      </w:r>
      <w:r>
        <w:rPr>
          <w:rStyle w:val="NormalTok"/>
        </w:rPr>
        <w:t xml:space="preserve">main</w:t>
      </w:r>
      <w:r>
        <w:t xml:space="preserve">, a thread entry point, or a function declared</w:t>
      </w:r>
      <w:r>
        <w:t xml:space="preserve"> </w:t>
      </w:r>
      <w:r>
        <w:rPr>
          <w:rStyle w:val="KeywordTok"/>
        </w:rPr>
        <w:t xml:space="preserve">noexcept</w:t>
      </w:r>
      <w:r>
        <w:t xml:space="preserve"> </w:t>
      </w:r>
      <w:r>
        <w:t xml:space="preserve">causes abnormal program termination.</w:t>
      </w:r>
      <w:r>
        <w:t xml:space="preserve"> </w:t>
      </w:r>
      <w:r>
        <w:t xml:space="preserve">In this case, it is implementation-defined whether the destructors for local objects are called (stack unwinding).</w:t>
      </w:r>
      <w:r>
        <w:t xml:space="preserve"> </w:t>
      </w:r>
      <w:r>
        <w:t xml:space="preserve">See 6.62 Concurrency - Premature Termination [CGS] for issues related to thread or process termination.</w:t>
      </w:r>
      <w:r>
        <w:t xml:space="preserve"> </w:t>
      </w: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w:t>
      </w:r>
      <w:r>
        <w:t xml:space="preserve"> </w:t>
      </w:r>
      <w:r>
        <w:t xml:space="preserve">time execution passes through the declaration. Using function-scope</w:t>
      </w:r>
      <w:r>
        <w:t xml:space="preserve"> </w:t>
      </w:r>
      <w:r>
        <w:t xml:space="preserve">static objects in preference to dynamic initialization ensures that</w:t>
      </w:r>
      <w:r>
        <w:t xml:space="preserve"> </w:t>
      </w:r>
      <w:r>
        <w:t xml:space="preserve">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Apply the avoidance mechanisms of ISO/IEC 24772-1 subclause 6.36.5;</w:t>
      </w:r>
    </w:p>
    <w:p>
      <w:pPr>
        <w:numPr>
          <w:ilvl w:val="0"/>
          <w:numId w:val="1076"/>
        </w:numPr>
      </w:pPr>
      <w:r>
        <w:t xml:space="preserve">Develop an error management strategy, including error-detection, error-reporting, and error-handling,that, based on context, selects the most appropriate mechanism(s) from the different ones provided by C++;</w:t>
      </w:r>
    </w:p>
    <w:p>
      <w:pPr>
        <w:numPr>
          <w:ilvl w:val="0"/>
          <w:numId w:val="1076"/>
        </w:numPr>
      </w:pPr>
      <w:r>
        <w:t xml:space="preserve">Develop an error management strategy, including error-detection, error-reporting, and error-handling that selects the most appropriate mechanism(s), depending on the context,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your compiler to report violations as errors, such as</w:t>
      </w:r>
      <w:r>
        <w:t xml:space="preserve"> </w:t>
      </w:r>
      <w:r>
        <w:rPr>
          <w:rStyle w:val="VerbatimChar"/>
        </w:rPr>
        <w:t xml:space="preserve">-Werror</w:t>
      </w:r>
      <w:r>
        <w:t xml:space="preserve">;</w:t>
      </w:r>
    </w:p>
    <w:p>
      <w:pPr>
        <w:numPr>
          <w:ilvl w:val="0"/>
          <w:numId w:val="1076"/>
        </w:numPr>
      </w:pPr>
      <w:r>
        <w:t xml:space="preserve">Expect functions not marked</w:t>
      </w:r>
      <w:r>
        <w:t xml:space="preserve"> </w:t>
      </w:r>
      <w:r>
        <w:rPr>
          <w:rStyle w:val="VerbatimChar"/>
        </w:rPr>
        <w:t xml:space="preserve">noexcept{.cpp}</w:t>
      </w:r>
      <w:r>
        <w:t xml:space="preserve"> </w:t>
      </w:r>
      <w:r>
        <w:t xml:space="preserve">to throw exceptions of arbitrary type, excluding all destructors, which are are implicitly</w:t>
      </w:r>
      <w:r>
        <w:t xml:space="preserve"> </w:t>
      </w:r>
      <w:r>
        <w:rPr>
          <w:rStyle w:val="VerbatimChar"/>
        </w:rPr>
        <w:t xml:space="preserve">noexcept{.cpp}</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Prefer function-scope static objects to namespace-scope objects for</w:t>
      </w:r>
      <w:r>
        <w:t xml:space="preserve"> </w:t>
      </w:r>
      <w:r>
        <w:t xml:space="preserve">objects needing dynamic initialization.</w:t>
      </w:r>
    </w:p>
    <w:p>
      <w:pPr>
        <w:numPr>
          <w:ilvl w:val="0"/>
          <w:numId w:val="1076"/>
        </w:numPr>
      </w:pPr>
      <w:r>
        <w:t xml:space="preserve">Consider controlled termination as a last resort strategy for</w:t>
      </w:r>
      <w:r>
        <w:t xml:space="preserve"> </w:t>
      </w:r>
      <w:r>
        <w:rPr>
          <w:rStyle w:val="NormalTok"/>
        </w:rPr>
        <w:t xml:space="preserve">main</w:t>
      </w:r>
      <w:r>
        <w:t xml:space="preserve"> </w:t>
      </w:r>
      <w:r>
        <w:t xml:space="preserve">or for</w:t>
      </w:r>
      <w:r>
        <w:t xml:space="preserve"> </w:t>
      </w:r>
      <w:r>
        <w:rPr>
          <w:rStyle w:val="KeywordTok"/>
        </w:rPr>
        <w:t xml:space="preserve">noexcept</w:t>
      </w:r>
      <w:r>
        <w:t xml:space="preserve"> </w:t>
      </w:r>
      <w:r>
        <w:t xml:space="preserve">functions;</w:t>
      </w:r>
    </w:p>
    <w:p>
      <w:pPr>
        <w:numPr>
          <w:ilvl w:val="0"/>
          <w:numId w:val="1076"/>
        </w:numPr>
      </w:pPr>
      <w:r>
        <w:t xml:space="preserve">Consider the use of</w:t>
      </w:r>
      <w:r>
        <w:t xml:space="preserve"> </w:t>
      </w:r>
      <w:r>
        <w:rPr>
          <w:rStyle w:val="BuiltInTok"/>
        </w:rPr>
        <w:t xml:space="preserve">std::</w:t>
      </w:r>
      <w:r>
        <w:rPr>
          <w:rStyle w:val="NormalTok"/>
        </w:rPr>
        <w:t xml:space="preserve">exception_ptr</w:t>
      </w:r>
      <w:r>
        <w:t xml:space="preserve"> </w:t>
      </w:r>
      <w:r>
        <w:t xml:space="preserve">or an object encapsulating its mechanics like</w:t>
      </w:r>
      <w:r>
        <w:t xml:space="preserve"> </w:t>
      </w:r>
      <w:r>
        <w:rPr>
          <w:rStyle w:val="BuiltInTok"/>
        </w:rPr>
        <w:t xml:space="preserve">std::</w:t>
      </w:r>
      <w:r>
        <w:rPr>
          <w:rStyle w:val="NormalTok"/>
        </w:rPr>
        <w:t xml:space="preserve">future</w:t>
      </w:r>
      <w:r>
        <w:t xml:space="preserve"> </w:t>
      </w:r>
      <w:r>
        <w:t xml:space="preserve">to transport an exception from one thread to another thread for further processing.</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7"/>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6.38.5.</w:t>
      </w:r>
    </w:p>
    <w:p>
      <w:pPr>
        <w:numPr>
          <w:ilvl w:val="0"/>
          <w:numId w:val="1078"/>
        </w:numPr>
      </w:pPr>
      <w:r>
        <w:t xml:space="preserve">Use and create value types.</w:t>
      </w:r>
    </w:p>
    <w:p>
      <w:pPr>
        <w:numPr>
          <w:ilvl w:val="0"/>
          <w:numId w:val="1078"/>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9"/>
        </w:numPr>
        <w:pStyle w:val="Compact"/>
      </w:pPr>
      <w:r>
        <w:t xml:space="preserve">when reference semantics is required, e.g., for side effects, or</w:t>
      </w:r>
    </w:p>
    <w:p>
      <w:pPr>
        <w:numPr>
          <w:ilvl w:val="1"/>
          <w:numId w:val="1079"/>
        </w:numPr>
        <w:pStyle w:val="Compact"/>
      </w:pPr>
      <w:r>
        <w:t xml:space="preserve">when copying is prohibitively expensive.</w:t>
      </w:r>
    </w:p>
    <w:p>
      <w:pPr>
        <w:numPr>
          <w:ilvl w:val="0"/>
          <w:numId w:val="1078"/>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8"/>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 of ISO/IEC 24772-1:2024 6.39.5</w:t>
      </w:r>
    </w:p>
    <w:p>
      <w:pPr>
        <w:numPr>
          <w:ilvl w:val="0"/>
          <w:numId w:val="1080"/>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0"/>
        </w:numPr>
      </w:pPr>
      <w:r>
        <w:t xml:space="preserve">Avoid mixing C-based functions and C++ memory management functions.</w:t>
      </w:r>
    </w:p>
    <w:p>
      <w:pPr>
        <w:numPr>
          <w:ilvl w:val="0"/>
          <w:numId w:val="1080"/>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Pr>
      <w:r>
        <w:t xml:space="preserve">Prefer containers standard library containers over other forms of memory management.</w:t>
      </w:r>
    </w:p>
    <w:p>
      <w:pPr>
        <w:numPr>
          <w:ilvl w:val="0"/>
          <w:numId w:val="1080"/>
        </w:numPr>
      </w:pPr>
      <w:r>
        <w:t xml:space="preserve">Use smart pointers and their factory functions to allocate and manage heap memory.</w:t>
      </w:r>
    </w:p>
    <w:p>
      <w:pPr>
        <w:numPr>
          <w:ilvl w:val="0"/>
          <w:numId w:val="1080"/>
        </w:numPr>
      </w:pPr>
      <w:r>
        <w:t xml:space="preserve">For heap fragmentation issues, use special memory resource objects with appropriate allocation strategies.</w:t>
      </w:r>
    </w:p>
    <w:p>
      <w:pPr>
        <w:numPr>
          <w:ilvl w:val="0"/>
          <w:numId w:val="1080"/>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0"/>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Follow the avoidance mechanisms of ISO/IEC 24772-1 subclause 6.40.5. and the guidance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clause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Pr>
      <w:r>
        <w:t xml:space="preserve">Apply the avoidance mechanisms of ISO/IEC 24772-1 6.42.5</w:t>
      </w:r>
    </w:p>
    <w:p>
      <w:pPr>
        <w:numPr>
          <w:ilvl w:val="0"/>
          <w:numId w:val="1088"/>
        </w:numPr>
      </w:pPr>
      <w:r>
        <w:t xml:space="preserve">Use static analysis tools that identify violations of preconditions and postconditions.</w:t>
      </w:r>
    </w:p>
    <w:p>
      <w:pPr>
        <w:numPr>
          <w:ilvl w:val="0"/>
          <w:numId w:val="1088"/>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w:t>
      </w:r>
      <w:r>
        <w:t xml:space="preserve"> </w:t>
      </w:r>
      <w:r>
        <w:t xml:space="preserve">rely on proper virtual member functions in the base classes instead.</w:t>
      </w:r>
    </w:p>
    <w:p>
      <w:pPr>
        <w:numPr>
          <w:ilvl w:val="0"/>
          <w:numId w:val="1094"/>
        </w:numPr>
      </w:pPr>
      <w:r>
        <w:t xml:space="preserve">Avoid explicit upcast,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w:t>
      </w:r>
    </w:p>
    <w:p>
      <w:pPr>
        <w:numPr>
          <w:ilvl w:val="0"/>
          <w:numId w:val="1095"/>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w:t>
      </w:r>
      <w:r>
        <w:t xml:space="preserve"> </w:t>
      </w:r>
      <w:r>
        <w:t xml:space="preserve">interface simply with other language systems. It is left to the</w:t>
      </w:r>
      <w:r>
        <w:t xml:space="preserve"> </w:t>
      </w:r>
      <w:r>
        <w:t xml:space="preserve">implementation team the task of converting the results of these</w:t>
      </w:r>
      <w:r>
        <w:t xml:space="preserve"> </w:t>
      </w:r>
      <w:r>
        <w:t xml:space="preserve">paradigms to constructs that can cross an interface for further</w:t>
      </w:r>
      <w:r>
        <w:t xml:space="preserve"> </w:t>
      </w:r>
      <w:r>
        <w:t xml:space="preserve">processing in other languages.</w:t>
      </w:r>
    </w:p>
    <w:p>
      <w:pPr>
        <w:pStyle w:val="BodyText"/>
      </w:pPr>
      <w:r>
        <w:t xml:space="preserve">C++ compilers provide an application binary interface (ABI) that</w:t>
      </w:r>
      <w:r>
        <w:t xml:space="preserve"> </w:t>
      </w:r>
      <w:r>
        <w:t xml:space="preserve">delineates areas of interoperability with other languages or other C++</w:t>
      </w:r>
      <w:r>
        <w:t xml:space="preserve"> </w:t>
      </w:r>
      <w:r>
        <w:t xml:space="preserve">compiler/runtime systems. An ABI includes calling conventions, data</w:t>
      </w:r>
      <w:r>
        <w:t xml:space="preserve"> </w:t>
      </w:r>
      <w:r>
        <w:t xml:space="preserve">layout, error and exception handling and return conventions, name</w:t>
      </w:r>
      <w:r>
        <w:t xml:space="preserve"> </w:t>
      </w:r>
      <w:r>
        <w:t xml:space="preserve">mangling, data model, initialization of memory, and linkage to operating</w:t>
      </w:r>
      <w:r>
        <w:t xml:space="preserve"> </w:t>
      </w:r>
      <w:r>
        <w:t xml:space="preserve">systems and libraries.</w:t>
      </w:r>
    </w:p>
    <w:p>
      <w:pPr>
        <w:pStyle w:val="BodyText"/>
      </w:pPr>
      <w:r>
        <w:t xml:space="preserve">C++ compilers implement a C++ language linkage and a C language linkage.</w:t>
      </w:r>
      <w:r>
        <w:t xml:space="preserve"> </w:t>
      </w:r>
      <w:r>
        <w:t xml:space="preserve">It is implementation-defined what other languages the implementation</w:t>
      </w:r>
      <w:r>
        <w:t xml:space="preserve"> </w:t>
      </w:r>
      <w:r>
        <w:t xml:space="preserve">supports. Alternatively, other language systems provide linkages to C</w:t>
      </w:r>
      <w:r>
        <w:t xml:space="preserve"> </w:t>
      </w:r>
      <w:r>
        <w:t xml:space="preserve">systems[^3](Ada has developed a standard for interfacing with C. Fortran has included a Clause 15 that explains how to call C functions.), leaving the developer the task of channeling everything</w:t>
      </w:r>
      <w:r>
        <w:t xml:space="preserve"> </w:t>
      </w:r>
      <w:r>
        <w:t xml:space="preserve">through this common language system.</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standard layout types for the interoperable interfaces.</w:t>
      </w:r>
    </w:p>
    <w:p>
      <w:pPr>
        <w:numPr>
          <w:ilvl w:val="1"/>
          <w:numId w:val="1098"/>
        </w:numPr>
        <w:pStyle w:val="SourceCode"/>
      </w:pPr>
      <w:r>
        <w:rPr>
          <w:rStyle w:val="VerbatimChar"/>
        </w:rPr>
        <w:t xml:space="preserve">  Use language linkage facilities that support the languages being</w:t>
      </w:r>
    </w:p>
    <w:p>
      <w:pPr>
        <w:numPr>
          <w:ilvl w:val="1"/>
          <w:numId w:val="1000"/>
        </w:numPr>
      </w:pPr>
      <w:r>
        <w:t xml:space="preserve">used.</w:t>
      </w:r>
    </w:p>
    <w:p>
      <w:pPr>
        <w:numPr>
          <w:ilvl w:val="1"/>
          <w:numId w:val="1098"/>
        </w:numPr>
        <w:pStyle w:val="SourceCode"/>
      </w:pPr>
      <w:r>
        <w:rPr>
          <w:rStyle w:val="VerbatimChar"/>
        </w:rPr>
        <w:t xml:space="preserve">  EXP56-CPP. Do not call a function with a mismatched language</w:t>
      </w:r>
    </w:p>
    <w:p>
      <w:pPr>
        <w:numPr>
          <w:ilvl w:val="1"/>
          <w:numId w:val="1000"/>
        </w:numPr>
      </w:pPr>
      <w:r>
        <w:t xml:space="preserve">linkage (-&gt; 6.47)</w:t>
      </w:r>
    </w:p>
    <w:p>
      <w:pPr>
        <w:numPr>
          <w:ilvl w:val="1"/>
          <w:numId w:val="1098"/>
        </w:numPr>
        <w:pStyle w:val="SourceCode"/>
      </w:pPr>
      <w:r>
        <w:rPr>
          <w:rStyle w:val="VerbatimChar"/>
        </w:rPr>
        <w:t xml:space="preserve">  EXP60-CPP. Do not pass a nonstandard-layout type object across</w:t>
      </w:r>
    </w:p>
    <w:p>
      <w:pPr>
        <w:numPr>
          <w:ilvl w:val="1"/>
          <w:numId w:val="1000"/>
        </w:numPr>
      </w:pPr>
      <w:r>
        <w:t xml:space="preserve">(-&gt; 6.47 ?)</w:t>
      </w:r>
      <w:r>
        <w:br/>
      </w:r>
      <w:r>
        <w:t xml:space="preserve">execution boundaries</w:t>
      </w:r>
    </w:p>
    <w:p>
      <w:pPr>
        <w:numPr>
          <w:ilvl w:val="0"/>
          <w:numId w:val="1097"/>
        </w:numPr>
      </w:pPr>
      <w:r>
        <w:t xml:space="preserve">Be aware that the static initialization phase and dynamic</w:t>
      </w:r>
      <w:r>
        <w:t xml:space="preserve"> </w:t>
      </w:r>
      <w:r>
        <w:t xml:space="preserve">initialization for every language system are required before the</w:t>
      </w:r>
      <w:r>
        <w:t xml:space="preserve"> </w:t>
      </w:r>
      <w:r>
        <w:t xml:space="preserve">system begins execution</w:t>
      </w:r>
    </w:p>
    <w:p>
      <w:pPr>
        <w:numPr>
          <w:ilvl w:val="0"/>
          <w:numId w:val="1097"/>
        </w:numPr>
      </w:pPr>
      <w:r>
        <w:t xml:space="preserve">Be aware that C++ exceptions are not usually compatible with</w:t>
      </w:r>
      <w:r>
        <w:t xml:space="preserve"> </w:t>
      </w:r>
      <w:r>
        <w:t xml:space="preserve">exceptions in other languages.</w:t>
      </w:r>
    </w:p>
    <w:p>
      <w:pPr>
        <w:numPr>
          <w:ilvl w:val="0"/>
          <w:numId w:val="1097"/>
        </w:numPr>
      </w:pPr>
      <w:r>
        <w:t xml:space="preserve">Segregate outgoing cross-language interfacing code into functions</w:t>
      </w:r>
      <w:r>
        <w:t xml:space="preserve"> </w:t>
      </w:r>
      <w:r>
        <w:t xml:space="preserve">that present a C++ interface to the C++ code and implements that</w:t>
      </w:r>
      <w:r>
        <w:t xml:space="preserve"> </w:t>
      </w:r>
      <w:r>
        <w:t xml:space="preserve">interface by calling code compatible with the other language system.</w:t>
      </w:r>
      <w:r>
        <w:t xml:space="preserve"> </w:t>
      </w:r>
      <w:r>
        <w:t xml:space="preserve">Similarly implement incoming cross-language interfaces by providing</w:t>
      </w:r>
      <w:r>
        <w:t xml:space="preserve"> </w:t>
      </w:r>
      <w:r>
        <w:t xml:space="preserve">simplified functions that presents a simplified (C or other</w:t>
      </w:r>
      <w:r>
        <w:t xml:space="preserve"> </w:t>
      </w:r>
      <w:r>
        <w:t xml:space="preserve">language) interface and is implemented by calling C++ code with the</w:t>
      </w:r>
      <w:r>
        <w:t xml:space="preserve"> </w:t>
      </w:r>
      <w:r>
        <w:t xml:space="preserve">correct style.</w:t>
      </w:r>
    </w:p>
    <w:p>
      <w:pPr>
        <w:numPr>
          <w:ilvl w:val="0"/>
          <w:numId w:val="1097"/>
        </w:numPr>
      </w:pPr>
      <w:r>
        <w:t xml:space="preserve">Separate the interfacing code from the code containing the main</w:t>
      </w:r>
      <w:r>
        <w:t xml:space="preserve"> </w:t>
      </w:r>
      <w:r>
        <w:t xml:space="preserve">functionality</w:t>
      </w:r>
    </w:p>
    <w:p>
      <w:pPr>
        <w:pStyle w:val="FirstParagraph"/>
      </w:pPr>
      <w:r>
        <w:t xml:space="preserve">See also the C++ Core Guidelines CPL.3.</w:t>
      </w:r>
    </w:p>
    <w:p>
      <w:pPr>
        <w:pStyle w:val="BodyText"/>
      </w:pPr>
      <w:r>
        <w:rPr>
          <w:i/>
        </w:rPr>
        <w:t xml:space="preserve">AI 63-6 – group – add the guidance from 6.47.2 Interoperability into</w:t>
      </w:r>
      <w:r>
        <w:rPr>
          <w:i/>
        </w:rPr>
        <w:t xml:space="preserve"> </w:t>
      </w:r>
      <w:r>
        <w:rPr>
          <w:i/>
        </w:rPr>
        <w:t xml:space="preserve">the Core Guidelines.</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applies to C++. 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Follow the avoidance mechanisms of ISO/IEC 24772-1 clause 6.48.5 and ISO/IEC 24772-3 clause 6.48.2.</w:t>
      </w:r>
    </w:p>
    <w:p>
      <w:pPr>
        <w:numPr>
          <w:ilvl w:val="0"/>
          <w:numId w:val="1099"/>
        </w:numPr>
        <w:pStyle w:val="Compact"/>
      </w:pPr>
      <w:r>
        <w:t xml:space="preserve">Follow the avoidance mechanisms of 6.11.2 Pointer type conversions [HFC].</w:t>
      </w:r>
    </w:p>
    <w:p>
      <w:pPr>
        <w:numPr>
          <w:ilvl w:val="0"/>
          <w:numId w:val="1099"/>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clause 6.49</w:t>
      </w:r>
      <w:r>
        <w:t xml:space="preserve"> </w:t>
      </w:r>
      <w:r>
        <w:t xml:space="preserve">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0"/>
        </w:numPr>
      </w:pPr>
      <w:r>
        <w:t xml:space="preserve">Follow the avoidance mechanisms of ISO/IEC 24772-1 clause 6.49.5.</w:t>
      </w:r>
    </w:p>
    <w:p>
      <w:pPr>
        <w:numPr>
          <w:ilvl w:val="0"/>
          <w:numId w:val="1100"/>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2" w:name="X165926c342ab175b2667683b6cb7551fc7b18d8"/>
    <w:p>
      <w:pPr>
        <w:pStyle w:val="Heading2"/>
      </w:pPr>
      <w:r>
        <w:t xml:space="preserve">6.50. Unanticipated Exceptions from Library Routines [HJW]</w:t>
      </w:r>
    </w:p>
    <w:bookmarkStart w:id="190" w:name="applicability-to-language"/>
    <w:p>
      <w:pPr>
        <w:pStyle w:val="Heading3"/>
      </w:pPr>
      <w:r>
        <w:t xml:space="preserve">6.50.1 Applicability to language</w:t>
      </w:r>
    </w:p>
    <w:p>
      <w:pPr>
        <w:pStyle w:val="FirstParagraph"/>
      </w:pPr>
      <w:r>
        <w:t xml:space="preserve">The vulnerability as documented in ISO IEC 24772-1:2019 clause 6.50</w:t>
      </w:r>
      <w:r>
        <w:t xml:space="preserve"> </w:t>
      </w:r>
      <w:r>
        <w:t xml:space="preserve">exists for C++. C++ supports both the exception mechanism and the error return mechanism.</w:t>
      </w:r>
      <w:r>
        <w:t xml:space="preserve"> </w:t>
      </w:r>
      <w:r>
        <w:t xml:space="preserve">This clause assumes that any exceptions thrown by an external library are compatible with C++, otherwise the result is undefined.</w:t>
      </w:r>
    </w:p>
    <w:p>
      <w:pPr>
        <w:pStyle w:val="BodyText"/>
      </w:pPr>
      <w:r>
        <w:t xml:space="preserve">When calling a function from a library whose source code is not visible, an</w:t>
      </w:r>
      <w:r>
        <w:t xml:space="preserve"> </w:t>
      </w:r>
      <w:r>
        <w:t xml:space="preserve">unknown exception can be thrown.</w:t>
      </w:r>
      <w:r>
        <w:t xml:space="preserve"> </w:t>
      </w:r>
      <w:r>
        <w:t xml:space="preserve">For such cases, the exception thrown from such a function is guaranteed</w:t>
      </w:r>
      <w:r>
        <w:t xml:space="preserve"> </w:t>
      </w:r>
      <w:r>
        <w:t xml:space="preserve">to be caught by</w:t>
      </w:r>
      <w:r>
        <w:t xml:space="preserve"> </w:t>
      </w:r>
      <w:r>
        <w:rPr>
          <w:rStyle w:val="ControlFlowTok"/>
        </w:rPr>
        <w:t xml:space="preserve">catch</w:t>
      </w:r>
      <w:r>
        <w:rPr>
          <w:rStyle w:val="NormalTok"/>
        </w:rPr>
        <w:t xml:space="preserve">(...)</w:t>
      </w:r>
      <w:r>
        <w:t xml:space="preserve">. See</w:t>
      </w:r>
      <w:r>
        <w:t xml:space="preserve"> </w:t>
      </w:r>
      <w:bookmarkStart w:id="189" w:name="OYB"/>
      <w:r>
        <w:t xml:space="preserve">Ignored Error Status and Unhandled Exceptions</w:t>
      </w:r>
      <w:r>
        <w:t xml:space="preserve"> </w:t>
      </w:r>
      <w:r>
        <w:t xml:space="preserve">[OYB]</w:t>
      </w:r>
      <w:bookmarkEnd w:id="189"/>
      <w:r>
        <w:t xml:space="preserve">.</w:t>
      </w:r>
    </w:p>
    <w:bookmarkEnd w:id="190"/>
    <w:bookmarkStart w:id="191"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 IEC 24772-1 6.50.</w:t>
      </w:r>
    </w:p>
    <w:p>
      <w:pPr>
        <w:numPr>
          <w:ilvl w:val="0"/>
          <w:numId w:val="1101"/>
        </w:numPr>
      </w:pPr>
      <w:r>
        <w:t xml:space="preserve">Apply the avoidance mechanisms of clause 6.36.2 for catching and handling</w:t>
      </w:r>
      <w:r>
        <w:t xml:space="preserve"> </w:t>
      </w:r>
      <w:r>
        <w:t xml:space="preserve">exceptions.</w:t>
      </w:r>
    </w:p>
    <w:p>
      <w:pPr>
        <w:numPr>
          <w:ilvl w:val="0"/>
          <w:numId w:val="1101"/>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1"/>
    <w:bookmarkEnd w:id="192"/>
    <w:bookmarkStart w:id="195" w:name="NMP"/>
    <w:p>
      <w:pPr>
        <w:pStyle w:val="Heading2"/>
      </w:pPr>
      <w:r>
        <w:t xml:space="preserve">6.51 Pre-processor Directives [NMP]</w:t>
      </w:r>
    </w:p>
    <w:bookmarkStart w:id="193"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bookmarkEnd w:id="193"/>
    <w:bookmarkStart w:id="19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2"/>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3"/>
        </w:numPr>
        <w:pStyle w:val="Compact"/>
      </w:pPr>
      <w:r>
        <w:t xml:space="preserve">its parameters and body are parenthesized;</w:t>
      </w:r>
    </w:p>
    <w:p>
      <w:pPr>
        <w:numPr>
          <w:ilvl w:val="1"/>
          <w:numId w:val="1103"/>
        </w:numPr>
        <w:pStyle w:val="Compact"/>
      </w:pPr>
      <w:r>
        <w:t xml:space="preserve">each argument is evaluated at most once;</w:t>
      </w:r>
    </w:p>
    <w:p>
      <w:pPr>
        <w:numPr>
          <w:ilvl w:val="1"/>
          <w:numId w:val="1103"/>
        </w:numPr>
        <w:pStyle w:val="Compact"/>
      </w:pPr>
      <w:r>
        <w:t xml:space="preserve">the replaced code does not have side effects.</w:t>
      </w:r>
    </w:p>
    <w:p>
      <w:pPr>
        <w:numPr>
          <w:ilvl w:val="0"/>
          <w:numId w:val="1102"/>
        </w:numPr>
      </w:pPr>
      <w:r>
        <w:t xml:space="preserve">Ensure that arguments to function-like macros do not resemble a preprocessing directive.</w:t>
      </w:r>
    </w:p>
    <w:p>
      <w:pPr>
        <w:numPr>
          <w:ilvl w:val="0"/>
          <w:numId w:val="1102"/>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2"/>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2"/>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2"/>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2"/>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2"/>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bookmarkEnd w:id="194"/>
    <w:bookmarkEnd w:id="195"/>
    <w:bookmarkStart w:id="198" w:name="Xe4ed1f6d7e7049a22cf11fb58e9b78561722b0b"/>
    <w:p>
      <w:pPr>
        <w:pStyle w:val="Heading2"/>
      </w:pPr>
      <w:r>
        <w:t xml:space="preserve">6.52 Suppression of Language-defined Run-time Checking [MXB]</w:t>
      </w:r>
    </w:p>
    <w:bookmarkStart w:id="196"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TR 24772-1:2019 clause 6.52 does not apply to C++, because there is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6"/>
    <w:bookmarkStart w:id="197"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clause 6.52.5.</w:t>
      </w:r>
    </w:p>
    <w:bookmarkEnd w:id="197"/>
    <w:bookmarkEnd w:id="198"/>
    <w:bookmarkStart w:id="201" w:name="X2e6df9becdc68c65fdb33865090fafdb8a33550"/>
    <w:p>
      <w:pPr>
        <w:pStyle w:val="Heading2"/>
      </w:pPr>
      <w:r>
        <w:t xml:space="preserve">6.53 Provision of Inherently Unsafe Operations [SKL]</w:t>
      </w:r>
    </w:p>
    <w:bookmarkStart w:id="199" w:name="applicability-to-language"/>
    <w:p>
      <w:pPr>
        <w:pStyle w:val="Heading3"/>
      </w:pPr>
      <w:r>
        <w:t xml:space="preserve">6.53.1 Applicability to language</w:t>
      </w:r>
    </w:p>
    <w:p>
      <w:pPr>
        <w:pStyle w:val="FirstParagraph"/>
      </w:pPr>
      <w:r>
        <w:t xml:space="preserve">The vulnerability as described in ISO/IEC 24772-1:2019 clause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199"/>
    <w:bookmarkStart w:id="200"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and ISO/IEC TR 24772-3:2020 clause 6.53.5.</w:t>
      </w:r>
    </w:p>
    <w:p>
      <w:pPr>
        <w:numPr>
          <w:ilvl w:val="0"/>
          <w:numId w:val="1104"/>
        </w:numPr>
      </w:pPr>
      <w:r>
        <w:t xml:space="preserve">Enable checks that warn about unsafe operations.</w:t>
      </w:r>
    </w:p>
    <w:p>
      <w:pPr>
        <w:numPr>
          <w:ilvl w:val="0"/>
          <w:numId w:val="1104"/>
        </w:numPr>
      </w:pPr>
      <w:r>
        <w:t xml:space="preserve">Apply static analysis tools to detect unsafe constructs.</w:t>
      </w:r>
    </w:p>
    <w:bookmarkEnd w:id="200"/>
    <w:bookmarkEnd w:id="201"/>
    <w:bookmarkStart w:id="204" w:name="BRS"/>
    <w:p>
      <w:pPr>
        <w:pStyle w:val="Heading2"/>
      </w:pPr>
      <w:r>
        <w:t xml:space="preserve">6.54 Obscure Language Features [BRS]</w:t>
      </w:r>
    </w:p>
    <w:bookmarkStart w:id="202" w:name="applicability-of-language"/>
    <w:p>
      <w:pPr>
        <w:pStyle w:val="Heading3"/>
      </w:pPr>
      <w:r>
        <w:t xml:space="preserve">6.54.1 Applicability of language</w:t>
      </w:r>
    </w:p>
    <w:p>
      <w:pPr>
        <w:pStyle w:val="FirstParagraph"/>
      </w:pPr>
      <w:r>
        <w:t xml:space="preserve">The vulnerability as described in ISO/IEC 24772-1 clause 6.54</w:t>
      </w:r>
      <w:r>
        <w:t xml:space="preserve"> </w:t>
      </w:r>
      <w:r>
        <w:t xml:space="preserve">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2"/>
    <w:bookmarkStart w:id="203"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clause 6.54.5.</w:t>
      </w:r>
      <w:r>
        <w:t xml:space="preserve"> </w:t>
      </w:r>
      <w:r>
        <w:t xml:space="preserve">- Use static analysis tools, including multiple compilers from different sources and with appropriate levels of checking to help identify occurrences of obscure language features.</w:t>
      </w:r>
    </w:p>
    <w:bookmarkEnd w:id="203"/>
    <w:bookmarkEnd w:id="204"/>
    <w:bookmarkStart w:id="207" w:name="unspecified-behaviour-bqf"/>
    <w:p>
      <w:pPr>
        <w:pStyle w:val="Heading2"/>
      </w:pPr>
      <w:r>
        <w:t xml:space="preserve">6.55 Unspecified Behaviour [BQF]</w:t>
      </w:r>
    </w:p>
    <w:bookmarkStart w:id="205" w:name="applicability-of-language"/>
    <w:p>
      <w:pPr>
        <w:pStyle w:val="Heading3"/>
      </w:pPr>
      <w:r>
        <w:t xml:space="preserve">6.55.1 Applicability of language</w:t>
      </w:r>
    </w:p>
    <w:p>
      <w:pPr>
        <w:pStyle w:val="FirstParagraph"/>
      </w:pPr>
      <w:r>
        <w:t xml:space="preserve">The vulnerability as described in ISO/IEC 24772-1:2019 clause 6.55</w:t>
      </w:r>
      <w:r>
        <w:t xml:space="preserve"> </w:t>
      </w:r>
      <w:r>
        <w:t xml:space="preserve">applies to C++.</w:t>
      </w:r>
    </w:p>
    <w:p>
      <w:pPr>
        <w:pStyle w:val="BodyText"/>
      </w:pPr>
      <w:r>
        <w:t xml:space="preserve">In the following example, the value of</w:t>
      </w:r>
      <w:r>
        <w:t xml:space="preserve"> </w:t>
      </w:r>
      <w:r>
        <w:rPr>
          <w:rStyle w:val="NormalTok"/>
        </w:rPr>
        <w:t xml:space="preserve">size</w:t>
      </w:r>
      <w:r>
        <w:t xml:space="preserve"> </w:t>
      </w:r>
      <w:r>
        <w:t xml:space="preserve">can be different than the length of</w:t>
      </w:r>
      <w:r>
        <w:t xml:space="preserve"> </w:t>
      </w:r>
      <w:r>
        <w:rPr>
          <w:rStyle w:val="NormalTok"/>
        </w:rPr>
        <w:t xml:space="preserve">data</w:t>
      </w:r>
      <w:r>
        <w:t xml:space="preserve"> </w:t>
      </w:r>
      <w:r>
        <w:t xml:space="preserve">because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bookmarkEnd w:id="205"/>
    <w:bookmarkStart w:id="206"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 clause 6.55.5.</w:t>
      </w:r>
    </w:p>
    <w:p>
      <w:pPr>
        <w:numPr>
          <w:ilvl w:val="0"/>
          <w:numId w:val="1105"/>
        </w:numPr>
      </w:pPr>
      <w:r>
        <w:t xml:space="preserve">Use static analysis tools and multiple compilers/tools from different sources to help identify occurrences of unspecified behaviour.</w:t>
      </w:r>
    </w:p>
    <w:bookmarkEnd w:id="206"/>
    <w:bookmarkEnd w:id="207"/>
    <w:bookmarkStart w:id="210" w:name="EWF"/>
    <w:p>
      <w:pPr>
        <w:pStyle w:val="Heading2"/>
      </w:pPr>
      <w:r>
        <w:t xml:space="preserve">6.56 Undefined Behaviour [EWF]</w:t>
      </w:r>
    </w:p>
    <w:bookmarkStart w:id="208" w:name="applicability-to-language"/>
    <w:p>
      <w:pPr>
        <w:pStyle w:val="Heading3"/>
      </w:pPr>
      <w:r>
        <w:t xml:space="preserve">6.56.1 Applicability to language</w:t>
      </w:r>
    </w:p>
    <w:p>
      <w:pPr>
        <w:pStyle w:val="FirstParagraph"/>
      </w:pPr>
      <w:r>
        <w:t xml:space="preserve">The vulnerability as described in ISO/IEC 24772-1 clause 6.56</w:t>
      </w:r>
      <w:r>
        <w:t xml:space="preserve"> </w:t>
      </w:r>
      <w:r>
        <w:t xml:space="preserve">applies to C++. 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w:t>
      </w:r>
      <w:r>
        <w:t xml:space="preserve"> </w:t>
      </w:r>
      <w:r>
        <w:t xml:space="preserve">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UB often appears to work correctly but masks situations that can result in serious consequences, for example:</w:t>
      </w:r>
    </w:p>
    <w:p>
      <w:pPr>
        <w:numPr>
          <w:ilvl w:val="0"/>
          <w:numId w:val="1106"/>
        </w:numPr>
        <w:pStyle w:val="Compact"/>
      </w:pPr>
      <w:r>
        <w:t xml:space="preserve">Compilers optimize based on the assemed lack of UB, that can result in the incorrect pruning of code paths</w:t>
      </w:r>
    </w:p>
    <w:p>
      <w:pPr>
        <w:numPr>
          <w:ilvl w:val="0"/>
          <w:numId w:val="1106"/>
        </w:numPr>
        <w:pStyle w:val="Compact"/>
      </w:pPr>
      <w:r>
        <w:t xml:space="preserve">Compiler (or tool chain) changes or updates can result in previously undetected UB’s being manifested with serious consequences.</w:t>
      </w:r>
    </w:p>
    <w:p>
      <w:pPr>
        <w:numPr>
          <w:ilvl w:val="0"/>
          <w:numId w:val="1106"/>
        </w:numPr>
        <w:pStyle w:val="Compact"/>
      </w:pPr>
      <w:r>
        <w:t xml:space="preserve">If the impact of a UB is the overwriting of some memory location, non-obvious changes to the source code can result in a previously benign action now having serious consequences.</w:t>
      </w:r>
    </w:p>
    <w:p>
      <w:pPr>
        <w:numPr>
          <w:ilvl w:val="0"/>
          <w:numId w:val="1106"/>
        </w:numPr>
        <w:pStyle w:val="Compact"/>
      </w:pPr>
      <w:r>
        <w:t xml:space="preserve">The impact of the UB often depends on additional factors, for example the available capacity of a container decides if memory needs to be reallocated.</w:t>
      </w:r>
    </w:p>
    <w:p>
      <w:pPr>
        <w:pStyle w:val="FirstParagraph"/>
      </w:pPr>
      <w:r>
        <w:t xml:space="preserve">Undefined behaviour often manifests in code distant from where the UB occured, resulting in extremely hard to find bug.</w:t>
      </w:r>
      <w:r>
        <w:t xml:space="preserve"> </w:t>
      </w:r>
      <w:r>
        <w:t xml:space="preserve">Therfore,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8"/>
    <w:bookmarkStart w:id="209"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7"/>
        </w:numPr>
      </w:pPr>
      <w:r>
        <w:t xml:space="preserve">Follow the avoidance mechanisms of ISO/IEC 24772-1 clause 6.56.5.</w:t>
      </w:r>
    </w:p>
    <w:p>
      <w:pPr>
        <w:numPr>
          <w:ilvl w:val="0"/>
          <w:numId w:val="1107"/>
        </w:numPr>
      </w:pPr>
      <w:r>
        <w:t xml:space="preserve">Exploit compile-time evaluation whenever possible to detect undefined behaviour.</w:t>
      </w:r>
    </w:p>
    <w:p>
      <w:pPr>
        <w:numPr>
          <w:ilvl w:val="0"/>
          <w:numId w:val="1107"/>
        </w:numPr>
      </w:pPr>
      <w:r>
        <w:t xml:space="preserve">Use static analysis tools to help identify occurrences and consequences of undefined behaviour.</w:t>
      </w:r>
    </w:p>
    <w:p>
      <w:pPr>
        <w:numPr>
          <w:ilvl w:val="0"/>
          <w:numId w:val="1107"/>
        </w:numPr>
      </w:pPr>
      <w:r>
        <w:t xml:space="preserve">Use runtime tools such as ASAN (address sanitizer) and related tools.</w:t>
      </w:r>
    </w:p>
    <w:p>
      <w:pPr>
        <w:numPr>
          <w:ilvl w:val="0"/>
          <w:numId w:val="1107"/>
        </w:numPr>
      </w:pPr>
      <w:r>
        <w:t xml:space="preserve">Use multiple compilers/tools and different optimization levels to</w:t>
      </w:r>
      <w:r>
        <w:t xml:space="preserve"> </w:t>
      </w:r>
      <w:r>
        <w:t xml:space="preserve">increase the chance of identifying constructs that have undefined</w:t>
      </w:r>
      <w:r>
        <w:t xml:space="preserve"> </w:t>
      </w:r>
      <w:r>
        <w:t xml:space="preserve">behaviours.</w:t>
      </w:r>
    </w:p>
    <w:p>
      <w:pPr>
        <w:numPr>
          <w:ilvl w:val="0"/>
          <w:numId w:val="1107"/>
        </w:numPr>
      </w:pPr>
      <w:r>
        <w:t xml:space="preserve">Where the C++ language or library provide both defined behaviour mechanisms and</w:t>
      </w:r>
      <w:r>
        <w:t xml:space="preserve"> </w:t>
      </w:r>
      <w:r>
        <w:t xml:space="preserve">undefined behaviour mechanisms, mandate the use the mechanisms with</w:t>
      </w:r>
      <w:r>
        <w:t xml:space="preserve"> </w:t>
      </w:r>
      <w:r>
        <w:t xml:space="preserve">defined behaviours.</w:t>
      </w:r>
    </w:p>
    <w:p>
      <w:pPr>
        <w:numPr>
          <w:ilvl w:val="0"/>
          <w:numId w:val="1107"/>
        </w:numPr>
      </w:pPr>
      <w:r>
        <w:t xml:space="preserve">Explicitly test or use assertions for situations that can cause undefined behaviour.</w:t>
      </w:r>
    </w:p>
    <w:bookmarkEnd w:id="209"/>
    <w:bookmarkEnd w:id="210"/>
    <w:bookmarkStart w:id="213" w:name="implementation-defined-behaviour-fab"/>
    <w:p>
      <w:pPr>
        <w:pStyle w:val="Heading2"/>
      </w:pPr>
      <w:r>
        <w:t xml:space="preserve">6.57 Implementation-defined Behaviour [FAB]</w:t>
      </w:r>
    </w:p>
    <w:bookmarkStart w:id="211" w:name="applicability-to-language"/>
    <w:p>
      <w:pPr>
        <w:pStyle w:val="Heading3"/>
      </w:pPr>
      <w:r>
        <w:t xml:space="preserve">6.57.1 Applicability to language</w:t>
      </w:r>
    </w:p>
    <w:p>
      <w:pPr>
        <w:pStyle w:val="FirstParagraph"/>
      </w:pPr>
      <w:r>
        <w:t xml:space="preserve">The vulnerability as described in ISO/IEC 24772-1:2019 clause 6.57</w:t>
      </w:r>
      <w:r>
        <w:t xml:space="preserve"> </w:t>
      </w:r>
      <w:r>
        <w:t xml:space="preserve">applies to C++. In ISO/IEC 14882, the term</w:t>
      </w:r>
      <w:r>
        <w:t xml:space="preserve"> </w:t>
      </w:r>
      <w:r>
        <w:t xml:space="preserve">“</w:t>
      </w:r>
      <w:r>
        <w:t xml:space="preserve">implementation-defined</w:t>
      </w:r>
      <w:r>
        <w:t xml:space="preserve">”</w:t>
      </w:r>
      <w:r>
        <w:t xml:space="preserve"> </w:t>
      </w:r>
      <w:r>
        <w:t xml:space="preserve">is used to describe implementation-defined behaviour. In addition, the</w:t>
      </w:r>
      <w:r>
        <w:t xml:space="preserve"> </w:t>
      </w:r>
      <w:r>
        <w:t xml:space="preserve">C++ standard provides a dedicated index titled,</w:t>
      </w:r>
      <w:r>
        <w:t xml:space="preserve"> </w:t>
      </w:r>
      <w:r>
        <w:t xml:space="preserve">“</w:t>
      </w:r>
      <w:r>
        <w:t xml:space="preserve">Index of</w:t>
      </w:r>
      <w:r>
        <w:t xml:space="preserve"> </w:t>
      </w:r>
      <w:r>
        <w:t xml:space="preserve">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8"/>
        </w:numPr>
      </w:pPr>
      <w:r>
        <w:t xml:space="preserve">A given implementation may change or remove an implementation-defined behaviour; and</w:t>
      </w:r>
    </w:p>
    <w:p>
      <w:pPr>
        <w:numPr>
          <w:ilvl w:val="0"/>
          <w:numId w:val="1108"/>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1"/>
    <w:bookmarkStart w:id="212"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6.57.5.</w:t>
      </w:r>
    </w:p>
    <w:p>
      <w:pPr>
        <w:numPr>
          <w:ilvl w:val="0"/>
          <w:numId w:val="1109"/>
        </w:numPr>
      </w:pPr>
      <w:r>
        <w:t xml:space="preserve">Eliminate to the extent possible any reliance on</w:t>
      </w:r>
      <w:r>
        <w:t xml:space="preserve"> </w:t>
      </w:r>
      <w:r>
        <w:t xml:space="preserve">implementation-defined behaviour from programs in order to increase</w:t>
      </w:r>
      <w:r>
        <w:t xml:space="preserve"> </w:t>
      </w:r>
      <w:r>
        <w:t xml:space="preserve">portability.</w:t>
      </w:r>
    </w:p>
    <w:p>
      <w:pPr>
        <w:numPr>
          <w:ilvl w:val="0"/>
          <w:numId w:val="1109"/>
        </w:numPr>
      </w:pPr>
      <w:r>
        <w:t xml:space="preserve">Use multiple compilers/tools to increase the likelyhood of identifying</w:t>
      </w:r>
      <w:r>
        <w:t xml:space="preserve"> </w:t>
      </w:r>
      <w:r>
        <w:t xml:space="preserve">constructs that have implementation-defined behaviours.</w:t>
      </w:r>
    </w:p>
    <w:p>
      <w:pPr>
        <w:numPr>
          <w:ilvl w:val="0"/>
          <w:numId w:val="1109"/>
        </w:numPr>
      </w:pPr>
      <w:r>
        <w:t xml:space="preserve">Refer to</w:t>
      </w:r>
      <w:r>
        <w:t xml:space="preserve"> </w:t>
      </w:r>
      <w:r>
        <w:t xml:space="preserve">“</w:t>
      </w:r>
      <w:r>
        <w:t xml:space="preserve">Index of implementation-defined behavior</w:t>
      </w:r>
      <w:r>
        <w:t xml:space="preserve">”</w:t>
      </w:r>
      <w:r>
        <w:t xml:space="preserve"> </w:t>
      </w:r>
      <w:r>
        <w:t xml:space="preserve">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2"/>
    <w:bookmarkEnd w:id="213"/>
    <w:bookmarkStart w:id="216" w:name="deprecated-language-features-mem"/>
    <w:p>
      <w:pPr>
        <w:pStyle w:val="Heading2"/>
      </w:pPr>
      <w:r>
        <w:t xml:space="preserve">6.58 Deprecated Language Features [MEM]</w:t>
      </w:r>
    </w:p>
    <w:bookmarkStart w:id="214" w:name="applicability-to-language"/>
    <w:p>
      <w:pPr>
        <w:pStyle w:val="Heading3"/>
      </w:pPr>
      <w:r>
        <w:t xml:space="preserve">6.58.1 Applicability to language</w:t>
      </w:r>
    </w:p>
    <w:p>
      <w:pPr>
        <w:pStyle w:val="FirstParagraph"/>
      </w:pPr>
      <w:r>
        <w:t xml:space="preserve">The vulnerability as described in ISO/IEC 24772-1 clause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4"/>
    <w:bookmarkStart w:id="215"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 clause 6.58.5.</w:t>
      </w:r>
    </w:p>
    <w:p>
      <w:pPr>
        <w:numPr>
          <w:ilvl w:val="0"/>
          <w:numId w:val="1110"/>
        </w:numPr>
      </w:pPr>
      <w:r>
        <w:t xml:space="preserve">Enable compiler options or use static analysis tools that identify the</w:t>
      </w:r>
      <w:r>
        <w:t xml:space="preserve"> </w:t>
      </w:r>
      <w:r>
        <w:t xml:space="preserve">use of deprecated features.</w:t>
      </w:r>
    </w:p>
    <w:p>
      <w:pPr>
        <w:numPr>
          <w:ilvl w:val="0"/>
          <w:numId w:val="1110"/>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5"/>
    <w:bookmarkEnd w:id="216"/>
    <w:bookmarkStart w:id="219" w:name="CGA"/>
    <w:p>
      <w:pPr>
        <w:pStyle w:val="Heading2"/>
      </w:pPr>
      <w:r>
        <w:t xml:space="preserve">6.59 Concurrency – Activation [CGA]</w:t>
      </w:r>
    </w:p>
    <w:bookmarkStart w:id="217"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7"/>
    <w:bookmarkStart w:id="218"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1"/>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1"/>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1"/>
        </w:numPr>
        <w:pStyle w:val="Compact"/>
      </w:pPr>
      <w:r>
        <w:t xml:space="preserve">When handling the exception thrown due to failure to create a thread, ensure that potentially dependent other threads are informed.</w:t>
      </w:r>
    </w:p>
    <w:p>
      <w:pPr>
        <w:numPr>
          <w:ilvl w:val="0"/>
          <w:numId w:val="1111"/>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1"/>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1"/>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8"/>
    <w:bookmarkEnd w:id="219"/>
    <w:bookmarkStart w:id="221" w:name="concurrency-directed-termination-cgt"/>
    <w:p>
      <w:pPr>
        <w:pStyle w:val="Heading2"/>
      </w:pPr>
      <w:r>
        <w:t xml:space="preserve">6.60 Concurrency – Directed termination [CGT]</w:t>
      </w:r>
    </w:p>
    <w:bookmarkStart w:id="220"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0"/>
    <w:bookmarkEnd w:id="221"/>
    <w:bookmarkStart w:id="222"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 threads created using the C library, follow the avoidance mechanisms of ISO/IEC TR 24772-3.</w:t>
      </w:r>
    </w:p>
    <w:p>
      <w:pPr>
        <w:numPr>
          <w:ilvl w:val="0"/>
          <w:numId w:val="1112"/>
        </w:numPr>
      </w:pPr>
      <w:r>
        <w:t xml:space="preserve">Follow the avoidance mechanisms of ISO/IEC 24772-1 clause 6.60.5.</w:t>
      </w:r>
    </w:p>
    <w:p>
      <w:pPr>
        <w:numPr>
          <w:ilvl w:val="0"/>
          <w:numId w:val="1112"/>
        </w:numPr>
      </w:pPr>
      <w:r>
        <w:t xml:space="preserve">Use code reviews and static analysis tools if available, to ensure that threads correctly terminate.</w:t>
      </w:r>
    </w:p>
    <w:bookmarkEnd w:id="222"/>
    <w:bookmarkStart w:id="225" w:name="CGX"/>
    <w:p>
      <w:pPr>
        <w:pStyle w:val="Heading2"/>
      </w:pPr>
      <w:r>
        <w:t xml:space="preserve">6.61 Concurrent Data Access [CGX]</w:t>
      </w:r>
    </w:p>
    <w:bookmarkStart w:id="223"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3"/>
    <w:bookmarkStart w:id="224"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3"/>
        </w:numPr>
      </w:pPr>
      <w:r>
        <w:t xml:space="preserve">Place all mutable data in memory accessible to only one thread at a time;</w:t>
      </w:r>
    </w:p>
    <w:p>
      <w:pPr>
        <w:numPr>
          <w:ilvl w:val="0"/>
          <w:numId w:val="1113"/>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3"/>
        </w:numPr>
      </w:pPr>
      <w:r>
        <w:t xml:space="preserve">Prohibit calling lock and unlock facilities directly.</w:t>
      </w:r>
    </w:p>
    <w:p>
      <w:pPr>
        <w:numPr>
          <w:ilvl w:val="0"/>
          <w:numId w:val="1113"/>
        </w:numPr>
      </w:pPr>
      <w:r>
        <w:t xml:space="preserve">Forbid the use of volatile for synchronization;</w:t>
      </w:r>
    </w:p>
    <w:p>
      <w:pPr>
        <w:numPr>
          <w:ilvl w:val="0"/>
          <w:numId w:val="1113"/>
        </w:numPr>
      </w:pPr>
      <w:r>
        <w:t xml:space="preserve">Avoid specifying memory orders on atomic operations other than sequential consistency;</w:t>
      </w:r>
    </w:p>
    <w:p>
      <w:pPr>
        <w:numPr>
          <w:ilvl w:val="0"/>
          <w:numId w:val="1113"/>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3"/>
        </w:numPr>
      </w:pPr>
      <w:r>
        <w:t xml:space="preserve">Pass all thread function arguments by non-pointer-like values.</w:t>
      </w:r>
    </w:p>
    <w:bookmarkEnd w:id="224"/>
    <w:bookmarkEnd w:id="225"/>
    <w:bookmarkStart w:id="229" w:name="concurrency-premature-termination-cgs"/>
    <w:p>
      <w:pPr>
        <w:pStyle w:val="Heading2"/>
      </w:pPr>
      <w:r>
        <w:t xml:space="preserve">6.62 Concurrency – Premature Termination [CGS]</w:t>
      </w:r>
    </w:p>
    <w:bookmarkStart w:id="226" w:name="applicability-to-language"/>
    <w:p>
      <w:pPr>
        <w:pStyle w:val="Heading3"/>
      </w:pPr>
      <w:r>
        <w:t xml:space="preserve">6.62.1 Applicability to language</w:t>
      </w:r>
    </w:p>
    <w:bookmarkEnd w:id="226"/>
    <w:bookmarkStart w:id="227"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7"/>
    <w:bookmarkStart w:id="228"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4"/>
        </w:numPr>
      </w:pPr>
      <w:r>
        <w:t xml:space="preserve">Use the avoidance mechanisms of ISO/IEC 24772-1 clause 6.63.5.</w:t>
      </w:r>
    </w:p>
    <w:p>
      <w:pPr>
        <w:numPr>
          <w:ilvl w:val="0"/>
          <w:numId w:val="1114"/>
        </w:numPr>
      </w:pPr>
      <w:r>
        <w:t xml:space="preserve">Use low-level operating system primitives or other APIs where</w:t>
      </w:r>
      <w:r>
        <w:t xml:space="preserve"> </w:t>
      </w:r>
      <w:r>
        <w:t xml:space="preserve">available to check that a required thread is still active.</w:t>
      </w:r>
    </w:p>
    <w:p>
      <w:pPr>
        <w:numPr>
          <w:ilvl w:val="0"/>
          <w:numId w:val="1114"/>
        </w:numPr>
      </w:pPr>
      <w:r>
        <w:t xml:space="preserve">Prohibit explicit or implicit calls to program-terminating functions whenever active threads are executing.</w:t>
      </w:r>
    </w:p>
    <w:p>
      <w:pPr>
        <w:numPr>
          <w:ilvl w:val="0"/>
          <w:numId w:val="1114"/>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4"/>
        </w:numPr>
      </w:pPr>
      <w:r>
        <w:t xml:space="preserve">Return some indication of conditions resulting in premature termination</w:t>
      </w:r>
    </w:p>
    <w:p>
      <w:pPr>
        <w:numPr>
          <w:ilvl w:val="0"/>
          <w:numId w:val="1114"/>
        </w:numPr>
      </w:pPr>
      <w:r>
        <w:t xml:space="preserve">Ensure that the main program joins all created threads that need to complete</w:t>
      </w:r>
      <w:r>
        <w:t xml:space="preserve"> </w:t>
      </w:r>
      <w:r>
        <w:t xml:space="preserve">normally, such as by using the std::jthread type.</w:t>
      </w:r>
    </w:p>
    <w:bookmarkEnd w:id="228"/>
    <w:bookmarkEnd w:id="229"/>
    <w:bookmarkStart w:id="232" w:name="uncontrolled-format-string-shl"/>
    <w:p>
      <w:pPr>
        <w:pStyle w:val="Heading2"/>
      </w:pPr>
      <w:r>
        <w:t xml:space="preserve">6.64 Uncontrolled Format String [SHL]</w:t>
      </w:r>
    </w:p>
    <w:bookmarkStart w:id="230"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0"/>
    <w:bookmarkStart w:id="231"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5"/>
        </w:numPr>
      </w:pPr>
      <w:r>
        <w:t xml:space="preserve">Forbid the use of the C library facilities provided by</w:t>
      </w:r>
      <w:r>
        <w:t xml:space="preserve"> </w:t>
      </w:r>
      <w:r>
        <w:rPr>
          <w:rStyle w:val="VerbatimChar"/>
          <w:b/>
        </w:rPr>
        <w:t xml:space="preserve">&lt;cstdio&gt;</w:t>
      </w:r>
      <w:r>
        <w:t xml:space="preserve">.</w:t>
      </w:r>
    </w:p>
    <w:p>
      <w:pPr>
        <w:numPr>
          <w:ilvl w:val="0"/>
          <w:numId w:val="1115"/>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5"/>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1"/>
    <w:bookmarkEnd w:id="232"/>
    <w:bookmarkEnd w:id="233"/>
    <w:bookmarkStart w:id="238" w:name="UJO"/>
    <w:p>
      <w:pPr>
        <w:pStyle w:val="Heading1"/>
      </w:pPr>
      <w:r>
        <w:t xml:space="preserve">6.65 Modifying constants [UJO]</w:t>
      </w:r>
    </w:p>
    <w:bookmarkStart w:id="236" w:name="applicability-to-language"/>
    <w:p>
      <w:pPr>
        <w:pStyle w:val="Heading3"/>
      </w:pPr>
      <w:r>
        <w:t xml:space="preserve">6.65.1 Applicability to language</w:t>
      </w:r>
    </w:p>
    <w:p>
      <w:pPr>
        <w:pStyle w:val="FirstParagraph"/>
      </w:pPr>
      <w:r>
        <w:t xml:space="preserve">The vulnerability as documented in ISO/IEC TR 24772-1:2019 clause 6.65</w:t>
      </w:r>
      <w:r>
        <w:t xml:space="preserve"> </w:t>
      </w:r>
      <w:r>
        <w:t xml:space="preserve">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w:t>
      </w:r>
      <w:r>
        <w:t xml:space="preserve"> </w:t>
      </w:r>
      <w:r>
        <w:t xml:space="preserve">object.</w:t>
      </w:r>
      <w:r>
        <w:t xml:space="preserve"> </w:t>
      </w:r>
      <w:r>
        <w:t xml:space="preserve">While it is possible to remove the const-qualification for an access path, attempting to modify a const object this way is undefined-behavior (see</w:t>
      </w:r>
      <w:r>
        <w:t xml:space="preserve"> </w:t>
      </w:r>
      <w:bookmarkStart w:id="234" w:name="EWF"/>
      <w:r>
        <w:t xml:space="preserve">Undefined Behavior [EWF]</w:t>
      </w:r>
      <w:bookmarkEnd w:id="234"/>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p>
    <w:p>
      <w:pPr>
        <w:pStyle w:val="BodyText"/>
      </w:pP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5" w:name="FLC"/>
      <w:r>
        <w:t xml:space="preserve">Conversion Errors [FLC]</w:t>
      </w:r>
      <w:bookmarkEnd w:id="235"/>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6"/>
    <w:bookmarkStart w:id="237"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6"/>
        </w:numPr>
      </w:pPr>
      <w:r>
        <w:t xml:space="preserve">Apply the avoidance mechanisms of ISO/IEC 24772-1 clause 6.65.5.</w:t>
      </w:r>
    </w:p>
    <w:p>
      <w:pPr>
        <w:numPr>
          <w:ilvl w:val="0"/>
          <w:numId w:val="1116"/>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6"/>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6"/>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6"/>
        </w:numPr>
      </w:pPr>
      <w:r>
        <w:t xml:space="preserve">Within</w:t>
      </w:r>
      <w:r>
        <w:t xml:space="preserve"> </w:t>
      </w:r>
      <w:r>
        <w:rPr>
          <w:rStyle w:val="AttributeTok"/>
        </w:rPr>
        <w:t xml:space="preserve">const</w:t>
      </w:r>
      <w:r>
        <w:t xml:space="preserve"> </w:t>
      </w:r>
      <w:r>
        <w:t xml:space="preserve">member functions, avoid indirectly modifying the object’s state.</w:t>
      </w:r>
    </w:p>
    <w:p>
      <w:pPr>
        <w:numPr>
          <w:ilvl w:val="0"/>
          <w:numId w:val="1116"/>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6"/>
        </w:numPr>
      </w:pPr>
      <w:r>
        <w:t xml:space="preserve">Ensure in concurrent code, that mutable data members are synchronisation primitives or are explicitly synchronized.</w:t>
      </w:r>
    </w:p>
    <w:p>
      <w:pPr>
        <w:numPr>
          <w:ilvl w:val="0"/>
          <w:numId w:val="1116"/>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6"/>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7"/>
    <w:bookmarkEnd w:id="238"/>
    <w:bookmarkStart w:id="239" w:name="language-specific-vulnerabilities-for-c"/>
    <w:p>
      <w:pPr>
        <w:pStyle w:val="Heading1"/>
      </w:pPr>
      <w:r>
        <w:t xml:space="preserve">7. Language specific vulnerabilities for C++</w:t>
      </w:r>
    </w:p>
    <w:p>
      <w:pPr>
        <w:pStyle w:val="FirstParagraph"/>
      </w:pPr>
      <w:r>
        <w:t xml:space="preserve">TBD</w:t>
      </w:r>
    </w:p>
    <w:bookmarkEnd w:id="239"/>
    <w:bookmarkStart w:id="241"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7"/>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7"/>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7"/>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7"/>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7"/>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0"/>
      </w:r>
      <w:r>
        <w:t xml:space="preserve">.</w:t>
      </w:r>
    </w:p>
    <w:p>
      <w:pPr>
        <w:numPr>
          <w:ilvl w:val="0"/>
          <w:numId w:val="1117"/>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7"/>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7"/>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7"/>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7"/>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7"/>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7"/>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7"/>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7"/>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7"/>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7"/>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7"/>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7"/>
        </w:numPr>
        <w:pStyle w:val="SourceCode"/>
      </w:pPr>
      <w:r>
        <w:rPr>
          <w:rStyle w:val="VerbatimChar"/>
        </w:rPr>
        <w:t xml:space="preserve">Creating an Annex that lists deprecated features.</w:t>
      </w:r>
    </w:p>
    <w:bookmarkEnd w:id="241"/>
    <w:bookmarkStart w:id="255"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2"/>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3">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4">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5">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6">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7">
        <w:r>
          <w:rPr>
            <w:rStyle w:val="Hyperlink"/>
          </w:rPr>
          <w:t xml:space="preserve">http://myweb.lmu.edu/dondi/share/pl/type-checking-v02.pdf</w:t>
        </w:r>
      </w:hyperlink>
    </w:p>
    <w:p>
      <w:pPr>
        <w:pStyle w:val="Bibliography1"/>
      </w:pPr>
      <w:r>
        <w:t xml:space="preserve">[32] MISRA Limited. "</w:t>
      </w:r>
      <w:hyperlink r:id="rId248">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9">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0">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1">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2">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3">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4">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5"/>
    <w:bookmarkStart w:id="256" w:name="index"/>
    <w:p>
      <w:pPr>
        <w:pStyle w:val="Heading1"/>
      </w:pPr>
      <w:r>
        <w:t xml:space="preserve">Index</w:t>
      </w:r>
    </w:p>
    <w:p>
      <w:pPr>
        <w:pStyle w:val="Bibliography1"/>
      </w:pPr>
      <w:r>
        <w:t xml:space="preserve">LHS (left-hand side), 22</w:t>
      </w:r>
    </w:p>
    <w:bookmarkEnd w:id="2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0">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2">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2026-04-13T13:36:49Z</dcterms:created>
  <dcterms:modified xsi:type="dcterms:W3CDTF">2026-04-13T13:36:49Z</dcterms:modified>
</cp:coreProperties>
</file>

<file path=docProps/custom.xml><?xml version="1.0" encoding="utf-8"?>
<Properties xmlns="http://schemas.openxmlformats.org/officeDocument/2006/custom-properties" xmlns:vt="http://schemas.openxmlformats.org/officeDocument/2006/docPropsVTypes"/>
</file>