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2"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does not support a direct mapping to machine words. However,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It is advisable to use bit operations only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Follow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documented in TR 24772-3 clause 6.6.1,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 the size of a type, whether or not the type is signed, and possibly other properties of the type.</w:t>
      </w:r>
      <w:r>
        <w:t xml:space="preserve"> </w:t>
      </w:r>
      <w:r>
        <w:t xml:space="preserve">A narrowing conversion is when the target type cannot represent all the values of the original type.</w:t>
      </w:r>
      <w:r>
        <w:t xml:space="preserve"> </w:t>
      </w:r>
      <w:r>
        <w:t xml:space="preserve">Many errors are associated with implicit conversions. For a comprehensive overview see clause 7.3 [conv] of [C++20]</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The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 a</w:t>
      </w:r>
      <w:r>
        <w:t xml:space="preserve"> </w:t>
      </w:r>
      <w:r>
        <w:rPr>
          <w:rStyle w:val="KeywordTok"/>
        </w:rPr>
        <w:t xml:space="preserve">reinterpret_cast</w:t>
      </w:r>
      <w:r>
        <w:t xml:space="preserve"> </w:t>
      </w:r>
      <w:r>
        <w:t xml:space="preserve">may be used for the conversion which can produce an incorrect result.</w:t>
      </w:r>
      <w:r>
        <w:t xml:space="preserve"> </w:t>
      </w:r>
      <w:r>
        <w:t xml:space="preserve">If the C-style cast is used instead of one of the C++-style casts, the cast expected by the programmer may not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it is not valid, then</w:t>
      </w:r>
      <w:r>
        <w:t xml:space="preserve"> </w:t>
      </w:r>
      <w:r>
        <w:rPr>
          <w:rStyle w:val="KeywordTok"/>
        </w:rPr>
        <w:t xml:space="preserve">nullptr</w:t>
      </w:r>
      <w:r>
        <w:t xml:space="preserve"> </w:t>
      </w:r>
      <w:r>
        <w:t xml:space="preserve">is returned for pointer types, otherwise an exception is thrown. [C++17,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 foo() is called with a boolean.</w:t>
      </w:r>
    </w:p>
    <w:p>
      <w:pPr>
        <w:pStyle w:val="BodyText"/>
      </w:pPr>
      <w:r>
        <w:t xml:space="preserve">Note that this implicit conversion to a class object is the default</w:t>
      </w:r>
      <w:r>
        <w:t xml:space="preserve"> </w:t>
      </w:r>
      <w:r>
        <w:t xml:space="preserve">behaviour of constructors that can be called with a single parameter. The</w:t>
      </w:r>
      <w:r>
        <w:t xml:space="preserve"> </w:t>
      </w:r>
      <w:r>
        <w:rPr>
          <w:rStyle w:val="KeywordTok"/>
        </w:rPr>
        <w:t xml:space="preserve">explicit</w:t>
      </w:r>
      <w:r>
        <w:t xml:space="preserve"> </w:t>
      </w:r>
      <w:r>
        <w:t xml:space="preserve">keyword can be used before the constructor</w:t>
      </w:r>
      <w:r>
        <w:t xml:space="preserve"> </w:t>
      </w:r>
      <w:r>
        <w:t xml:space="preserve">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not be 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sometimes result in data loss or erroneous values. This is an issue with implicit conversions</w:t>
      </w:r>
      <w:r>
        <w:t xml:space="preserve"> </w:t>
      </w:r>
      <w:r>
        <w:t xml:space="preserve">since they are automatic: the programmer does not explicitly write code</w:t>
      </w:r>
      <w:r>
        <w:t xml:space="preserve"> </w:t>
      </w:r>
      <w:r>
        <w:t xml:space="preserve">to do the conversion. For example, a common problem is mixing signed and</w:t>
      </w:r>
      <w:r>
        <w:t xml:space="preserve"> </w:t>
      </w:r>
      <w:r>
        <w:t xml:space="preserve">unsigned integral types in arithmetic expressions. This can become a</w:t>
      </w:r>
      <w:r>
        <w:t xml:space="preserve"> </w:t>
      </w:r>
      <w:r>
        <w:t xml:space="preserve">problem since the ranges of signed and unsigned integer types differ</w:t>
      </w:r>
      <w:r>
        <w:t xml:space="preserve"> </w:t>
      </w:r>
      <w:r>
        <w:t xml:space="preserve">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 is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may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Use the avoidance mechanisms of ISO/IEC 24772-1 clause 6.6.5:</w:t>
      </w:r>
    </w:p>
    <w:p>
      <w:pPr>
        <w:numPr>
          <w:ilvl w:val="0"/>
          <w:numId w:val="1022"/>
        </w:numPr>
      </w:pPr>
      <w:r>
        <w:t xml:space="preserve">Avoid casts and type punning (see C++ Core guidelines ES.48), treat every cast as a candidate</w:t>
      </w:r>
      <w:r>
        <w:t xml:space="preserve"> </w:t>
      </w:r>
      <w:r>
        <w:t xml:space="preserve">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braces over parentheses for initialization or explicit conversions from numeric types</w:t>
      </w:r>
      <w:r>
        <w:t xml:space="preserve"> </w:t>
      </w:r>
      <w:r>
        <w:t xml:space="preserve">to prevent narrowing.</w:t>
      </w:r>
      <w:r>
        <w:t xml:space="preserve"> </w:t>
      </w:r>
      <w:r>
        <w:t xml:space="preserve">(see C++ Core Guidelines ES.23 and ES.64)</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Don’t cast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Do not perform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Don’t mix signed and unsigned arithmetic (see C++ Core Guidelines ES100)</w:t>
      </w:r>
    </w:p>
    <w:p>
      <w:pPr>
        <w:numPr>
          <w:ilvl w:val="0"/>
          <w:numId w:val="1022"/>
        </w:numPr>
      </w:pPr>
      <w:r>
        <w:t xml:space="preserve">Don’t rely on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Don’t rely on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w:t>
      </w:r>
      <w:r>
        <w:t xml:space="preserve"> </w:t>
      </w:r>
      <w:r>
        <w:t xml:space="preserve">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w:t>
      </w:r>
      <w:r>
        <w:t xml:space="preserve">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use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which manages the memory of its string and handles termination in order to mitigate against this vulnerability.</w:t>
      </w:r>
    </w:p>
    <w:p>
      <w:pPr>
        <w:numPr>
          <w:ilvl w:val="0"/>
          <w:numId w:val="1024"/>
        </w:numPr>
      </w:pPr>
      <w:r>
        <w:t xml:space="preserve">Don’t use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w:t>
      </w:r>
      <w:r>
        <w:t xml:space="preserve"> </w:t>
      </w:r>
      <w:r>
        <w:t xml:space="preserve">this vulnerability. The standard library defines features</w:t>
      </w:r>
      <w:r>
        <w:t xml:space="preserve"> </w:t>
      </w:r>
      <w:r>
        <w:t xml:space="preserve">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 This allows manipulating the underlying memory directly, bypassing the safety features of the container leading to this vulnerability. 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Pr>
      <w:r>
        <w:t xml:space="preserve">Write accesses to objects in that expression,</w:t>
      </w:r>
    </w:p>
    <w:p>
      <w:pPr>
        <w:numPr>
          <w:ilvl w:val="0"/>
          <w:numId w:val="1055"/>
        </w:numPr>
      </w:pPr>
      <w:r>
        <w:t xml:space="preserve">Reading a volatile object,</w:t>
      </w:r>
    </w:p>
    <w:p>
      <w:pPr>
        <w:numPr>
          <w:ilvl w:val="0"/>
          <w:numId w:val="1055"/>
        </w:numPr>
      </w:pPr>
      <w:r>
        <w:t xml:space="preserve">Calling a library I/O function, and</w:t>
      </w:r>
    </w:p>
    <w:p>
      <w:pPr>
        <w:numPr>
          <w:ilvl w:val="0"/>
          <w:numId w:val="1055"/>
        </w:numPr>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)as well as</w:t>
      </w:r>
      <w:r>
        <w:t xml:space="preserve"> </w:t>
      </w:r>
      <w:r>
        <w:rPr>
          <w:rStyle w:val="VerbatimChar"/>
        </w:rPr>
        <w:t xml:space="preserve">&lt;type_traits&gt;</w:t>
      </w:r>
      <w:r>
        <w:t xml:space="preserve">’s</w:t>
      </w:r>
      <w:r>
        <w:t xml:space="preserve"> </w:t>
      </w:r>
      <w:r>
        <w:rPr>
          <w:rStyle w:val="BuiltInTok"/>
        </w:rPr>
        <w:t xml:space="preserve">std::</w:t>
      </w:r>
      <w:r>
        <w:rPr>
          <w:rStyle w:val="NormalTok"/>
        </w:rPr>
        <w:t xml:space="preserve">conjunction</w:t>
      </w:r>
      <w:r>
        <w:t xml:space="preserve"> </w:t>
      </w:r>
      <w:r>
        <w:t xml:space="preserve">and</w:t>
      </w:r>
      <w:r>
        <w:t xml:space="preserve"> </w:t>
      </w:r>
      <w:r>
        <w:rPr>
          <w:rStyle w:val="BuiltInTok"/>
        </w:rPr>
        <w:t xml:space="preserve">std::</w:t>
      </w:r>
      <w:r>
        <w:rPr>
          <w:rStyle w:val="NormalTok"/>
        </w:rPr>
        <w:t xml:space="preserve">disjunction</w:t>
      </w:r>
      <w:r>
        <w:t xml:space="preserve"> </w:t>
      </w:r>
      <w:r>
        <w:t xml:space="preserve">operations are all</w:t>
      </w:r>
      <w:r>
        <w:t xml:space="preserve"> </w:t>
      </w:r>
      <w:r>
        <w:t xml:space="preserve">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SourceCode"/>
      </w:pPr>
      <w:r>
        <w:rPr>
          <w:rStyle w:val="VerbatimChar"/>
        </w:rPr>
        <w:t xml:space="preserve">&lt;!--</w:t>
      </w:r>
      <w:r>
        <w:br/>
      </w:r>
      <w:r>
        <w:rPr>
          <w:rStyle w:val="VerbatimChar"/>
        </w:rPr>
        <w:t xml:space="preserve">Conjunction and disjunction operate at compile time and the short-circuiting is about template </w:t>
      </w:r>
      <w:r>
        <w:br/>
      </w:r>
      <w:r>
        <w:rPr>
          <w:rStyle w:val="VerbatimChar"/>
        </w:rPr>
        <w:t xml:space="preserve">instantiations that might lead to compile errors otherwiese. This is not a runtime safety issue. I </w:t>
      </w:r>
      <w:r>
        <w:br/>
      </w:r>
      <w:r>
        <w:rPr>
          <w:rStyle w:val="VerbatimChar"/>
        </w:rPr>
        <w:t xml:space="preserve">suggest dropping that (Peter)_</w:t>
      </w:r>
      <w:r>
        <w:br/>
      </w:r>
      <w:r>
        <w:rPr>
          <w:rStyle w:val="VerbatimChar"/>
        </w:rPr>
        <w:t xml:space="preserve">--&gt;</w:t>
      </w:r>
    </w:p>
    <w:p>
      <w:pPr>
        <w:pStyle w:val="FirstParagraph"/>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SourceCode"/>
      </w:pPr>
      <w:r>
        <w:rPr>
          <w:rStyle w:val="VerbatimChar"/>
        </w:rPr>
        <w:t xml:space="preserve">&lt;!--</w:t>
      </w:r>
      <w:r>
        <w:br/>
      </w:r>
      <w:r>
        <w:rPr>
          <w:rStyle w:val="VerbatimChar"/>
        </w:rPr>
        <w:t xml:space="preserve">Stephen: My write-up here is lengthy but should help get more terse</w:t>
      </w:r>
      <w:r>
        <w:br/>
      </w:r>
      <w:r>
        <w:rPr>
          <w:rStyle w:val="VerbatimChar"/>
        </w:rPr>
        <w:t xml:space="preserve">wording\... but I note this: C++ operator information is in C++17 Clause</w:t>
      </w:r>
      <w:r>
        <w:br/>
      </w:r>
      <w:r>
        <w:rPr>
          <w:rStyle w:val="VerbatimChar"/>
        </w:rPr>
        <w:t xml:space="preserve">8 and Clause 16.5, \... Also per 16.5.1 para 2. unary and binary forms</w:t>
      </w:r>
      <w:r>
        <w:br/>
      </w:r>
      <w:r>
        <w:rPr>
          <w:rStyle w:val="VerbatimChar"/>
        </w:rPr>
        <w:t xml:space="preserve">of the same operator are considered to have the same name so one can</w:t>
      </w:r>
      <w:r>
        <w:br/>
      </w:r>
      <w:r>
        <w:rPr>
          <w:rStyle w:val="VerbatimChar"/>
        </w:rPr>
        <w:t xml:space="preserve">hide another from an enclosing scope. Thus, this is also another</w:t>
      </w:r>
      <w:r>
        <w:br/>
      </w:r>
      <w:r>
        <w:rPr>
          <w:rStyle w:val="VerbatimChar"/>
        </w:rPr>
        <w:t xml:space="preserve">possible vulnerability.\]</w:t>
      </w:r>
      <w:r>
        <w:br/>
      </w:r>
      <w:r>
        <w:rPr>
          <w:rStyle w:val="VerbatimChar"/>
        </w:rPr>
        <w:t xml:space="preserve">--&gt;</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rPr>
          <w:i/>
        </w:rPr>
        <w:t xml:space="preserve">Ensure that</w:t>
      </w:r>
      <w:r>
        <w:t xml:space="preserve"> </w:t>
      </w:r>
      <w:r>
        <w:t xml:space="preserve">++, --, @=</w:t>
      </w:r>
      <w:r>
        <w:t xml:space="preserve"> </w:t>
      </w:r>
      <w:r>
        <w:rPr>
          <w:i/>
        </w:rPr>
        <w:t xml:space="preserve">are used as solitary items in a</w:t>
      </w:r>
      <w:r>
        <w:rPr>
          <w:i/>
        </w:rPr>
        <w:t xml:space="preserve"> </w:t>
      </w:r>
      <w:r>
        <w:rPr>
          <w:i/>
        </w:rP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A fair amount of analysis may need to be done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 an</w:t>
      </w:r>
      <w:r>
        <w:t xml:space="preserve"> </w:t>
      </w:r>
      <w:r>
        <w:rPr>
          <w:rStyle w:val="NormalTok"/>
        </w:rPr>
        <w:t xml:space="preserve">=</w:t>
      </w:r>
      <w:r>
        <w:t xml:space="preserve"> </w:t>
      </w:r>
      <w:r>
        <w:t xml:space="preserve">(assignment) instead of a</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may not be clear</w:t>
      </w:r>
      <w:r>
        <w:t xml:space="preserve"> </w:t>
      </w:r>
      <w:r>
        <w:t xml:space="preserve">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 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w:t>
      </w:r>
      <w:r>
        <w:t xml:space="preserve"> </w:t>
      </w:r>
      <w:r>
        <w:t xml:space="preserve">terminator at the end of statements. However, inadvertently doing this</w:t>
      </w:r>
      <w:r>
        <w:t xml:space="preserve"> </w:t>
      </w:r>
      <w:r>
        <w:t xml:space="preserve">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will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bookmarkStart w:id="111" w:name="X17a9978641cee8d5f41dba907f8e0c5643b2407"/>
    <w:p>
      <w:pPr>
        <w:pStyle w:val="Heading4"/>
      </w:pPr>
      <w:r>
        <w:t xml:space="preserve">C++ overloading of operators can also cause confusion.</w:t>
      </w:r>
    </w:p>
    <w:p>
      <w:pPr>
        <w:pStyle w:val="FirstParagraph"/>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overloaded,</w:t>
      </w:r>
      <w:r>
        <w:t xml:space="preserve"> </w:t>
      </w:r>
      <w:r>
        <w:t xml:space="preserve">related operators like the compound assignment with their base operator</w:t>
      </w:r>
      <w:r>
        <w:t xml:space="preserve"> </w:t>
      </w:r>
      <w:r>
        <w:t xml:space="preserve">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for</w:t>
      </w:r>
      <w:r>
        <w:t xml:space="preserve"> </w:t>
      </w:r>
      <w:r>
        <w:rPr>
          <w:rStyle w:val="NormalTok"/>
        </w:rPr>
        <w:t xml:space="preserve">a == b</w:t>
      </w:r>
      <w:r>
        <w:t xml:space="preserve">, there is no guarantee that</w:t>
      </w:r>
      <w:r>
        <w:t xml:space="preserve"> </w:t>
      </w:r>
      <w:r>
        <w:rPr>
          <w:rStyle w:val="NormalTok"/>
        </w:rPr>
        <w:t xml:space="preserve">a != b</w:t>
      </w:r>
      <w:r>
        <w:t xml:space="preserve"> </w:t>
      </w:r>
      <w:r>
        <w:t xml:space="preserve">is equivalent</w:t>
      </w:r>
      <w:r>
        <w:t xml:space="preserve"> </w:t>
      </w:r>
      <w:r>
        <w:t xml:space="preserve">to</w:t>
      </w:r>
      <w:r>
        <w:t xml:space="preserve"> </w:t>
      </w:r>
      <w:r>
        <w:rPr>
          <w:rStyle w:val="NormalTok"/>
        </w:rPr>
        <w:t xml:space="preserve">!(a == b)</w:t>
      </w:r>
      <w:r>
        <w:t xml:space="preserve"> </w:t>
      </w:r>
      <w:r>
        <w:t xml:space="preserve">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End w:id="111"/>
    <w:bookmarkStart w:id="112"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 .</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r>
        <w:t xml:space="preserve"> </w:t>
      </w:r>
      <w:r>
        <w:t xml:space="preserve">```{.cpp}</w:t>
      </w:r>
    </w:p>
    <w:p>
      <w:pPr>
        <w:pStyle w:val="BodyText"/>
      </w:pPr>
      <w:r>
        <w:t xml:space="preserve">std::scoped_lock</w:t>
      </w:r>
      <w:r>
        <w:t xml:space="preserve"> </w:t>
      </w:r>
      <w:r>
        <w:t xml:space="preserve">lock();</w:t>
      </w:r>
      <w:r>
        <w:t xml:space="preserve"> </w:t>
      </w:r>
      <w:r>
        <w:t xml:space="preserve">```</w:t>
      </w:r>
    </w:p>
    <w:p>
      <w:pPr>
        <w:pStyle w:val="BodyText"/>
      </w:pPr>
      <w:r>
        <w:t xml:space="preserve">std::vector</w:t>
      </w:r>
      <w:r>
        <w:t xml:space="preserve"> </w:t>
      </w:r>
      <w:r>
        <w:t xml:space="preserve">v1();</w:t>
      </w:r>
    </w:p>
    <w:p>
      <w:pPr>
        <w:pStyle w:val="BodyText"/>
      </w:pPr>
      <w:r>
        <w:t xml:space="preserve">std::vector</w:t>
      </w:r>
      <w:r>
        <w:t xml:space="preserve"> </w:t>
      </w:r>
      <w:r>
        <w:t xml:space="preserve">v2{};</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Use the avoidance mechanisms of ISO/IEC 24772-1 clause 6.25.5.</w:t>
      </w:r>
    </w:p>
    <w:p>
      <w:pPr>
        <w:numPr>
          <w:ilvl w:val="0"/>
          <w:numId w:val="1059"/>
        </w:numPr>
      </w:pPr>
      <w:r>
        <w:t xml:space="preserve">Simplify expressions to aid in code readability and help future maintainers understand the intent and nuances of the code. For example,</w:t>
      </w:r>
    </w:p>
    <w:p>
      <w:pPr>
        <w:numPr>
          <w:ilvl w:val="1"/>
          <w:numId w:val="1060"/>
        </w:numPr>
        <w:pStyle w:val="Compact"/>
      </w:pPr>
      <w:r>
        <w:t xml:space="preserve">by using parentheses around sub-expressions to limit precedence confusion,</w:t>
      </w:r>
    </w:p>
    <w:p>
      <w:pPr>
        <w:numPr>
          <w:ilvl w:val="1"/>
          <w:numId w:val="1060"/>
        </w:numPr>
        <w:pStyle w:val="Compact"/>
      </w:pPr>
      <w:r>
        <w:t xml:space="preserve">by extracting intermediate results into const variables with a meaningful name, or</w:t>
      </w:r>
    </w:p>
    <w:p>
      <w:pPr>
        <w:numPr>
          <w:ilvl w:val="1"/>
          <w:numId w:val="1060"/>
        </w:numPr>
        <w:pStyle w:val="Compact"/>
      </w:pPr>
      <w:r>
        <w:t xml:space="preserve">by extracting a subexpression into a function with a meaningful name.</w:t>
      </w:r>
    </w:p>
    <w:p>
      <w:pPr>
        <w:numPr>
          <w:ilvl w:val="0"/>
          <w:numId w:val="1059"/>
        </w:numPr>
      </w:pPr>
      <w:r>
        <w:t xml:space="preserve">Avoid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Avoid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Consider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If your code structure requires an empty statement</w:t>
      </w:r>
      <w:r>
        <w:t xml:space="preserve"> </w:t>
      </w:r>
      <w:r>
        <w:rPr>
          <w:rStyle w:val="NormalTok"/>
        </w:rPr>
        <w:t xml:space="preserve">;</w:t>
      </w:r>
      <w:r>
        <w:t xml:space="preserve"> </w:t>
      </w:r>
      <w:r>
        <w:t xml:space="preserve">use an empty code block instead</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The language mechanisms around templates and overload resolution can require definitions to exist that</w:t>
      </w:r>
      <w:r>
        <w:t xml:space="preserve"> </w:t>
      </w:r>
      <w:r>
        <w:t xml:space="preserve">are not part of the executable program.</w:t>
      </w:r>
      <w:r>
        <w:t xml:space="preserve"> </w:t>
      </w:r>
      <w:r>
        <w:t xml:space="preserve">But the mechanisms at compile time guarantee that the corresponding code never becomes part of the</w:t>
      </w:r>
      <w:r>
        <w:t xml:space="preserve"> </w:t>
      </w:r>
      <w:r>
        <w:t xml:space="preserve">executable program.</w:t>
      </w:r>
      <w:r>
        <w:t xml:space="preserve"> </w:t>
      </w:r>
      <w:r>
        <w:t xml:space="preserve">However, a programmer might be unaware of all details with respect to the language mechnisms and thus</w:t>
      </w:r>
      <w:r>
        <w:t xml:space="preserve"> </w:t>
      </w:r>
      <w:r>
        <w:t xml:space="preserve">make subtle errors leading to code selected for the executable program that was unintended.</w:t>
      </w:r>
    </w:p>
    <w:p>
      <w:pPr>
        <w:pStyle w:val="BodyText"/>
      </w:pPr>
      <w:r>
        <w:t xml:space="preserve">If there is code that was once needed or might be needed in the future, programmers might opt to</w:t>
      </w:r>
      <w:r>
        <w:t xml:space="preserve"> </w:t>
      </w:r>
      <w:r>
        <w:t xml:space="preserve">comment or use preprocessor conditional compilation to exclude such parts.</w:t>
      </w:r>
      <w:r>
        <w:t xml:space="preserve"> </w:t>
      </w:r>
      <w:r>
        <w:t xml:space="preserve">The latter might even be confusing, because an intentionally undefined macro might be defined for a</w:t>
      </w:r>
      <w:r>
        <w:t xml:space="preserve"> </w:t>
      </w:r>
      <w:r>
        <w:t xml:space="preserve">specific compilation outside of the program source text.</w:t>
      </w:r>
      <w:r>
        <w:t xml:space="preserve"> </w:t>
      </w:r>
      <w:r>
        <w:t xml:space="preserve">Modern version control systems are better places to keep unused code in a revision or branch and</w:t>
      </w:r>
      <w:r>
        <w:t xml:space="preserve"> </w:t>
      </w:r>
      <w:r>
        <w:t xml:space="preserve">ressurect it if needed through a merge.</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Pr>
      <w:r>
        <w:t xml:space="preserve">Use the avoidance mechanisms of ISO/IEC 24772-1 clause 6.26.5.</w:t>
      </w:r>
    </w:p>
    <w:p>
      <w:pPr>
        <w:numPr>
          <w:ilvl w:val="0"/>
          <w:numId w:val="1061"/>
        </w:numPr>
      </w:pPr>
      <w:r>
        <w:t xml:space="preserve">Use IDEs or similar tools that visualize the code that gets selected for the executable program.</w:t>
      </w:r>
    </w:p>
    <w:p>
      <w:pPr>
        <w:numPr>
          <w:ilvl w:val="0"/>
          <w:numId w:val="1061"/>
        </w:numPr>
      </w:pPr>
      <w:r>
        <w:t xml:space="preserve">Use modern version control to manage unused code.</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get instantiated that are actually used.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comes the time for instantiation of a template, there can be different speciations that match the template arguments.</w:t>
      </w:r>
      <w:r>
        <w:t xml:space="preserve"> </w:t>
      </w:r>
      <w:r>
        <w:t xml:space="preserve">There is an ranking of the different (partial) speecializations that the compiler uses for selection. In case of ambiguities, the compiler will fail.</w:t>
      </w:r>
      <w:r>
        <w:t xml:space="preserve"> </w:t>
      </w:r>
      <w:r>
        <w:t xml:space="preserve">This ranking can be influenced by</w:t>
      </w:r>
      <w:r>
        <w:t xml:space="preserve"> </w:t>
      </w:r>
      <w:r>
        <w:rPr>
          <w:i/>
        </w:rPr>
        <w:t xml:space="preserve">Concepts</w:t>
      </w:r>
      <w:r>
        <w:t xml:space="preserve"> </w:t>
      </w:r>
      <w:r>
        <w:t xml:space="preserve">and</w:t>
      </w:r>
      <w:r>
        <w:t xml:space="preserve"> </w:t>
      </w:r>
      <w:r>
        <w:rPr>
          <w:i/>
        </w:rPr>
        <w:t xml:space="preserve">SFINAE</w:t>
      </w:r>
      <w:r>
        <w:t xml:space="preserve"> </w:t>
      </w:r>
      <w:r>
        <w:t xml:space="preserve">(Substitution Failure Is Not An Error).</w:t>
      </w:r>
      <w:r>
        <w:t xml:space="preserve"> </w:t>
      </w:r>
      <w:r>
        <w:t xml:space="preserve">If the chosen specialization compiles but behaves differently than expected, this can be a source of programmer confusion.</w:t>
      </w:r>
    </w:p>
    <w:p>
      <w:pPr>
        <w:pStyle w:val="BodyText"/>
      </w:pPr>
      <w:r>
        <w:rPr>
          <w:b/>
        </w:rPr>
        <w:t xml:space="preserve">To Be Continued 2 Oct 2023</w:t>
      </w:r>
      <w:r>
        <w:t xml:space="preserve"> </w:t>
      </w:r>
      <w:r>
        <w:t xml:space="preserve">Templates add another level of complexity to overload resolution.</w:t>
      </w:r>
    </w:p>
    <w:p>
      <w:pPr>
        <w:pStyle w:val="BodyText"/>
      </w:pPr>
      <w:r>
        <w:t xml:space="preserve">In case of a function overload set that includes function templates, overload resolution happens before template specialization.</w:t>
      </w:r>
      <w:r>
        <w:t xml:space="preserve"> </w:t>
      </w:r>
      <w:r>
        <w:t xml:space="preserve">This means, any desired behaviour through explicit function template specialization is not considered during overload resolution, only the primary template is used there.</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 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7"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w:t>
      </w:r>
      <w:r>
        <w:t xml:space="preserve"> </w:t>
      </w:r>
      <w:r>
        <w:t xml:space="preserve">in ISO/IEC TR 24772-1:2019 clause 6.52 does not apply to C++, because</w:t>
      </w:r>
      <w:r>
        <w:t xml:space="preserve"> </w:t>
      </w:r>
      <w:r>
        <w:t xml:space="preserve">there is no language-defined runtime checking. Macro assert is defined</w:t>
      </w:r>
      <w:r>
        <w:t xml:space="preserve"> </w:t>
      </w:r>
      <w:r>
        <w:t xml:space="preserve">by the standard but is invoked by the programmer, hence is not a</w:t>
      </w:r>
      <w:r>
        <w:t xml:space="preserve"> </w:t>
      </w:r>
      <w:r>
        <w:t xml:space="preserve">language-defined check.</w:t>
      </w:r>
    </w:p>
    <w:p>
      <w:pPr>
        <w:pStyle w:val="BodyText"/>
      </w:pPr>
      <w:r>
        <w:t xml:space="preserve">C++ libraries, however, often provide run-time checks which meet the</w:t>
      </w:r>
      <w:r>
        <w:t xml:space="preserve"> </w:t>
      </w:r>
      <w:r>
        <w:t xml:space="preserve">criteria of this vulnerability. Also, compilers and other tools commonly</w:t>
      </w:r>
      <w:r>
        <w:t xml:space="preserve"> </w:t>
      </w:r>
      <w:r>
        <w:t xml:space="preserve">provide means to perform such runtime checks.</w:t>
      </w:r>
    </w:p>
    <w:bookmarkEnd w:id="195"/>
    <w:bookmarkStart w:id="196"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use the avoidance mechanisms of ISO/IEC 24772-1 clause 6.52.5 with respect to library and compiler-provided checks, which will almost always require the explicit enabling the checks.</w:t>
      </w:r>
    </w:p>
    <w:bookmarkEnd w:id="196"/>
    <w:bookmarkEnd w:id="197"/>
    <w:bookmarkStart w:id="200" w:name="X2e6df9becdc68c65fdb33865090fafdb8a33550"/>
    <w:p>
      <w:pPr>
        <w:pStyle w:val="Heading2"/>
      </w:pPr>
      <w:r>
        <w:t xml:space="preserve">6.53 Provision of Inherently Unsafe Operations [SKL]</w:t>
      </w:r>
    </w:p>
    <w:bookmarkStart w:id="198"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8"/>
    <w:bookmarkStart w:id="199"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9"/>
    <w:bookmarkEnd w:id="200"/>
    <w:bookmarkStart w:id="203" w:name="BRS"/>
    <w:p>
      <w:pPr>
        <w:pStyle w:val="Heading2"/>
      </w:pPr>
      <w:r>
        <w:t xml:space="preserve">6.54 Obscure Language Features [BRS]</w:t>
      </w:r>
    </w:p>
    <w:bookmarkStart w:id="201"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1"/>
    <w:bookmarkStart w:id="202"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2"/>
    <w:bookmarkEnd w:id="203"/>
    <w:bookmarkStart w:id="206" w:name="unspecified-behaviour-bqf"/>
    <w:p>
      <w:pPr>
        <w:pStyle w:val="Heading2"/>
      </w:pPr>
      <w:r>
        <w:t xml:space="preserve">6.55 Unspecified Behaviour [BQF]</w:t>
      </w:r>
    </w:p>
    <w:bookmarkStart w:id="204"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4"/>
    <w:bookmarkStart w:id="205"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5"/>
    <w:bookmarkEnd w:id="206"/>
    <w:bookmarkStart w:id="209" w:name="EWF"/>
    <w:p>
      <w:pPr>
        <w:pStyle w:val="Heading2"/>
      </w:pPr>
      <w:r>
        <w:t xml:space="preserve">6.56 Undefined Behaviour [EWF]</w:t>
      </w:r>
    </w:p>
    <w:bookmarkStart w:id="207"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7"/>
    <w:bookmarkStart w:id="208"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8"/>
    <w:bookmarkEnd w:id="209"/>
    <w:bookmarkStart w:id="212" w:name="implementationdefined-behaviour-fab"/>
    <w:p>
      <w:pPr>
        <w:pStyle w:val="Heading2"/>
      </w:pPr>
      <w:r>
        <w:t xml:space="preserve">6.57 Implementation–defined Behaviour [FAB]</w:t>
      </w:r>
    </w:p>
    <w:bookmarkStart w:id="210"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0"/>
    <w:bookmarkStart w:id="211"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Use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your chance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1"/>
    <w:bookmarkEnd w:id="212"/>
    <w:bookmarkStart w:id="215" w:name="deprecated-language-features-mem"/>
    <w:p>
      <w:pPr>
        <w:pStyle w:val="Heading2"/>
      </w:pPr>
      <w:r>
        <w:t xml:space="preserve">6.58 Deprecated Language Features [MEM]</w:t>
      </w:r>
    </w:p>
    <w:bookmarkStart w:id="213"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14882:2020</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3"/>
    <w:bookmarkStart w:id="214"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Follow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4"/>
    <w:bookmarkEnd w:id="215"/>
    <w:bookmarkStart w:id="218" w:name="CGA"/>
    <w:p>
      <w:pPr>
        <w:pStyle w:val="Heading2"/>
      </w:pPr>
      <w:r>
        <w:t xml:space="preserve">6.59 Concurrency – Activation [CGA]</w:t>
      </w:r>
    </w:p>
    <w:bookmarkStart w:id="216"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6"/>
    <w:bookmarkStart w:id="217"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7"/>
    <w:bookmarkEnd w:id="218"/>
    <w:bookmarkStart w:id="220" w:name="concurrency-directed-termination-cgt"/>
    <w:p>
      <w:pPr>
        <w:pStyle w:val="Heading2"/>
      </w:pPr>
      <w:r>
        <w:t xml:space="preserve">6.60 Concurrency – Directed termination [CGT]</w:t>
      </w:r>
    </w:p>
    <w:bookmarkStart w:id="219"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9"/>
    <w:bookmarkEnd w:id="220"/>
    <w:bookmarkStart w:id="221"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1"/>
    <w:bookmarkStart w:id="224" w:name="CGX"/>
    <w:p>
      <w:pPr>
        <w:pStyle w:val="Heading2"/>
      </w:pPr>
      <w:r>
        <w:t xml:space="preserve">6.61 Concurrent Data Access [CGX]</w:t>
      </w:r>
    </w:p>
    <w:bookmarkStart w:id="222"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2"/>
    <w:bookmarkStart w:id="223"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3"/>
    <w:bookmarkEnd w:id="224"/>
    <w:bookmarkStart w:id="228" w:name="concurrency-premature-termination-cgs"/>
    <w:p>
      <w:pPr>
        <w:pStyle w:val="Heading2"/>
      </w:pPr>
      <w:r>
        <w:t xml:space="preserve">6.62 Concurrency – Premature Termination [CGS]</w:t>
      </w:r>
    </w:p>
    <w:bookmarkStart w:id="225" w:name="applicability-to-language"/>
    <w:p>
      <w:pPr>
        <w:pStyle w:val="Heading3"/>
      </w:pPr>
      <w:r>
        <w:t xml:space="preserve">6.62.1 Applicability to language</w:t>
      </w:r>
    </w:p>
    <w:bookmarkEnd w:id="225"/>
    <w:bookmarkStart w:id="226"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6"/>
    <w:bookmarkStart w:id="227"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7"/>
    <w:bookmarkEnd w:id="228"/>
    <w:bookmarkStart w:id="231" w:name="uncontrolled-format-string-shl"/>
    <w:p>
      <w:pPr>
        <w:pStyle w:val="Heading2"/>
      </w:pPr>
      <w:r>
        <w:t xml:space="preserve">6.64 Uncontrolled Format String [SHL]</w:t>
      </w:r>
    </w:p>
    <w:bookmarkStart w:id="229"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9"/>
    <w:bookmarkStart w:id="230"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0"/>
    <w:bookmarkEnd w:id="231"/>
    <w:bookmarkEnd w:id="232"/>
    <w:bookmarkStart w:id="237" w:name="UJO"/>
    <w:p>
      <w:pPr>
        <w:pStyle w:val="Heading1"/>
      </w:pPr>
      <w:r>
        <w:t xml:space="preserve">6.65 Modifying constants [UJO]</w:t>
      </w:r>
    </w:p>
    <w:bookmarkStart w:id="235"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3" w:name="EWF"/>
      <w:r>
        <w:t xml:space="preserve">Undefined Behavior [EWF]</w:t>
      </w:r>
      <w:bookmarkEnd w:id="233"/>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4" w:name="FLC"/>
      <w:r>
        <w:t xml:space="preserve">Conversion Errors [FLC]</w:t>
      </w:r>
      <w:bookmarkEnd w:id="234"/>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5"/>
    <w:bookmarkStart w:id="236"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6"/>
    <w:bookmarkEnd w:id="237"/>
    <w:bookmarkStart w:id="238" w:name="language-specific-vulnerabilities-for-c"/>
    <w:p>
      <w:pPr>
        <w:pStyle w:val="Heading1"/>
      </w:pPr>
      <w:r>
        <w:t xml:space="preserve">7. Language specific vulnerabilities for C++</w:t>
      </w:r>
    </w:p>
    <w:p>
      <w:pPr>
        <w:pStyle w:val="FirstParagraph"/>
      </w:pPr>
      <w:r>
        <w:t xml:space="preserve">TBD</w:t>
      </w:r>
    </w:p>
    <w:bookmarkEnd w:id="238"/>
    <w:bookmarkStart w:id="240"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9"/>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0"/>
    <w:bookmarkStart w:id="254"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1"/>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2">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3">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4">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5">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6">
        <w:r>
          <w:rPr>
            <w:rStyle w:val="Hyperlink"/>
          </w:rPr>
          <w:t xml:space="preserve">http://myweb.lmu.edu/dondi/share/pl/type-checking-v02.pdf</w:t>
        </w:r>
      </w:hyperlink>
    </w:p>
    <w:p>
      <w:pPr>
        <w:pStyle w:val="Bibliography1"/>
      </w:pPr>
      <w:r>
        <w:t xml:space="preserve">[32] MISRA Limited. "</w:t>
      </w:r>
      <w:hyperlink r:id="rId247">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8">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9">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0">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1">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2">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3">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4"/>
    <w:bookmarkStart w:id="255" w:name="index"/>
    <w:p>
      <w:pPr>
        <w:pStyle w:val="Heading1"/>
      </w:pPr>
      <w:r>
        <w:t xml:space="preserve">Index</w:t>
      </w:r>
    </w:p>
    <w:p>
      <w:pPr>
        <w:pStyle w:val="Bibliography1"/>
      </w:pPr>
      <w:r>
        <w:t xml:space="preserve">LHS (left-hand side), 22</w:t>
      </w:r>
    </w:p>
    <w:bookmarkEnd w:id="2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9">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1">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0" Target="http://archive.gao.gov/t2pbat6/145960.pdf" TargetMode="External" /><Relationship Type="http://schemas.openxmlformats.org/officeDocument/2006/relationships/hyperlink" Id="rId248" Target="http://cwe.mitre.org/" TargetMode="External" /><Relationship Type="http://schemas.openxmlformats.org/officeDocument/2006/relationships/hyperlink" Id="rId244" Target="http://en.wikisource.org/wiki/Ariane_501_Inquiry_Board_report" TargetMode="External" /><Relationship Type="http://schemas.openxmlformats.org/officeDocument/2006/relationships/hyperlink" Id="rId242" Target="http://esamultimedia.esa.int/docs/esa-x-1819eng.pdf" TargetMode="External" /><Relationship Type="http://schemas.openxmlformats.org/officeDocument/2006/relationships/hyperlink" Id="rId246" Target="http://myweb.lmu.edu/dondi/share/pl/type-checking-v02.pdf" TargetMode="External" /><Relationship Type="http://schemas.openxmlformats.org/officeDocument/2006/relationships/hyperlink" Id="rId253" Target="http://www.adaic.org/docs/95style/95style.pdf" TargetMode="External" /><Relationship Type="http://schemas.openxmlformats.org/officeDocument/2006/relationships/hyperlink" Id="rId245" Target="http://www.cert.org/books/secure-coding" TargetMode="External" /><Relationship Type="http://schemas.openxmlformats.org/officeDocument/2006/relationships/hyperlink" Id="rId243" Target="http://www.embedded.com/1999/9907/9907feat2.htm" TargetMode="External" /><Relationship Type="http://schemas.openxmlformats.org/officeDocument/2006/relationships/hyperlink" Id="rId247" Target="http://www.misra.org.uk/" TargetMode="External" /><Relationship Type="http://schemas.openxmlformats.org/officeDocument/2006/relationships/hyperlink" Id="rId249" Target="http://www.nsc.liu.se/wg25/book" TargetMode="External" /><Relationship Type="http://schemas.openxmlformats.org/officeDocument/2006/relationships/hyperlink" Id="rId251"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2"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2026-01-05T16:52:10Z</dcterms:created>
  <dcterms:modified xsi:type="dcterms:W3CDTF">2026-01-05T16:52:10Z</dcterms:modified>
</cp:coreProperties>
</file>

<file path=docProps/custom.xml><?xml version="1.0" encoding="utf-8"?>
<Properties xmlns="http://schemas.openxmlformats.org/officeDocument/2006/custom-properties" xmlns:vt="http://schemas.openxmlformats.org/officeDocument/2006/docPropsVTypes"/>
</file>