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4"/>
          <w:szCs w:val="34"/>
        </w:rPr>
        <w:t xml:space="preserve">Análisis de Burnout en Desarrolladores de Software</w:t>
      </w:r>
    </w:p>
    <w:p>
      <w:pPr>
        <w:spacing w:after="400"/>
        <w:jc w:val="center"/>
      </w:pPr>
      <w:r>
        <w:rPr>
          <w:color w:val="555555"/>
          <w:sz w:val="26"/>
          <w:szCs w:val="26"/>
        </w:rPr>
        <w:t xml:space="preserve">Fase 1: Comprensión de los Datos — Análisis Exploratorio (EDA)</w:t>
      </w:r>
    </w:p>
    <w:p>
      <w:pPr>
        <w:spacing w:after="150"/>
      </w:pPr>
      <w:r>
        <w:rPr>
          <w:i/>
          <w:iCs/>
        </w:rPr>
        <w:t xml:space="preserve">Dataset: developer_burnout_dataset_7000.csv — 7000 registros, 11 variables numéricas y 1 variable categórica.</w:t>
      </w:r>
    </w:p>
    <w:p>
      <w:pPr>
        <w:pStyle w:val="Heading1"/>
        <w:spacing w:after="150" w:before="300"/>
      </w:pPr>
      <w:r>
        <w:t xml:space="preserve">1. Comprensión de los datos</w:t>
      </w:r>
    </w:p>
    <w:p>
      <w:pPr>
        <w:pStyle w:val="Heading2"/>
        <w:spacing w:after="120" w:before="250"/>
      </w:pPr>
      <w:r>
        <w:t xml:space="preserve">1.1 Clasificación inicial de variables</w:t>
      </w:r>
    </w:p>
    <w:p>
      <w:pPr>
        <w:spacing w:after="150"/>
      </w:pPr>
      <w:r>
        <w:t xml:space="preserve">El dataset está compuesto por 12 columnas, clasificadas de la siguiente manera: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826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Variables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Numéricas continuas</w:t>
            </w:r>
          </w:p>
        </w:tc>
        <w:tc>
          <w:tcPr>
            <w:tcW w:type="dxa" w:w="6826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age, experience_years, daily_work_hours, sleep_hours, caffeine_intake, bugs_per_day, commits_per_day, meetings_per_day, screen_time, exercise_hours, stress_level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Categórica</w:t>
            </w:r>
          </w:p>
        </w:tc>
        <w:tc>
          <w:tcPr>
            <w:tcW w:type="dxa" w:w="6826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burnout_level (Low / Medium / High)</w:t>
            </w:r>
          </w:p>
        </w:tc>
      </w:tr>
    </w:tbl>
    <w:p>
      <w:pPr>
        <w:spacing w:after="200"/>
      </w:pPr>
    </w:p>
    <w:p>
      <w:pPr>
        <w:spacing w:after="150"/>
      </w:pPr>
      <w:r>
        <w:t xml:space="preserve">Todas las variables numéricas son de tipo float64. La variable categórica burnout_level es de tipo texto (object), con 3 niveles ordinales.</w:t>
      </w:r>
    </w:p>
    <w:p>
      <w:pPr>
        <w:pStyle w:val="Heading2"/>
        <w:spacing w:after="120" w:before="250"/>
      </w:pPr>
      <w:r>
        <w:t xml:space="preserve">1.2 Calidad de los datos</w:t>
      </w:r>
    </w:p>
    <w:p>
      <w:pPr>
        <w:spacing w:after="150"/>
      </w:pPr>
      <w:r>
        <w:rPr>
          <w:b/>
          <w:bCs/>
        </w:rPr>
        <w:t xml:space="preserve">Valores faltantes: </w:t>
      </w:r>
      <w:r>
        <w:t xml:space="preserve">6860 de 7000 registros (98%) están completos. Las 140 filas restantes (2%) presentan valores faltantes de forma simultánea en todas las columnas, lo que sugiere que corresponden a registros incompletos en su totalidad (probablemente encuestas no finalizadas).</w:t>
      </w:r>
    </w:p>
    <w:p>
      <w:pPr>
        <w:spacing w:after="150"/>
      </w:pPr>
      <w:r>
        <w:rPr>
          <w:b/>
          <w:bCs/>
        </w:rPr>
        <w:t xml:space="preserve">Duplicados: </w:t>
      </w:r>
      <w:r>
        <w:t xml:space="preserve">no se encontraron filas duplicadas en el dataset.</w:t>
      </w:r>
    </w:p>
    <w:p>
      <w:pPr>
        <w:spacing w:after="150"/>
      </w:pPr>
      <w:r>
        <w:t xml:space="preserve">Para los análisis siguientes se trabajó sobre las 6860 filas completas.</w:t>
      </w:r>
    </w:p>
    <w:p>
      <w:pPr>
        <w:pStyle w:val="Heading2"/>
        <w:spacing w:after="120" w:before="250"/>
      </w:pPr>
      <w:r>
        <w:t xml:space="preserve">1.3 Estadística descriptiva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950"/>
        <w:gridCol w:w="950"/>
        <w:gridCol w:w="850"/>
        <w:gridCol w:w="850"/>
        <w:gridCol w:w="950"/>
        <w:gridCol w:w="850"/>
        <w:gridCol w:w="850"/>
      </w:tblGrid>
      <w:tr>
        <w:tc>
          <w:tcPr>
            <w:tcW w:type="dxa" w:w="1550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950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Media</w:t>
            </w:r>
          </w:p>
        </w:tc>
        <w:tc>
          <w:tcPr>
            <w:tcW w:type="dxa" w:w="950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Desv. Est.</w:t>
            </w:r>
          </w:p>
        </w:tc>
        <w:tc>
          <w:tcPr>
            <w:tcW w:type="dxa" w:w="850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Mín</w:t>
            </w:r>
          </w:p>
        </w:tc>
        <w:tc>
          <w:tcPr>
            <w:tcW w:type="dxa" w:w="850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P25</w:t>
            </w:r>
          </w:p>
        </w:tc>
        <w:tc>
          <w:tcPr>
            <w:tcW w:type="dxa" w:w="950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Mediana</w:t>
            </w:r>
          </w:p>
        </w:tc>
        <w:tc>
          <w:tcPr>
            <w:tcW w:type="dxa" w:w="850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P75</w:t>
            </w:r>
          </w:p>
        </w:tc>
        <w:tc>
          <w:tcPr>
            <w:tcW w:type="dxa" w:w="850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Máx</w:t>
            </w:r>
          </w:p>
        </w:tc>
      </w:tr>
      <w:tr>
        <w:tc>
          <w:tcPr>
            <w:tcW w:type="dxa" w:w="15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</w:t>
            </w:r>
          </w:p>
        </w:tc>
        <w:tc>
          <w:tcPr>
            <w:tcW w:type="dxa" w:w="9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32.13</w:t>
            </w:r>
          </w:p>
        </w:tc>
        <w:tc>
          <w:tcPr>
            <w:tcW w:type="dxa" w:w="9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7.23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9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44</w:t>
            </w:r>
          </w:p>
        </w:tc>
      </w:tr>
      <w:tr>
        <w:tc>
          <w:tcPr>
            <w:tcW w:type="dxa" w:w="15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experience_years</w:t>
            </w:r>
          </w:p>
        </w:tc>
        <w:tc>
          <w:tcPr>
            <w:tcW w:type="dxa" w:w="9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9.58</w:t>
            </w:r>
          </w:p>
        </w:tc>
        <w:tc>
          <w:tcPr>
            <w:tcW w:type="dxa" w:w="9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5.76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9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15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daily_work_hours</w:t>
            </w:r>
          </w:p>
        </w:tc>
        <w:tc>
          <w:tcPr>
            <w:tcW w:type="dxa" w:w="9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9.00</w:t>
            </w:r>
          </w:p>
        </w:tc>
        <w:tc>
          <w:tcPr>
            <w:tcW w:type="dxa" w:w="9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2.86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6.56</w:t>
            </w:r>
          </w:p>
        </w:tc>
        <w:tc>
          <w:tcPr>
            <w:tcW w:type="dxa" w:w="9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8.99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11.42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15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sleep_hours</w:t>
            </w:r>
          </w:p>
        </w:tc>
        <w:tc>
          <w:tcPr>
            <w:tcW w:type="dxa" w:w="9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6.49</w:t>
            </w:r>
          </w:p>
        </w:tc>
        <w:tc>
          <w:tcPr>
            <w:tcW w:type="dxa" w:w="9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1.45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5.22</w:t>
            </w:r>
          </w:p>
        </w:tc>
        <w:tc>
          <w:tcPr>
            <w:tcW w:type="dxa" w:w="9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6.46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7.74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5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caffeine_intake</w:t>
            </w:r>
          </w:p>
        </w:tc>
        <w:tc>
          <w:tcPr>
            <w:tcW w:type="dxa" w:w="9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3.54</w:t>
            </w:r>
          </w:p>
        </w:tc>
        <w:tc>
          <w:tcPr>
            <w:tcW w:type="dxa" w:w="9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2.28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5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bugs_per_day</w:t>
            </w:r>
          </w:p>
        </w:tc>
        <w:tc>
          <w:tcPr>
            <w:tcW w:type="dxa" w:w="9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9.48</w:t>
            </w:r>
          </w:p>
        </w:tc>
        <w:tc>
          <w:tcPr>
            <w:tcW w:type="dxa" w:w="9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5.75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9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15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commits_per_day</w:t>
            </w:r>
          </w:p>
        </w:tc>
        <w:tc>
          <w:tcPr>
            <w:tcW w:type="dxa" w:w="9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14.46</w:t>
            </w:r>
          </w:p>
        </w:tc>
        <w:tc>
          <w:tcPr>
            <w:tcW w:type="dxa" w:w="9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8.67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9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</w:tr>
      <w:tr>
        <w:tc>
          <w:tcPr>
            <w:tcW w:type="dxa" w:w="15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meetings_per_day</w:t>
            </w:r>
          </w:p>
        </w:tc>
        <w:tc>
          <w:tcPr>
            <w:tcW w:type="dxa" w:w="9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4.55</w:t>
            </w:r>
          </w:p>
        </w:tc>
        <w:tc>
          <w:tcPr>
            <w:tcW w:type="dxa" w:w="9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2.86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5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screen_time</w:t>
            </w:r>
          </w:p>
        </w:tc>
        <w:tc>
          <w:tcPr>
            <w:tcW w:type="dxa" w:w="9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11.97</w:t>
            </w:r>
          </w:p>
        </w:tc>
        <w:tc>
          <w:tcPr>
            <w:tcW w:type="dxa" w:w="9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3.09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5.21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9.46</w:t>
            </w:r>
          </w:p>
        </w:tc>
        <w:tc>
          <w:tcPr>
            <w:tcW w:type="dxa" w:w="9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12.02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14.42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18.93</w:t>
            </w:r>
          </w:p>
        </w:tc>
      </w:tr>
      <w:tr>
        <w:tc>
          <w:tcPr>
            <w:tcW w:type="dxa" w:w="15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exercise_hours</w:t>
            </w:r>
          </w:p>
        </w:tc>
        <w:tc>
          <w:tcPr>
            <w:tcW w:type="dxa" w:w="9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1.01</w:t>
            </w:r>
          </w:p>
        </w:tc>
        <w:tc>
          <w:tcPr>
            <w:tcW w:type="dxa" w:w="9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0.51</w:t>
            </w:r>
          </w:p>
        </w:tc>
        <w:tc>
          <w:tcPr>
            <w:tcW w:type="dxa" w:w="9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1.51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5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stress_level</w:t>
            </w:r>
          </w:p>
        </w:tc>
        <w:tc>
          <w:tcPr>
            <w:tcW w:type="dxa" w:w="9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53.65</w:t>
            </w:r>
          </w:p>
        </w:tc>
        <w:tc>
          <w:tcPr>
            <w:tcW w:type="dxa" w:w="9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23.45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36.59</w:t>
            </w:r>
          </w:p>
        </w:tc>
        <w:tc>
          <w:tcPr>
            <w:tcW w:type="dxa" w:w="9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53.80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70.80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</w:tr>
    </w:tbl>
    <w:p>
      <w:pPr>
        <w:spacing w:after="200"/>
      </w:pPr>
    </w:p>
    <w:p>
      <w:pPr>
        <w:pStyle w:val="Heading2"/>
        <w:spacing w:after="120" w:before="250"/>
      </w:pPr>
      <w:r>
        <w:t xml:space="preserve">1.4 Distribución de la variable categórica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3013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Cantidad de registros</w:t>
            </w:r>
          </w:p>
        </w:tc>
        <w:tc>
          <w:tcPr>
            <w:tcW w:type="dxa" w:w="3013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Porcentaje</w:t>
            </w:r>
          </w:p>
        </w:tc>
      </w:tr>
      <w:tr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3013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1593</w:t>
            </w:r>
          </w:p>
        </w:tc>
        <w:tc>
          <w:tcPr>
            <w:tcW w:type="dxa" w:w="3013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23.2%</w:t>
            </w:r>
          </w:p>
        </w:tc>
      </w:tr>
      <w:tr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013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3485</w:t>
            </w:r>
          </w:p>
        </w:tc>
        <w:tc>
          <w:tcPr>
            <w:tcW w:type="dxa" w:w="3013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50.8%</w:t>
            </w:r>
          </w:p>
        </w:tc>
      </w:tr>
      <w:tr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013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1782</w:t>
            </w:r>
          </w:p>
        </w:tc>
        <w:tc>
          <w:tcPr>
            <w:tcW w:type="dxa" w:w="3013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26.0%</w:t>
            </w:r>
          </w:p>
        </w:tc>
      </w:tr>
    </w:tbl>
    <w:p>
      <w:pPr>
        <w:spacing w:after="200"/>
      </w:pPr>
    </w:p>
    <w:p>
      <w:pPr>
        <w:spacing w:after="150"/>
      </w:pPr>
      <w:r>
        <w:t xml:space="preserve">La clase Medium concentra alrededor de la mitad de los registros, mientras que Low y High están relativamente balanceadas entre sí (~23-26% cada una). Existe un leve desbalance entre clases, relevante para una eventual tarea de clasificación.</w:t>
      </w:r>
    </w:p>
    <w:p>
      <w:pPr>
        <w:pStyle w:val="Heading1"/>
        <w:spacing w:after="150" w:before="300"/>
      </w:pPr>
      <w:r>
        <w:t xml:space="preserve">2. Distribuciones univariadas</w:t>
      </w:r>
    </w:p>
    <w:p>
      <w:pPr>
        <w:spacing w:after="80"/>
        <w:jc w:val="center"/>
      </w:pPr>
      <w:r>
        <w:drawing>
          <wp:inline distT="0" distB="0" distL="0" distR="0">
            <wp:extent cx="5905500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20"/>
          <w:szCs w:val="20"/>
        </w:rPr>
        <w:t xml:space="preserve">Figura 1. Histogramas de las 11 variables numéricas.</w:t>
      </w:r>
    </w:p>
    <w:p>
      <w:pPr>
        <w:spacing w:after="80"/>
        <w:jc w:val="center"/>
      </w:pPr>
      <w:r>
        <w:drawing>
          <wp:inline distT="0" distB="0" distL="0" distR="0">
            <wp:extent cx="3619500" cy="260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20"/>
          <w:szCs w:val="20"/>
        </w:rPr>
        <w:t xml:space="preserve">Figura 2. Distribución de la variable burnout_level.</w:t>
      </w:r>
    </w:p>
    <w:p>
      <w:pPr>
        <w:spacing w:after="150"/>
      </w:pPr>
      <w:r>
        <w:rPr>
          <w:b/>
          <w:bCs/>
        </w:rPr>
        <w:t xml:space="preserve">Hallazgos: </w:t>
      </w:r>
      <w:r>
        <w:t xml:space="preserve">age, experience_years, sleep_hours, screen_time y exercise_hours muestran distribuciones aproximadamente uniformes, típicas de un dataset generado sintéticamente. stress_level cubre todo el rango 0-100 con una forma razonablemente simétrica, adecuada como variable objetivo continua. daily_work_hours y caffeine_intake muestran concentración en valores medios-altos, coherente con un perfil de carga laboral elevada.</w:t>
      </w:r>
    </w:p>
    <w:p>
      <w:pPr>
        <w:pStyle w:val="Heading1"/>
        <w:spacing w:after="150" w:before="300"/>
      </w:pPr>
      <w:r>
        <w:t xml:space="preserve">3. Detección de outliers</w:t>
      </w:r>
    </w:p>
    <w:p>
      <w:pPr>
        <w:spacing w:after="80"/>
        <w:jc w:val="center"/>
      </w:pPr>
      <w:r>
        <w:drawing>
          <wp:inline distT="0" distB="0" distL="0" distR="0">
            <wp:extent cx="5905500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20"/>
          <w:szCs w:val="20"/>
        </w:rPr>
        <w:t xml:space="preserve">Figura 3. Boxplots de las 11 variables numéricas.</w:t>
      </w:r>
    </w:p>
    <w:p>
      <w:pPr>
        <w:spacing w:after="150"/>
      </w:pPr>
      <w:r>
        <w:t xml:space="preserve">No se observan outliers extremos: todos los valores se mantienen dentro de rangos plausibles para cada variable (por ejemplo, sleep_hours entre 0 y ~10 horas, stress_level entre 0 y 100), consistente con un dataset generado de forma controlada.</w:t>
      </w:r>
    </w:p>
    <w:p>
      <w:pPr>
        <w:pStyle w:val="Heading1"/>
        <w:spacing w:after="150" w:before="300"/>
      </w:pPr>
      <w:r>
        <w:t xml:space="preserve">4. Relaciones bivariadas</w:t>
      </w:r>
    </w:p>
    <w:p>
      <w:pPr>
        <w:spacing w:after="80"/>
        <w:jc w:val="center"/>
      </w:pPr>
      <w:r>
        <w:drawing>
          <wp:inline distT="0" distB="0" distL="0" distR="0">
            <wp:extent cx="4572000" cy="408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20"/>
          <w:szCs w:val="20"/>
        </w:rPr>
        <w:t xml:space="preserve">Figura 4. Matriz de correlación entre variables numéricas.</w:t>
      </w:r>
    </w:p>
    <w:p>
      <w:pPr>
        <w:pStyle w:val="Heading2"/>
        <w:spacing w:after="120" w:before="250"/>
      </w:pPr>
      <w:r>
        <w:t xml:space="preserve">4.1 Correlación con stress_level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526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Correlación con stress_level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daily_work_hours</w:t>
            </w:r>
          </w:p>
        </w:tc>
        <w:tc>
          <w:tcPr>
            <w:tcW w:type="dxa" w:w="4526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+0.601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screen_time</w:t>
            </w:r>
          </w:p>
        </w:tc>
        <w:tc>
          <w:tcPr>
            <w:tcW w:type="dxa" w:w="4526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+0.549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bugs_per_day</w:t>
            </w:r>
          </w:p>
        </w:tc>
        <w:tc>
          <w:tcPr>
            <w:tcW w:type="dxa" w:w="4526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+0.492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meetings_per_day</w:t>
            </w:r>
          </w:p>
        </w:tc>
        <w:tc>
          <w:tcPr>
            <w:tcW w:type="dxa" w:w="4526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+0.351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caffeine_intake</w:t>
            </w:r>
          </w:p>
        </w:tc>
        <w:tc>
          <w:tcPr>
            <w:tcW w:type="dxa" w:w="4526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+0.200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</w:t>
            </w:r>
          </w:p>
        </w:tc>
        <w:tc>
          <w:tcPr>
            <w:tcW w:type="dxa" w:w="4526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+0.006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commits_per_day</w:t>
            </w:r>
          </w:p>
        </w:tc>
        <w:tc>
          <w:tcPr>
            <w:tcW w:type="dxa" w:w="4526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-0.008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experience_years</w:t>
            </w:r>
          </w:p>
        </w:tc>
        <w:tc>
          <w:tcPr>
            <w:tcW w:type="dxa" w:w="4526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-0.020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exercise_hours</w:t>
            </w:r>
          </w:p>
        </w:tc>
        <w:tc>
          <w:tcPr>
            <w:tcW w:type="dxa" w:w="4526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-0.105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sleep_hours</w:t>
            </w:r>
          </w:p>
        </w:tc>
        <w:tc>
          <w:tcPr>
            <w:tcW w:type="dxa" w:w="4526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-0.250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b/>
          <w:bCs/>
        </w:rPr>
        <w:t xml:space="preserve">Hallazgo clave: </w:t>
      </w:r>
      <w:r>
        <w:t xml:space="preserve">las variables con mayor correlación positiva con stress_level son daily_work_hours, screen_time y bugs_per_day — es decir, la carga de trabajo y el tiempo frente a la pantalla se asocian a mayor estrés. En sentido contrario, sleep_hours y exercise_hours muestran correlación negativa: más descanso y actividad física se asocian a menor estrés. commits_per_day, experience_years y age muestran correlación prácticamente nula.</w:t>
      </w:r>
    </w:p>
    <w:p>
      <w:pPr>
        <w:spacing w:after="80"/>
        <w:jc w:val="center"/>
      </w:pPr>
      <w:r>
        <w:drawing>
          <wp:inline distT="0" distB="0" distL="0" distR="0">
            <wp:extent cx="4000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20"/>
          <w:szCs w:val="20"/>
        </w:rPr>
        <w:t xml:space="preserve">Figura 5. stress_level según burnout_level.</w:t>
      </w:r>
    </w:p>
    <w:p>
      <w:pPr>
        <w:spacing w:after="150"/>
      </w:pPr>
      <w:r>
        <w:t xml:space="preserve">Como es esperable, stress_level aumenta de forma monótona entre las categorías Low → Medium → High de burnout_level, lo que valida la coherencia interna del dataset.</w:t>
      </w:r>
    </w:p>
    <w:p>
      <w:pPr>
        <w:pStyle w:val="Heading1"/>
        <w:spacing w:after="150" w:before="300"/>
      </w:pPr>
      <w:r>
        <w:t xml:space="preserve">5. Conclusiones del EDA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 dataset está mayormente completo (98%) y no presenta duplicados; las 140 filas incompletas se excluyen para el análisis y modelado.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Las variables numéricas presentan distribuciones controladas, sin outliers extremos, y rangos coherentes con su naturaleza (horas, cantidades, escalas 0-100).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Existe un leve desbalance en burnout_level, con predominancia de la clase Medium (~51%).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daily_work_hours, screen_time y bugs_per_day son los predictores más prometedores de stress_level (correlación positiva fuerte); sleep_hours aporta la señal negativa más relevante.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 consistencia entre stress_level y burnout_level confirma que ambas variables reflejan el mismo fenómeno subyacente desde ángulos distinto (continuo vs. categórico), lo cual es relevante al elegir variables objetivo para las fases de modelado.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db2815f098be9b8d9c78d82a0985cbd41efeba.png"/><Relationship Id="rId8" Type="http://schemas.openxmlformats.org/officeDocument/2006/relationships/image" Target="media/f6686d259b537ca5c241e99d7e497080c2350a7a.png"/><Relationship Id="rId9" Type="http://schemas.openxmlformats.org/officeDocument/2006/relationships/image" Target="media/a4174fca389beb297c7d3ebeb9fa76eb2829abac.png"/><Relationship Id="rId10" Type="http://schemas.openxmlformats.org/officeDocument/2006/relationships/image" Target="media/94d80175e4265572d53d9b1c0581a8776c8a5be4.png"/><Relationship Id="rId11" Type="http://schemas.openxmlformats.org/officeDocument/2006/relationships/image" Target="media/b9b47340789b06a0aa8256b617c786123da3ff0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2026-08-27T23:53:52.424Z</dcterms:created>
  <dcterms:modified xsi:type="dcterms:W3CDTF">2026-08-27T23:53:52.437Z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