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86AE" w14:textId="4C2BEF29" w:rsidR="007B07F9" w:rsidRDefault="00AF3BF7" w:rsidP="00F35198">
      <w:r>
        <w:t>Stokes and Purdon</w:t>
      </w:r>
      <w:r w:rsidR="003D039C">
        <w:t xml:space="preserve"> [1]</w:t>
      </w:r>
      <w:r>
        <w:t xml:space="preserve"> </w:t>
      </w:r>
      <w:r w:rsidR="00A04C53">
        <w:t>made</w:t>
      </w:r>
      <w:r>
        <w:t xml:space="preserve"> some outdated but inte</w:t>
      </w:r>
      <w:r w:rsidR="00EB65CE">
        <w:t xml:space="preserve">resting </w:t>
      </w:r>
      <w:r w:rsidR="00A04C53">
        <w:t>points</w:t>
      </w:r>
      <w:r w:rsidR="00EB65CE">
        <w:t xml:space="preserve"> about the limitations on the use of Granger causality </w:t>
      </w:r>
      <w:r w:rsidR="00187F0E">
        <w:t>which attracted replies from renowned researchers on this area.</w:t>
      </w:r>
      <w:r w:rsidR="003D039C">
        <w:t xml:space="preserve"> </w:t>
      </w:r>
      <w:r w:rsidR="00D83BD3">
        <w:t>The following</w:t>
      </w:r>
      <w:r w:rsidR="008C6B42">
        <w:t xml:space="preserve"> is the Matlab code </w:t>
      </w:r>
      <w:r w:rsidR="007E1716">
        <w:t>to simulate</w:t>
      </w:r>
      <w:r w:rsidR="008C6B42">
        <w:t xml:space="preserve"> data according to Example 1 in the paper</w:t>
      </w:r>
      <w:r w:rsidR="00F64440">
        <w:t xml:space="preserve"> (also in a PPT’s slide)</w:t>
      </w:r>
      <w:r w:rsidR="00A259FD">
        <w:t>:</w:t>
      </w:r>
    </w:p>
    <w:p w14:paraId="615D3331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 xml:space="preserve">Fs = 120; </w:t>
      </w:r>
      <w:r w:rsidRPr="00281398">
        <w:rPr>
          <w:rFonts w:ascii="Courier New" w:hAnsi="Courier New" w:cs="Courier New"/>
          <w:color w:val="3C763D"/>
          <w:sz w:val="20"/>
          <w:szCs w:val="20"/>
        </w:rPr>
        <w:t>% sampling frequency is 120 Hz</w:t>
      </w:r>
    </w:p>
    <w:p w14:paraId="4F81C886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 xml:space="preserve">T = 2*Fs; </w:t>
      </w:r>
      <w:r w:rsidRPr="00281398">
        <w:rPr>
          <w:rFonts w:ascii="Courier New" w:hAnsi="Courier New" w:cs="Courier New"/>
          <w:color w:val="3C763D"/>
          <w:sz w:val="20"/>
          <w:szCs w:val="20"/>
        </w:rPr>
        <w:t>% 2 senconds simulation</w:t>
      </w:r>
    </w:p>
    <w:p w14:paraId="40F6A1D5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>r = [0.9 0.7 0.8];</w:t>
      </w:r>
    </w:p>
    <w:p w14:paraId="50AB4A76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>f = [40 10 50];</w:t>
      </w:r>
    </w:p>
    <w:p w14:paraId="565461CA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>dt = 1/Fs;</w:t>
      </w:r>
    </w:p>
    <w:p w14:paraId="7E3862D0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>theta = 2*pi*f*dt;</w:t>
      </w:r>
    </w:p>
    <w:p w14:paraId="5433BCFF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 xml:space="preserve">N = 3; </w:t>
      </w:r>
      <w:r w:rsidRPr="00281398">
        <w:rPr>
          <w:rFonts w:ascii="Courier New" w:hAnsi="Courier New" w:cs="Courier New"/>
          <w:color w:val="3C763D"/>
          <w:sz w:val="20"/>
          <w:szCs w:val="20"/>
        </w:rPr>
        <w:t>% number of nodes</w:t>
      </w:r>
    </w:p>
    <w:p w14:paraId="5FE67128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 xml:space="preserve">p = 3; </w:t>
      </w:r>
      <w:r w:rsidRPr="00281398">
        <w:rPr>
          <w:rFonts w:ascii="Courier New" w:hAnsi="Courier New" w:cs="Courier New"/>
          <w:color w:val="3C763D"/>
          <w:sz w:val="20"/>
          <w:szCs w:val="20"/>
        </w:rPr>
        <w:t>% true order of the MVAR model</w:t>
      </w:r>
    </w:p>
    <w:p w14:paraId="268FE24D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281398">
        <w:rPr>
          <w:rFonts w:ascii="Courier New" w:hAnsi="Courier New" w:cs="Courier New"/>
          <w:color w:val="000000"/>
          <w:sz w:val="20"/>
          <w:szCs w:val="20"/>
          <w:lang w:val="es-ES"/>
        </w:rPr>
        <w:t>A = zeros(N,N,p);</w:t>
      </w:r>
    </w:p>
    <w:p w14:paraId="78E9647C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281398">
        <w:rPr>
          <w:rFonts w:ascii="Courier New" w:hAnsi="Courier New" w:cs="Courier New"/>
          <w:color w:val="000000"/>
          <w:sz w:val="20"/>
          <w:szCs w:val="20"/>
          <w:lang w:val="es-ES"/>
        </w:rPr>
        <w:t>A(:,:,1) = diag(2*r.*cos(theta)) + [0 0 0; -0.356 0 0; 0 -0.3098 0];</w:t>
      </w:r>
    </w:p>
    <w:p w14:paraId="2CC0D1F3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281398">
        <w:rPr>
          <w:rFonts w:ascii="Courier New" w:hAnsi="Courier New" w:cs="Courier New"/>
          <w:color w:val="000000"/>
          <w:sz w:val="20"/>
          <w:szCs w:val="20"/>
          <w:lang w:val="fr-FR"/>
        </w:rPr>
        <w:t>A(:,:,2) = diag(-r.^2) + [0 0 0; 0.7136 0 0; 0 0.5 0];</w:t>
      </w:r>
    </w:p>
    <w:p w14:paraId="7C431624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281398">
        <w:rPr>
          <w:rFonts w:ascii="Courier New" w:hAnsi="Courier New" w:cs="Courier New"/>
          <w:color w:val="000000"/>
          <w:sz w:val="20"/>
          <w:szCs w:val="20"/>
          <w:lang w:val="fr-FR"/>
        </w:rPr>
        <w:t>A(:,:,3) = [0 0 0; -0.356 0 0; 0 -0.3098 0];</w:t>
      </w:r>
    </w:p>
    <w:p w14:paraId="34B54C21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281398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ss = 1; </w:t>
      </w:r>
      <w:r w:rsidRPr="00281398">
        <w:rPr>
          <w:rFonts w:ascii="Courier New" w:hAnsi="Courier New" w:cs="Courier New"/>
          <w:color w:val="3C763D"/>
          <w:sz w:val="20"/>
          <w:szCs w:val="20"/>
          <w:lang w:val="fr-FR"/>
        </w:rPr>
        <w:t>% space noise's standard deviation</w:t>
      </w:r>
    </w:p>
    <w:p w14:paraId="2A365AF1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281398">
        <w:rPr>
          <w:rFonts w:ascii="Courier New" w:hAnsi="Courier New" w:cs="Courier New"/>
          <w:color w:val="000000"/>
          <w:sz w:val="20"/>
          <w:szCs w:val="20"/>
          <w:lang w:val="fr-FR"/>
        </w:rPr>
        <w:t>x = ss*randn(N,T);</w:t>
      </w:r>
    </w:p>
    <w:p w14:paraId="024B97F0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FF"/>
          <w:sz w:val="20"/>
          <w:szCs w:val="20"/>
        </w:rPr>
        <w:t>for</w:t>
      </w:r>
      <w:r w:rsidRPr="00281398">
        <w:rPr>
          <w:rFonts w:ascii="Courier New" w:hAnsi="Courier New" w:cs="Courier New"/>
          <w:color w:val="000000"/>
          <w:sz w:val="20"/>
          <w:szCs w:val="20"/>
        </w:rPr>
        <w:t xml:space="preserve"> t = p+1:T</w:t>
      </w:r>
    </w:p>
    <w:p w14:paraId="29107122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281398">
        <w:rPr>
          <w:rFonts w:ascii="Courier New" w:hAnsi="Courier New" w:cs="Courier New"/>
          <w:color w:val="0000FF"/>
          <w:sz w:val="20"/>
          <w:szCs w:val="20"/>
        </w:rPr>
        <w:t>for</w:t>
      </w:r>
      <w:r w:rsidRPr="00281398">
        <w:rPr>
          <w:rFonts w:ascii="Courier New" w:hAnsi="Courier New" w:cs="Courier New"/>
          <w:color w:val="000000"/>
          <w:sz w:val="20"/>
          <w:szCs w:val="20"/>
        </w:rPr>
        <w:t xml:space="preserve"> k = 1:p</w:t>
      </w:r>
    </w:p>
    <w:p w14:paraId="76D0FFDD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81398">
        <w:rPr>
          <w:rFonts w:ascii="Courier New" w:hAnsi="Courier New" w:cs="Courier New"/>
          <w:color w:val="000000"/>
          <w:sz w:val="20"/>
          <w:szCs w:val="20"/>
          <w:lang w:val="fr-FR"/>
        </w:rPr>
        <w:t>x(:,t) = x(:,t) + A(:,:,k)*x(:,t-k);</w:t>
      </w:r>
    </w:p>
    <w:p w14:paraId="4AF4C250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281398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</w:t>
      </w:r>
      <w:r w:rsidRPr="00281398">
        <w:rPr>
          <w:rFonts w:ascii="Courier New" w:hAnsi="Courier New" w:cs="Courier New"/>
          <w:color w:val="0000FF"/>
          <w:sz w:val="20"/>
          <w:szCs w:val="20"/>
          <w:lang w:val="fr-FR"/>
        </w:rPr>
        <w:t>end</w:t>
      </w:r>
    </w:p>
    <w:p w14:paraId="2ACF48D0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D290D8E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 xml:space="preserve">B = [1 0.5 0.2; 0.5 1 0.5; 0.2 0.5 1]; </w:t>
      </w:r>
      <w:r w:rsidRPr="00281398">
        <w:rPr>
          <w:rFonts w:ascii="Courier New" w:hAnsi="Courier New" w:cs="Courier New"/>
          <w:color w:val="3C763D"/>
          <w:sz w:val="20"/>
          <w:szCs w:val="20"/>
        </w:rPr>
        <w:t>% mixing matrix</w:t>
      </w:r>
    </w:p>
    <w:p w14:paraId="5AF9F10D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 xml:space="preserve">so = 1; </w:t>
      </w:r>
      <w:r w:rsidRPr="00281398">
        <w:rPr>
          <w:rFonts w:ascii="Courier New" w:hAnsi="Courier New" w:cs="Courier New"/>
          <w:color w:val="3C763D"/>
          <w:sz w:val="20"/>
          <w:szCs w:val="20"/>
        </w:rPr>
        <w:t>% observation noise's standard deviation</w:t>
      </w:r>
    </w:p>
    <w:p w14:paraId="41A1724A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>y = B*x + so*randn(N,T);</w:t>
      </w:r>
    </w:p>
    <w:p w14:paraId="69AA504E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45D7AEDB" w14:textId="77777777" w:rsidR="00281398" w:rsidRPr="00281398" w:rsidRDefault="00281398" w:rsidP="002813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 xml:space="preserve">subplot </w:t>
      </w:r>
      <w:r w:rsidRPr="00281398">
        <w:rPr>
          <w:rFonts w:ascii="Courier New" w:hAnsi="Courier New" w:cs="Courier New"/>
          <w:color w:val="A020F0"/>
          <w:sz w:val="20"/>
          <w:szCs w:val="20"/>
        </w:rPr>
        <w:t>211</w:t>
      </w:r>
      <w:r w:rsidRPr="00281398">
        <w:rPr>
          <w:rFonts w:ascii="Courier New" w:hAnsi="Courier New" w:cs="Courier New"/>
          <w:color w:val="000000"/>
          <w:sz w:val="20"/>
          <w:szCs w:val="20"/>
        </w:rPr>
        <w:t>; plot(x'); title(</w:t>
      </w:r>
      <w:r w:rsidRPr="00281398">
        <w:rPr>
          <w:rFonts w:ascii="Courier New" w:hAnsi="Courier New" w:cs="Courier New"/>
          <w:color w:val="A020F0"/>
          <w:sz w:val="20"/>
          <w:szCs w:val="20"/>
        </w:rPr>
        <w:t>'x: hidden dynamics'</w:t>
      </w:r>
      <w:r w:rsidRPr="00281398">
        <w:rPr>
          <w:rFonts w:ascii="Courier New" w:hAnsi="Courier New" w:cs="Courier New"/>
          <w:color w:val="000000"/>
          <w:sz w:val="20"/>
          <w:szCs w:val="20"/>
        </w:rPr>
        <w:t xml:space="preserve">); axis </w:t>
      </w:r>
      <w:r w:rsidRPr="00281398">
        <w:rPr>
          <w:rFonts w:ascii="Courier New" w:hAnsi="Courier New" w:cs="Courier New"/>
          <w:color w:val="A020F0"/>
          <w:sz w:val="20"/>
          <w:szCs w:val="20"/>
        </w:rPr>
        <w:t>tight</w:t>
      </w:r>
    </w:p>
    <w:p w14:paraId="766DF61F" w14:textId="1F55A0C4" w:rsidR="00281398" w:rsidRDefault="00281398" w:rsidP="00D83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1398">
        <w:rPr>
          <w:rFonts w:ascii="Courier New" w:hAnsi="Courier New" w:cs="Courier New"/>
          <w:color w:val="000000"/>
          <w:sz w:val="20"/>
          <w:szCs w:val="20"/>
        </w:rPr>
        <w:t xml:space="preserve">subplot </w:t>
      </w:r>
      <w:r w:rsidRPr="00281398">
        <w:rPr>
          <w:rFonts w:ascii="Courier New" w:hAnsi="Courier New" w:cs="Courier New"/>
          <w:color w:val="A020F0"/>
          <w:sz w:val="20"/>
          <w:szCs w:val="20"/>
        </w:rPr>
        <w:t>212</w:t>
      </w:r>
      <w:r w:rsidRPr="00281398">
        <w:rPr>
          <w:rFonts w:ascii="Courier New" w:hAnsi="Courier New" w:cs="Courier New"/>
          <w:color w:val="000000"/>
          <w:sz w:val="20"/>
          <w:szCs w:val="20"/>
        </w:rPr>
        <w:t>; plot(y'); title(</w:t>
      </w:r>
      <w:r w:rsidRPr="00281398">
        <w:rPr>
          <w:rFonts w:ascii="Courier New" w:hAnsi="Courier New" w:cs="Courier New"/>
          <w:color w:val="A020F0"/>
          <w:sz w:val="20"/>
          <w:szCs w:val="20"/>
        </w:rPr>
        <w:t>'y: observed dynamics'</w:t>
      </w:r>
      <w:r w:rsidRPr="00281398">
        <w:rPr>
          <w:rFonts w:ascii="Courier New" w:hAnsi="Courier New" w:cs="Courier New"/>
          <w:color w:val="000000"/>
          <w:sz w:val="20"/>
          <w:szCs w:val="20"/>
        </w:rPr>
        <w:t xml:space="preserve">); axis </w:t>
      </w:r>
      <w:r w:rsidRPr="00281398">
        <w:rPr>
          <w:rFonts w:ascii="Courier New" w:hAnsi="Courier New" w:cs="Courier New"/>
          <w:color w:val="A020F0"/>
          <w:sz w:val="20"/>
          <w:szCs w:val="20"/>
        </w:rPr>
        <w:t>tight</w:t>
      </w:r>
    </w:p>
    <w:p w14:paraId="330539A6" w14:textId="77777777" w:rsidR="00D83BD3" w:rsidRPr="00D83BD3" w:rsidRDefault="00D83BD3" w:rsidP="00D83B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32B20E" w14:textId="465B6CEE" w:rsidR="009A04F4" w:rsidRPr="00ED3DD7" w:rsidRDefault="00D4371E" w:rsidP="009A04F4">
      <w:pPr>
        <w:divId w:val="870653082"/>
      </w:pPr>
      <w:r>
        <w:t>where, t</w:t>
      </w:r>
      <w:r w:rsidR="00315C3A">
        <w:t>he simulated</w:t>
      </w:r>
      <w:r w:rsidR="008926A6">
        <w:t xml:space="preserve"> example’s</w:t>
      </w:r>
      <w:r w:rsidR="00315C3A">
        <w:t xml:space="preserve"> time series are </w:t>
      </w:r>
      <w:r>
        <w:t xml:space="preserve">represented by the variable x. </w:t>
      </w:r>
      <w:r w:rsidR="003F5DA9">
        <w:t xml:space="preserve">Additionally, we added </w:t>
      </w:r>
      <w:r w:rsidR="00DB43DA">
        <w:t xml:space="preserve">the observation equation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215B78" w:rsidRPr="00215B78">
        <w:rPr>
          <w:rFonts w:ascii="Cambria Math" w:hAnsi="Cambria Math"/>
          <w:i/>
          <w:iCs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~</m:t>
        </m:r>
        <m:r>
          <w:rPr>
            <w:rFonts w:ascii="Cambria Math" w:hAnsi="Cambria Math"/>
            <w:lang w:val="en-US"/>
          </w:rPr>
          <m:t>N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215B78">
        <w:rPr>
          <w:rFonts w:ascii="Cambria Math" w:eastAsiaTheme="minorEastAsia" w:hAnsi="Cambria Math"/>
          <w:lang w:val="en-US"/>
        </w:rPr>
        <w:t xml:space="preserve">, </w:t>
      </w:r>
      <w:r w:rsidR="00215B78" w:rsidRPr="008C72B7">
        <w:t xml:space="preserve">where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="008C72B7" w:rsidRPr="008C72B7">
        <w:t xml:space="preserve"> is the mixing matrix</w:t>
      </w:r>
      <w:r w:rsidR="008C72B7">
        <w:t xml:space="preserve"> with coefficients </w:t>
      </w:r>
      <m:oMath>
        <m:r>
          <m:rPr>
            <m:sty m:val="bi"/>
          </m:rPr>
          <w:rPr>
            <w:rFonts w:ascii="Cambria Math" w:hAnsi="Cambria Math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DB1863">
        <w:rPr>
          <w:rFonts w:eastAsiaTheme="minorEastAsia"/>
          <w:iCs/>
          <w:lang w:val="en-US"/>
        </w:rPr>
        <w:t>.</w:t>
      </w:r>
    </w:p>
    <w:p w14:paraId="45EA1F07" w14:textId="213B806B" w:rsidR="003F5DA9" w:rsidRDefault="00FF5D84" w:rsidP="000C44B2">
      <w:pPr>
        <w:pStyle w:val="ListParagraph"/>
        <w:numPr>
          <w:ilvl w:val="0"/>
          <w:numId w:val="4"/>
        </w:numPr>
        <w:ind w:left="284" w:hanging="284"/>
      </w:pPr>
      <w:r>
        <w:t>Estimate the MVAR model using the correct order p=3 and an</w:t>
      </w:r>
      <w:r w:rsidR="00C73996">
        <w:t xml:space="preserve"> overestimated model order p=30 for both the time series in x and y</w:t>
      </w:r>
      <w:r w:rsidR="00604810">
        <w:t>, separately</w:t>
      </w:r>
      <w:r w:rsidR="00C73996">
        <w:t>. Compare the results</w:t>
      </w:r>
      <w:r w:rsidR="00681D95">
        <w:t>.</w:t>
      </w:r>
    </w:p>
    <w:p w14:paraId="05902BB2" w14:textId="2550C704" w:rsidR="00C73996" w:rsidRDefault="00681D95" w:rsidP="000C44B2">
      <w:pPr>
        <w:pStyle w:val="ListParagraph"/>
        <w:numPr>
          <w:ilvl w:val="0"/>
          <w:numId w:val="4"/>
        </w:numPr>
        <w:ind w:left="284" w:hanging="284"/>
      </w:pPr>
      <w:r>
        <w:t>Calculate Granger causality in the frequency domain</w:t>
      </w:r>
      <w:r w:rsidR="009F2C85">
        <w:t xml:space="preserve"> for both x and y and compare the results.</w:t>
      </w:r>
    </w:p>
    <w:p w14:paraId="61C2EB1C" w14:textId="3ACB899A" w:rsidR="009F2C85" w:rsidRDefault="00823853" w:rsidP="000C44B2">
      <w:pPr>
        <w:pStyle w:val="ListParagraph"/>
        <w:numPr>
          <w:ilvl w:val="0"/>
          <w:numId w:val="4"/>
        </w:numPr>
        <w:ind w:left="284" w:hanging="284"/>
      </w:pPr>
      <w:r>
        <w:t>Calculate coherence, and imaginary coherence for both x and y time series. Compare the results with Granger causality</w:t>
      </w:r>
      <w:r w:rsidR="0019356C">
        <w:t>, and discuss differences.</w:t>
      </w:r>
    </w:p>
    <w:p w14:paraId="50BBE8BC" w14:textId="4D8B2CA0" w:rsidR="00705BEF" w:rsidRDefault="00705BEF" w:rsidP="000C44B2">
      <w:pPr>
        <w:pStyle w:val="ListParagraph"/>
        <w:numPr>
          <w:ilvl w:val="0"/>
          <w:numId w:val="4"/>
        </w:numPr>
        <w:ind w:left="284" w:hanging="284"/>
      </w:pPr>
      <w:r>
        <w:t xml:space="preserve">In your opinion, what are the advantage and disadvantages </w:t>
      </w:r>
      <w:r w:rsidR="006F126B">
        <w:t xml:space="preserve">of the application of Granger causality using </w:t>
      </w:r>
      <w:r w:rsidR="00716557">
        <w:t>MVAR</w:t>
      </w:r>
      <w:r w:rsidR="00290D54">
        <w:t xml:space="preserve"> in this example, and for </w:t>
      </w:r>
      <w:r w:rsidR="0019356C">
        <w:t xml:space="preserve">a </w:t>
      </w:r>
      <w:r w:rsidR="00290D54">
        <w:t>general data</w:t>
      </w:r>
      <w:r w:rsidR="00C062E7">
        <w:t>set (fMRI, EEG/MEG, etc.)</w:t>
      </w:r>
      <w:r w:rsidR="00CA29FC">
        <w:t>?</w:t>
      </w:r>
    </w:p>
    <w:p w14:paraId="76B49108" w14:textId="726B8469" w:rsidR="00024424" w:rsidRDefault="00024424" w:rsidP="00024424">
      <w:r w:rsidRPr="00EA3D9A">
        <w:rPr>
          <w:b/>
          <w:bCs/>
        </w:rPr>
        <w:t>HINT</w:t>
      </w:r>
      <w:r>
        <w:t xml:space="preserve">: use code provided by Faes et. al. </w:t>
      </w:r>
      <w:r w:rsidR="008D4CB9">
        <w:t>[2]</w:t>
      </w:r>
      <w:r>
        <w:t>.</w:t>
      </w:r>
      <w:r w:rsidR="00EB4F8E">
        <w:t xml:space="preserve"> Some matlab codes </w:t>
      </w:r>
      <w:r w:rsidR="000C44B2">
        <w:t>for solving this exercise are also provide</w:t>
      </w:r>
      <w:r w:rsidR="00CA4A81">
        <w:t>d</w:t>
      </w:r>
      <w:r w:rsidR="000C44B2">
        <w:t xml:space="preserve"> with the course materials.</w:t>
      </w:r>
    </w:p>
    <w:p w14:paraId="3FF2BE9E" w14:textId="2E844F91" w:rsidR="00220E65" w:rsidRDefault="00F23758" w:rsidP="00024424">
      <w:r w:rsidRPr="00F23758">
        <w:rPr>
          <w:b/>
          <w:bCs/>
        </w:rPr>
        <w:t>References</w:t>
      </w:r>
      <w:r>
        <w:t>:</w:t>
      </w:r>
    </w:p>
    <w:p w14:paraId="24ED33D0" w14:textId="097E3028" w:rsidR="00F23758" w:rsidRDefault="00F23758" w:rsidP="00024424">
      <w:r>
        <w:t>[1]</w:t>
      </w:r>
      <w:r w:rsidR="009106B2">
        <w:t xml:space="preserve"> </w:t>
      </w:r>
      <w:r w:rsidR="009106B2">
        <w:rPr>
          <w:rFonts w:ascii="Arial" w:hAnsi="Arial" w:cs="Arial"/>
          <w:color w:val="222222"/>
          <w:sz w:val="20"/>
          <w:szCs w:val="20"/>
          <w:shd w:val="clear" w:color="auto" w:fill="FFFFFF"/>
        </w:rPr>
        <w:t>Stokes, P.A. and Purdon, P.L., 2017. A study of problems encountered in Granger causality analysis from a neuroscience perspective. </w:t>
      </w:r>
      <w:r w:rsidR="009106B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national academy of sciences</w:t>
      </w:r>
      <w:r w:rsidR="009106B2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9106B2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114</w:t>
      </w:r>
      <w:r w:rsidR="009106B2">
        <w:rPr>
          <w:rFonts w:ascii="Arial" w:hAnsi="Arial" w:cs="Arial"/>
          <w:color w:val="222222"/>
          <w:sz w:val="20"/>
          <w:szCs w:val="20"/>
          <w:shd w:val="clear" w:color="auto" w:fill="FFFFFF"/>
        </w:rPr>
        <w:t>(34), pp.E7063-E7072.</w:t>
      </w:r>
    </w:p>
    <w:p w14:paraId="6EA8D82E" w14:textId="067925A3" w:rsidR="008D4CB9" w:rsidRPr="003F5AF6" w:rsidRDefault="00F23758" w:rsidP="00024424">
      <w:r w:rsidRPr="00B104D6">
        <w:rPr>
          <w:lang w:val="it-IT"/>
        </w:rPr>
        <w:t>[2]</w:t>
      </w:r>
      <w:r w:rsidR="00B104D6" w:rsidRPr="00B104D6">
        <w:rPr>
          <w:lang w:val="it-IT"/>
        </w:rPr>
        <w:t xml:space="preserve"> </w:t>
      </w:r>
      <w:r w:rsidR="00B104D6" w:rsidRPr="00B104D6">
        <w:rPr>
          <w:rFonts w:ascii="Arial" w:hAnsi="Arial" w:cs="Arial"/>
          <w:color w:val="222222"/>
          <w:sz w:val="20"/>
          <w:szCs w:val="20"/>
          <w:shd w:val="clear" w:color="auto" w:fill="FFFFFF"/>
          <w:lang w:val="it-IT"/>
        </w:rPr>
        <w:t xml:space="preserve">Faes, L., Stramaglia, S. and Marinazzo, D., 2017. </w:t>
      </w:r>
      <w:r w:rsidR="00B104D6">
        <w:rPr>
          <w:rFonts w:ascii="Arial" w:hAnsi="Arial" w:cs="Arial"/>
          <w:color w:val="222222"/>
          <w:sz w:val="20"/>
          <w:szCs w:val="20"/>
          <w:shd w:val="clear" w:color="auto" w:fill="FFFFFF"/>
        </w:rPr>
        <w:t>On the interpretability and computational reliability of frequency-domain Granger causality. </w:t>
      </w:r>
      <w:r w:rsidR="00B104D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F1000Research</w:t>
      </w:r>
      <w:r w:rsidR="00B104D6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="00B104D6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 w:rsidR="00B104D6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8D4CB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5" w:history="1">
        <w:r w:rsidR="008D4CB9" w:rsidRPr="00574F8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https://iris.unipa.it/retrieve/handle/10447/271763/526256/84-Faes-f1000Research_2017-00.pdf</w:t>
        </w:r>
      </w:hyperlink>
    </w:p>
    <w:sectPr w:rsidR="008D4CB9" w:rsidRPr="003F5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FAB"/>
    <w:multiLevelType w:val="hybridMultilevel"/>
    <w:tmpl w:val="FC5E47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662D6"/>
    <w:multiLevelType w:val="hybridMultilevel"/>
    <w:tmpl w:val="9F203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14BA8"/>
    <w:multiLevelType w:val="hybridMultilevel"/>
    <w:tmpl w:val="658625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7484C"/>
    <w:multiLevelType w:val="hybridMultilevel"/>
    <w:tmpl w:val="C0249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F6"/>
    <w:rsid w:val="00023434"/>
    <w:rsid w:val="00024424"/>
    <w:rsid w:val="00080AF7"/>
    <w:rsid w:val="0008279E"/>
    <w:rsid w:val="000C44B2"/>
    <w:rsid w:val="000E0BCB"/>
    <w:rsid w:val="000E1B80"/>
    <w:rsid w:val="001208FF"/>
    <w:rsid w:val="0014176F"/>
    <w:rsid w:val="00187F0E"/>
    <w:rsid w:val="0019356C"/>
    <w:rsid w:val="001F73B1"/>
    <w:rsid w:val="0021096C"/>
    <w:rsid w:val="00215B78"/>
    <w:rsid w:val="00220E65"/>
    <w:rsid w:val="00281398"/>
    <w:rsid w:val="00290D54"/>
    <w:rsid w:val="00315C3A"/>
    <w:rsid w:val="00381F03"/>
    <w:rsid w:val="00383EAE"/>
    <w:rsid w:val="003C3066"/>
    <w:rsid w:val="003C4DB5"/>
    <w:rsid w:val="003C7133"/>
    <w:rsid w:val="003D039C"/>
    <w:rsid w:val="003F5AF6"/>
    <w:rsid w:val="003F5DA9"/>
    <w:rsid w:val="0042775E"/>
    <w:rsid w:val="00446368"/>
    <w:rsid w:val="0046109A"/>
    <w:rsid w:val="004A2C1A"/>
    <w:rsid w:val="004C1709"/>
    <w:rsid w:val="005002E9"/>
    <w:rsid w:val="005748BC"/>
    <w:rsid w:val="00586ABD"/>
    <w:rsid w:val="005959D3"/>
    <w:rsid w:val="00604810"/>
    <w:rsid w:val="00604C2E"/>
    <w:rsid w:val="00657751"/>
    <w:rsid w:val="00681D95"/>
    <w:rsid w:val="006A60F8"/>
    <w:rsid w:val="006B07B1"/>
    <w:rsid w:val="006F126B"/>
    <w:rsid w:val="00705BEF"/>
    <w:rsid w:val="00716557"/>
    <w:rsid w:val="0071661C"/>
    <w:rsid w:val="00717D50"/>
    <w:rsid w:val="00771E06"/>
    <w:rsid w:val="00781E1E"/>
    <w:rsid w:val="00783742"/>
    <w:rsid w:val="007B07F9"/>
    <w:rsid w:val="007D43B0"/>
    <w:rsid w:val="007E1716"/>
    <w:rsid w:val="007E2029"/>
    <w:rsid w:val="00807262"/>
    <w:rsid w:val="00823853"/>
    <w:rsid w:val="008657FD"/>
    <w:rsid w:val="008926A6"/>
    <w:rsid w:val="008C6B42"/>
    <w:rsid w:val="008C72B7"/>
    <w:rsid w:val="008D4CB9"/>
    <w:rsid w:val="008F09DE"/>
    <w:rsid w:val="009106B2"/>
    <w:rsid w:val="00922A2C"/>
    <w:rsid w:val="009309AE"/>
    <w:rsid w:val="00957661"/>
    <w:rsid w:val="009A04F4"/>
    <w:rsid w:val="009B0B0F"/>
    <w:rsid w:val="009D08CB"/>
    <w:rsid w:val="009F2C85"/>
    <w:rsid w:val="00A04C53"/>
    <w:rsid w:val="00A23CCC"/>
    <w:rsid w:val="00A259FD"/>
    <w:rsid w:val="00AA6F47"/>
    <w:rsid w:val="00AE407D"/>
    <w:rsid w:val="00AF3BF7"/>
    <w:rsid w:val="00B104D6"/>
    <w:rsid w:val="00B63ADA"/>
    <w:rsid w:val="00B91080"/>
    <w:rsid w:val="00BD27A1"/>
    <w:rsid w:val="00BD50D3"/>
    <w:rsid w:val="00BE33C5"/>
    <w:rsid w:val="00C062E7"/>
    <w:rsid w:val="00C27F20"/>
    <w:rsid w:val="00C315A4"/>
    <w:rsid w:val="00C46DDD"/>
    <w:rsid w:val="00C51783"/>
    <w:rsid w:val="00C519E2"/>
    <w:rsid w:val="00C73996"/>
    <w:rsid w:val="00CA29FC"/>
    <w:rsid w:val="00CA4A81"/>
    <w:rsid w:val="00CB7A9B"/>
    <w:rsid w:val="00CD430B"/>
    <w:rsid w:val="00D409E1"/>
    <w:rsid w:val="00D4371E"/>
    <w:rsid w:val="00D83BD3"/>
    <w:rsid w:val="00DB1863"/>
    <w:rsid w:val="00DB43DA"/>
    <w:rsid w:val="00DB4F77"/>
    <w:rsid w:val="00E06828"/>
    <w:rsid w:val="00EA3D9A"/>
    <w:rsid w:val="00EB4F8E"/>
    <w:rsid w:val="00EB65CE"/>
    <w:rsid w:val="00EC2833"/>
    <w:rsid w:val="00EC6F4C"/>
    <w:rsid w:val="00ED157F"/>
    <w:rsid w:val="00ED3DD7"/>
    <w:rsid w:val="00F23758"/>
    <w:rsid w:val="00F25180"/>
    <w:rsid w:val="00F35198"/>
    <w:rsid w:val="00F51846"/>
    <w:rsid w:val="00F64440"/>
    <w:rsid w:val="00FA6C03"/>
    <w:rsid w:val="00FB6C5E"/>
    <w:rsid w:val="00FD6F6A"/>
    <w:rsid w:val="00F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9E79"/>
  <w15:chartTrackingRefBased/>
  <w15:docId w15:val="{0FD7B6A7-C575-43DF-B4D4-B533607F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A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F6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A04F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A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ris.unipa.it/retrieve/handle/10447/271763/526256/84-Faes-f1000Research_2017-0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Sanchez</dc:creator>
  <cp:keywords/>
  <dc:description/>
  <cp:lastModifiedBy>Jose Miguel Sanchez</cp:lastModifiedBy>
  <cp:revision>118</cp:revision>
  <dcterms:created xsi:type="dcterms:W3CDTF">2021-10-20T14:49:00Z</dcterms:created>
  <dcterms:modified xsi:type="dcterms:W3CDTF">2021-10-21T12:29:00Z</dcterms:modified>
</cp:coreProperties>
</file>