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Malgun Gothic" w:hAnsi="Malgun Gothic" w:eastAsia="Malgun Gothic"/>
          <w:b/>
          <w:color w:val="808080"/>
          <w:sz w:val="28"/>
        </w:rPr>
        <w:t>Q1. Enterprise General Build AI</w:t>
      </w:r>
    </w:p>
    <w:p>
      <w:pPr>
        <w:spacing w:before="40" w:after="40"/>
      </w:pPr>
      <w:r>
        <w:rPr>
          <w:rFonts w:ascii="Malgun Gothic" w:hAnsi="Malgun Gothic" w:eastAsia="Malgun Gothic"/>
          <w:b/>
          <w:color w:val="0066CC"/>
          <w:sz w:val="24"/>
        </w:rPr>
        <w:t>★ 상세본</w:t>
      </w:r>
    </w:p>
    <w:p>
      <w:pPr>
        <w:spacing w:before="40" w:after="160"/>
      </w:pPr>
      <w:r>
        <w:rPr>
          <w:rFonts w:ascii="Malgun Gothic" w:hAnsi="Malgun Gothic" w:eastAsia="Malgun Gothic"/>
          <w:b/>
          <w:color w:val="003366"/>
          <w:sz w:val="48"/>
        </w:rPr>
        <w:t>OpenAI Enterprise</w:t>
      </w:r>
    </w:p>
    <w:p>
      <w:pPr>
        <w:spacing w:after="80"/>
      </w:pPr>
      <w:r>
        <w:rPr>
          <w:rFonts w:ascii="Malgun Gothic" w:hAnsi="Malgun Gothic" w:eastAsia="Malgun Gothic"/>
          <w:b/>
          <w:color w:val="333333"/>
          <w:sz w:val="22"/>
        </w:rPr>
        <w:t>Q1. Enterprise General Build AI  ·  생태계 1위 및 친숙한 UI</w:t>
      </w:r>
    </w:p>
    <w:p>
      <w:pPr>
        <w:spacing w:after="360"/>
      </w:pPr>
      <w:r>
        <w:rPr>
          <w:rFonts w:ascii="Malgun Gothic" w:hAnsi="Malgun Gothic" w:eastAsia="Malgun Gothic"/>
          <w:i/>
          <w:color w:val="666666"/>
          <w:sz w:val="20"/>
        </w:rPr>
        <w:t>Vendor: OpenAI Enterprise  |  Region: Global / Korea  |  MZC 사업모델: SaaS/API (시너지: 매우 높음)  |  우선순위: ★★★</w:t>
      </w:r>
    </w:p>
    <w:p>
      <w:pPr>
        <w:pStyle w:val="Heading2"/>
      </w:pPr>
      <w:r>
        <w:t>1)  솔루션 개요 / 핵심 차별점</w:t>
      </w:r>
    </w:p>
    <w:p>
      <w:pPr>
        <w:spacing w:after="160"/>
      </w:pPr>
      <w:r>
        <w:rPr>
          <w:rFonts w:ascii="Malgun Gothic" w:hAnsi="Malgun Gothic" w:eastAsia="Malgun Gothic"/>
          <w:sz w:val="20"/>
        </w:rPr>
        <w:t>OpenAI Enterprise는 Fortune 500 기업의 92% 이상이 선택한 시장 표준 Generative AI 플랫폼입니다. 임직원의 친숙도가 가장 높고, API 생태계와 노코드 확장 플랫폼을 기반으로 사내 지식 베이스 구축부터 고난도 비전/음성 비즈니스 영역까지 대응이 가능합니다. [의견] 단독 공급은 피하고, 금융/공공 등 보안이 민감한 고객에게는 하이브리드 보안 게이트웨이(LiteLLM 등)를 연계한 MZC 기술 SI를 결합해야만 유의미한 비즈니스 마진 확보가 가능할 것으로 판단됩니다.</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c>
          <w:tcPr>
            <w:tcW w:type="dxa" w:w="4680"/>
            <w:shd w:fill="F2F2F2"/>
            <w:tcMar>
              <w:top w:w="120" w:type="dxa"/>
              <w:bottom w:w="120" w:type="dxa"/>
              <w:left w:w="150" w:type="dxa"/>
              <w:right w:w="150" w:type="dxa"/>
            </w:tcMar>
          </w:tcPr>
          <w:p>
            <w:r/>
            <w:r>
              <w:rPr>
                <w:rFonts w:ascii="Malgun Gothic" w:hAnsi="Malgun Gothic" w:eastAsia="Malgun Gothic"/>
                <w:b/>
                <w:sz w:val="20"/>
              </w:rPr>
              <w:t>분류</w:t>
            </w:r>
          </w:p>
        </w:tc>
        <w:tc>
          <w:tcPr>
            <w:tcW w:type="dxa" w:w="4680"/>
            <w:shd w:fill="F2F2F2"/>
            <w:tcMar>
              <w:top w:w="120" w:type="dxa"/>
              <w:bottom w:w="120" w:type="dxa"/>
              <w:left w:w="150" w:type="dxa"/>
              <w:right w:w="150" w:type="dxa"/>
            </w:tcMar>
          </w:tcPr>
          <w:p>
            <w:r/>
            <w:r>
              <w:rPr>
                <w:rFonts w:ascii="Malgun Gothic" w:hAnsi="Malgun Gothic" w:eastAsia="Malgun Gothic"/>
                <w:b/>
                <w:sz w:val="20"/>
              </w:rPr>
              <w:t>제품/모델</w:t>
            </w:r>
          </w:p>
        </w:tc>
      </w:tr>
      <w:tr>
        <w:tc>
          <w:tcPr>
            <w:tcW w:type="dxa" w:w="4680"/>
            <w:tcMar>
              <w:top w:w="100" w:type="dxa"/>
              <w:bottom w:w="100" w:type="dxa"/>
              <w:left w:w="150" w:type="dxa"/>
              <w:right w:w="150" w:type="dxa"/>
            </w:tcMar>
            <w:shd w:fill="FAFAFA"/>
          </w:tcPr>
          <w:p>
            <w:r/>
            <w:r>
              <w:rPr>
                <w:rFonts w:ascii="Malgun Gothic" w:hAnsi="Malgun Gothic" w:eastAsia="Malgun Gothic"/>
                <w:b/>
                <w:sz w:val="19"/>
              </w:rPr>
              <w:t>제품 라인업</w:t>
            </w:r>
          </w:p>
        </w:tc>
        <w:tc>
          <w:tcPr>
            <w:tcW w:type="dxa" w:w="4680"/>
            <w:tcMar>
              <w:top w:w="100" w:type="dxa"/>
              <w:bottom w:w="100" w:type="dxa"/>
              <w:left w:w="150" w:type="dxa"/>
              <w:right w:w="150" w:type="dxa"/>
            </w:tcMar>
          </w:tcPr>
          <w:p>
            <w:r/>
            <w:r>
              <w:rPr>
                <w:rFonts w:ascii="Malgun Gothic" w:hAnsi="Malgun Gothic" w:eastAsia="Malgun Gothic"/>
                <w:sz w:val="19"/>
              </w:rPr>
              <w:t>ChatGPT Enterprise, ChatGPT Team, ChatGPT Edu, API Platform</w:t>
            </w:r>
          </w:p>
        </w:tc>
      </w:tr>
      <w:tr>
        <w:tc>
          <w:tcPr>
            <w:tcW w:type="dxa" w:w="4680"/>
            <w:tcMar>
              <w:top w:w="100" w:type="dxa"/>
              <w:bottom w:w="100" w:type="dxa"/>
              <w:left w:w="150" w:type="dxa"/>
              <w:right w:w="150" w:type="dxa"/>
            </w:tcMar>
            <w:shd w:fill="FAFAFA"/>
          </w:tcPr>
          <w:p>
            <w:r/>
            <w:r>
              <w:rPr>
                <w:rFonts w:ascii="Malgun Gothic" w:hAnsi="Malgun Gothic" w:eastAsia="Malgun Gothic"/>
                <w:b/>
                <w:sz w:val="19"/>
              </w:rPr>
              <w:t>핵심 모델</w:t>
            </w:r>
          </w:p>
        </w:tc>
        <w:tc>
          <w:tcPr>
            <w:tcW w:type="dxa" w:w="4680"/>
            <w:tcMar>
              <w:top w:w="100" w:type="dxa"/>
              <w:bottom w:w="100" w:type="dxa"/>
              <w:left w:w="150" w:type="dxa"/>
              <w:right w:w="150" w:type="dxa"/>
            </w:tcMar>
          </w:tcPr>
          <w:p>
            <w:r/>
            <w:r>
              <w:rPr>
                <w:rFonts w:ascii="Malgun Gothic" w:hAnsi="Malgun Gothic" w:eastAsia="Malgun Gothic"/>
                <w:sz w:val="19"/>
              </w:rPr>
              <w:t>GPT-5.5 Series (GPT-5.5 Instant), GPT-5.4 Family (GPT-5.4 Pro / Mini), Realtime API</w:t>
            </w:r>
          </w:p>
        </w:tc>
      </w:tr>
      <w:tr>
        <w:tc>
          <w:tcPr>
            <w:tcW w:type="dxa" w:w="4680"/>
            <w:tcMar>
              <w:top w:w="100" w:type="dxa"/>
              <w:bottom w:w="100" w:type="dxa"/>
              <w:left w:w="150" w:type="dxa"/>
              <w:right w:w="150" w:type="dxa"/>
            </w:tcMar>
            <w:shd w:fill="FAFAFA"/>
          </w:tcPr>
          <w:p>
            <w:r/>
            <w:r>
              <w:rPr>
                <w:rFonts w:ascii="Malgun Gothic" w:hAnsi="Malgun Gothic" w:eastAsia="Malgun Gothic"/>
                <w:b/>
                <w:sz w:val="19"/>
              </w:rPr>
              <w:t>AI Tech 의견 (PreSales)</w:t>
            </w:r>
          </w:p>
        </w:tc>
        <w:tc>
          <w:tcPr>
            <w:tcW w:type="dxa" w:w="4680"/>
            <w:tcMar>
              <w:top w:w="100" w:type="dxa"/>
              <w:bottom w:w="100" w:type="dxa"/>
              <w:left w:w="150" w:type="dxa"/>
              <w:right w:w="150" w:type="dxa"/>
            </w:tcMar>
          </w:tcPr>
          <w:p>
            <w:r/>
            <w:r>
              <w:rPr>
                <w:rFonts w:ascii="Malgun Gothic" w:hAnsi="Malgun Gothic" w:eastAsia="Malgun Gothic"/>
                <w:sz w:val="19"/>
              </w:rPr>
              <w:t>API 유연성과 시장 인지도는 압도적이나 MZC의 재판매 마진은 거의 제로에 가깝습니다.(리셀러 계약 추진)</w:t>
            </w:r>
          </w:p>
        </w:tc>
      </w:tr>
    </w:tbl>
    <w:p>
      <w:pPr>
        <w:spacing w:after="120"/>
      </w:pPr>
    </w:p>
    <w:p>
      <w:pPr>
        <w:spacing w:after="80"/>
      </w:pPr>
      <w:r>
        <w:rPr>
          <w:rFonts w:ascii="Malgun Gothic" w:hAnsi="Malgun Gothic" w:eastAsia="Malgun Gothic"/>
          <w:b/>
        </w:rPr>
        <w:t>핵심 차별점</w:t>
      </w:r>
    </w:p>
    <w:p>
      <w:pPr>
        <w:pStyle w:val="ListBullet"/>
        <w:spacing w:after="60"/>
      </w:pPr>
      <w:r>
        <w:rPr>
          <w:rFonts w:ascii="Malgun Gothic" w:hAnsi="Malgun Gothic" w:eastAsia="Malgun Gothic"/>
          <w:sz w:val="19"/>
        </w:rPr>
      </w:r>
      <w:r>
        <w:rPr>
          <w:rFonts w:ascii="Malgun Gothic" w:hAnsi="Malgun Gothic" w:eastAsia="Malgun Gothic"/>
          <w:b/>
          <w:sz w:val="19"/>
        </w:rPr>
        <w:t>① 최강의 범용 추론 성능:</w:t>
      </w:r>
      <w:r>
        <w:rPr>
          <w:rFonts w:ascii="Malgun Gothic" w:hAnsi="Malgun Gothic" w:eastAsia="Malgun Gothic"/>
          <w:sz w:val="19"/>
        </w:rPr>
        <w:t xml:space="preserve"> GPT-5.5/GPT-5.4 등 추론 최적화 모델 탑재로 복잡한 데이터 분석 및 보고서 작성 자동화 (6월 11일 GPT-5.6 출시 예정)</w:t>
      </w:r>
    </w:p>
    <w:p>
      <w:pPr>
        <w:pStyle w:val="ListBullet"/>
        <w:spacing w:after="60"/>
      </w:pPr>
      <w:r>
        <w:rPr>
          <w:rFonts w:ascii="Malgun Gothic" w:hAnsi="Malgun Gothic" w:eastAsia="Malgun Gothic"/>
          <w:sz w:val="19"/>
        </w:rPr>
      </w:r>
      <w:r>
        <w:rPr>
          <w:rFonts w:ascii="Malgun Gothic" w:hAnsi="Malgun Gothic" w:eastAsia="Malgun Gothic"/>
          <w:b/>
          <w:sz w:val="19"/>
        </w:rPr>
        <w:t>② 높은 임직원 친숙도:</w:t>
      </w:r>
      <w:r>
        <w:rPr>
          <w:rFonts w:ascii="Malgun Gothic" w:hAnsi="Malgun Gothic" w:eastAsia="Malgun Gothic"/>
          <w:sz w:val="19"/>
        </w:rPr>
        <w:t xml:space="preserve"> 개인 계정 사용 경험이 축적되어 별도의 도입 교육 없이 즉각적인 업무 투입 가능 (국내 사용량 1위)</w:t>
      </w:r>
    </w:p>
    <w:p>
      <w:pPr>
        <w:pStyle w:val="ListBullet"/>
        <w:spacing w:after="60"/>
      </w:pPr>
      <w:r>
        <w:rPr>
          <w:rFonts w:ascii="Malgun Gothic" w:hAnsi="Malgun Gothic" w:eastAsia="Malgun Gothic"/>
          <w:sz w:val="19"/>
        </w:rPr>
      </w:r>
      <w:r>
        <w:rPr>
          <w:rFonts w:ascii="Malgun Gothic" w:hAnsi="Malgun Gothic" w:eastAsia="Malgun Gothic"/>
          <w:b/>
          <w:sz w:val="19"/>
        </w:rPr>
        <w:t>③ 커스텀 GPTs 노코드 제작:</w:t>
      </w:r>
      <w:r>
        <w:rPr>
          <w:rFonts w:ascii="Malgun Gothic" w:hAnsi="Malgun Gothic" w:eastAsia="Malgun Gothic"/>
          <w:sz w:val="19"/>
        </w:rPr>
        <w:t xml:space="preserve"> 개발 지식이 없는 현업 부서도 마우스 클릭만으로 부서 전용 AI 에시스턴트 구축 가능</w:t>
      </w:r>
    </w:p>
    <w:p>
      <w:pPr>
        <w:pStyle w:val="ListBullet"/>
        <w:spacing w:after="60"/>
      </w:pPr>
      <w:r>
        <w:rPr>
          <w:rFonts w:ascii="Malgun Gothic" w:hAnsi="Malgun Gothic" w:eastAsia="Malgun Gothic"/>
          <w:sz w:val="19"/>
        </w:rPr>
      </w:r>
      <w:r>
        <w:rPr>
          <w:rFonts w:ascii="Malgun Gothic" w:hAnsi="Malgun Gothic" w:eastAsia="Malgun Gothic"/>
          <w:b/>
          <w:sz w:val="19"/>
        </w:rPr>
        <w:t>④ 검증된 데이터 프라이버시:</w:t>
      </w:r>
      <w:r>
        <w:rPr>
          <w:rFonts w:ascii="Malgun Gothic" w:hAnsi="Malgun Gothic" w:eastAsia="Malgun Gothic"/>
          <w:sz w:val="19"/>
        </w:rPr>
        <w:t xml:space="preserve"> SOC 2 Type II 인증 및 SOC 3 보안 보고서에 기반하여 기업의 원시 데이터를 완벽하게 격리하며, 입력 데이터를 모델 학습에 절대 미사용함을 계약서(DPA)로 명문화하여 보증</w:t>
      </w:r>
    </w:p>
    <w:p>
      <w:pPr>
        <w:pStyle w:val="ListBullet"/>
        <w:spacing w:after="60"/>
      </w:pPr>
      <w:r>
        <w:rPr>
          <w:rFonts w:ascii="Malgun Gothic" w:hAnsi="Malgun Gothic" w:eastAsia="Malgun Gothic"/>
          <w:sz w:val="19"/>
        </w:rPr>
      </w:r>
      <w:r>
        <w:rPr>
          <w:rFonts w:ascii="Malgun Gothic" w:hAnsi="Malgun Gothic" w:eastAsia="Malgun Gothic"/>
          <w:b/>
          <w:sz w:val="19"/>
        </w:rPr>
        <w:t>⑤ 강력한 관리자 통제:</w:t>
      </w:r>
      <w:r>
        <w:rPr>
          <w:rFonts w:ascii="Malgun Gothic" w:hAnsi="Malgun Gothic" w:eastAsia="Malgun Gothic"/>
          <w:sz w:val="19"/>
        </w:rPr>
        <w:t xml:space="preserve"> SSO 연동, 도메인 인증, 부서별 라이센스 사용 현황 분석 기능 탑재</w:t>
      </w:r>
    </w:p>
    <w:p>
      <w:pPr>
        <w:spacing w:after="120"/>
      </w:pPr>
    </w:p>
    <w:tbl>
      <w:tblPr>
        <w:tblW w:type="auto" w:w="0"/>
        <w:jc w:val="center"/>
        <w:tblLook w:firstColumn="1" w:firstRow="1" w:lastColumn="0" w:lastRow="0" w:noHBand="0" w:noVBand="1" w:val="04A0"/>
      </w:tblPr>
      <w:tblGrid>
        <w:gridCol w:w="9360"/>
      </w:tblGrid>
      <w:tr>
        <w:tc>
          <w:tcPr>
            <w:tcW w:type="dxa" w:w="9360"/>
            <w:shd w:fill="F2F5FA"/>
            <w:tcMar>
              <w:top w:w="120" w:type="dxa"/>
              <w:bottom w:w="120" w:type="dxa"/>
              <w:left w:w="180" w:type="dxa"/>
              <w:right w:w="180" w:type="dxa"/>
            </w:tcMar>
            <w:tcBorders>
              <w:top w:val="single" w:sz="6" w:color="A2C0D9"/>
              <w:left w:val="single" w:sz="12" w:color="0066CC"/>
              <w:bottom w:val="single" w:sz="6" w:color="A2C0D9"/>
              <w:right w:val="single" w:sz="6" w:color="A2C0D9"/>
            </w:tcBorders>
          </w:tcPr>
          <w:p>
            <w:r>
              <w:rPr>
                <w:rFonts w:ascii="Malgun Gothic" w:hAnsi="Malgun Gothic" w:eastAsia="Malgun Gothic"/>
                <w:b/>
                <w:color w:val="0066CC"/>
                <w:sz w:val="20"/>
              </w:rPr>
              <w:t>✓ Best Positioning</w:t>
              <w:br/>
            </w:r>
            <w:r>
              <w:rPr>
                <w:rFonts w:ascii="Malgun Gothic" w:hAnsi="Malgun Gothic" w:eastAsia="Malgun Gothic"/>
                <w:sz w:val="19"/>
              </w:rPr>
              <w:t>"생태계 1위 및 친숙한 UI" — MZC AI Platform Q1. Enterprise General Build AI 영역 표준 솔루션.</w:t>
            </w:r>
          </w:p>
        </w:tc>
      </w:tr>
    </w:tbl>
    <w:p>
      <w:pPr>
        <w:spacing w:after="240"/>
      </w:pPr>
    </w:p>
    <w:p>
      <w:pPr>
        <w:pStyle w:val="Heading2"/>
      </w:pPr>
      <w:r>
        <w:t>2)  AI Platform 4-Layer 포지셔닝 매핑</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
              <w:rPr>
                <w:rFonts w:ascii="Malgun Gothic" w:hAnsi="Malgun Gothic" w:eastAsia="Malgun Gothic"/>
                <w:b/>
                <w:sz w:val="20"/>
              </w:rPr>
              <w:t>구분</w:t>
            </w:r>
          </w:p>
        </w:tc>
        <w:tc>
          <w:tcPr>
            <w:tcW w:type="dxa" w:w="3120"/>
            <w:shd w:fill="F2F2F2"/>
            <w:tcMar>
              <w:top w:w="120" w:type="dxa"/>
              <w:bottom w:w="120" w:type="dxa"/>
              <w:left w:w="150" w:type="dxa"/>
              <w:right w:w="150" w:type="dxa"/>
            </w:tcMar>
          </w:tcPr>
          <w:p>
            <w:r/>
            <w:r>
              <w:rPr>
                <w:rFonts w:ascii="Malgun Gothic" w:hAnsi="Malgun Gothic" w:eastAsia="Malgun Gothic"/>
                <w:b/>
                <w:sz w:val="20"/>
              </w:rPr>
              <w:t>Layer</w:t>
            </w:r>
          </w:p>
        </w:tc>
        <w:tc>
          <w:tcPr>
            <w:tcW w:type="dxa" w:w="3120"/>
            <w:shd w:fill="F2F2F2"/>
            <w:tcMar>
              <w:top w:w="120" w:type="dxa"/>
              <w:bottom w:w="120" w:type="dxa"/>
              <w:left w:w="150" w:type="dxa"/>
              <w:right w:w="150" w:type="dxa"/>
            </w:tcMar>
          </w:tcPr>
          <w:p>
            <w:r/>
            <w:r>
              <w:rPr>
                <w:rFonts w:ascii="Malgun Gothic" w:hAnsi="Malgun Gothic" w:eastAsia="Malgun Gothic"/>
                <w:b/>
                <w:sz w:val="20"/>
              </w:rPr>
              <w:t>포지셔닝 근거</w:t>
            </w:r>
          </w:p>
        </w:tc>
      </w:tr>
      <w:tr>
        <w:tc>
          <w:tcPr>
            <w:tcW w:type="dxa" w:w="3120"/>
            <w:tcMar>
              <w:top w:w="100" w:type="dxa"/>
              <w:bottom w:w="100" w:type="dxa"/>
              <w:left w:w="150" w:type="dxa"/>
              <w:right w:w="150" w:type="dxa"/>
            </w:tcMar>
            <w:shd w:fill="FAFAFA"/>
          </w:tcPr>
          <w:p>
            <w:r/>
            <w:r>
              <w:rPr>
                <w:rFonts w:ascii="Malgun Gothic" w:hAnsi="Malgun Gothic" w:eastAsia="Malgun Gothic"/>
                <w:b/>
                <w:sz w:val="19"/>
              </w:rPr>
              <w:t>Primary</w:t>
            </w:r>
          </w:p>
        </w:tc>
        <w:tc>
          <w:tcPr>
            <w:tcW w:type="dxa" w:w="3120"/>
            <w:tcMar>
              <w:top w:w="100" w:type="dxa"/>
              <w:bottom w:w="100" w:type="dxa"/>
              <w:left w:w="150" w:type="dxa"/>
              <w:right w:w="150" w:type="dxa"/>
            </w:tcMar>
          </w:tcPr>
          <w:p>
            <w:r/>
            <w:r>
              <w:rPr>
                <w:rFonts w:ascii="Malgun Gothic" w:hAnsi="Malgun Gothic" w:eastAsia="Malgun Gothic"/>
                <w:b/>
                <w:sz w:val="19"/>
              </w:rPr>
              <w:t>Q1. Enterprise General Build AI</w:t>
            </w:r>
          </w:p>
        </w:tc>
        <w:tc>
          <w:tcPr>
            <w:tcW w:type="dxa" w:w="3120"/>
            <w:tcMar>
              <w:top w:w="100" w:type="dxa"/>
              <w:bottom w:w="100" w:type="dxa"/>
              <w:left w:w="150" w:type="dxa"/>
              <w:right w:w="150" w:type="dxa"/>
            </w:tcMar>
          </w:tcPr>
          <w:p>
            <w:r/>
            <w:r>
              <w:rPr>
                <w:rFonts w:ascii="Malgun Gothic" w:hAnsi="Malgun Gothic" w:eastAsia="Malgun Gothic"/>
                <w:sz w:val="19"/>
              </w:rPr>
              <w:t xml:space="preserve"> 전사 임직원의 일상 생산성 극대화가 가장 큰 판매처(Use case)라고 생각됩니다. 임직원 대상의 범용 ChatGPT UI 배포가 기본 모델.</w:t>
            </w:r>
          </w:p>
        </w:tc>
      </w:tr>
      <w:tr>
        <w:tc>
          <w:tcPr>
            <w:tcW w:type="dxa" w:w="3120"/>
            <w:tcMar>
              <w:top w:w="100" w:type="dxa"/>
              <w:bottom w:w="100" w:type="dxa"/>
              <w:left w:w="150" w:type="dxa"/>
              <w:right w:w="150" w:type="dxa"/>
            </w:tcMar>
            <w:shd w:fill="FAFAFA"/>
          </w:tcPr>
          <w:p>
            <w:r/>
            <w:r>
              <w:rPr>
                <w:rFonts w:ascii="Malgun Gothic" w:hAnsi="Malgun Gothic" w:eastAsia="Malgun Gothic"/>
                <w:b/>
                <w:sz w:val="19"/>
              </w:rPr>
              <w:t>Secondary</w:t>
            </w:r>
          </w:p>
        </w:tc>
        <w:tc>
          <w:tcPr>
            <w:tcW w:type="dxa" w:w="3120"/>
            <w:tcMar>
              <w:top w:w="100" w:type="dxa"/>
              <w:bottom w:w="100" w:type="dxa"/>
              <w:left w:w="150" w:type="dxa"/>
              <w:right w:w="150" w:type="dxa"/>
            </w:tcMar>
          </w:tcPr>
          <w:p>
            <w:r/>
            <w:r>
              <w:rPr>
                <w:rFonts w:ascii="Malgun Gothic" w:hAnsi="Malgun Gothic" w:eastAsia="Malgun Gothic"/>
                <w:b/>
                <w:sz w:val="19"/>
              </w:rPr>
              <w:t>Q3. AI-native Works</w:t>
            </w:r>
          </w:p>
        </w:tc>
        <w:tc>
          <w:tcPr>
            <w:tcW w:type="dxa" w:w="3120"/>
            <w:tcMar>
              <w:top w:w="100" w:type="dxa"/>
              <w:bottom w:w="100" w:type="dxa"/>
              <w:left w:w="150" w:type="dxa"/>
              <w:right w:w="150" w:type="dxa"/>
            </w:tcMar>
          </w:tcPr>
          <w:p>
            <w:r/>
            <w:r>
              <w:rPr>
                <w:rFonts w:ascii="Malgun Gothic" w:hAnsi="Malgun Gothic" w:eastAsia="Malgun Gothic"/>
                <w:sz w:val="19"/>
              </w:rPr>
              <w:t xml:space="preserve"> API 기반으로 사내 개발팀의 코딩 속도를 높이는 어시스턴트(Codex) 및 데이터 시각화 코딩 환경으로의 확장이 용이하다고 판단. 업데이트 예정</w:t>
            </w:r>
          </w:p>
        </w:tc>
      </w:tr>
    </w:tbl>
    <w:p>
      <w:pPr>
        <w:spacing w:after="240"/>
      </w:pPr>
    </w:p>
    <w:p>
      <w:pPr>
        <w:pStyle w:val="Heading2"/>
      </w:pPr>
      <w:r>
        <w:t>3)  적합 고객 / 산업군 / 페르소나</w:t>
      </w:r>
    </w:p>
    <w:p>
      <w:pPr>
        <w:spacing w:after="80"/>
      </w:pPr>
      <w:r>
        <w:rPr>
          <w:rFonts w:ascii="Malgun Gothic" w:hAnsi="Malgun Gothic" w:eastAsia="Malgun Gothic"/>
          <w:b/>
        </w:rPr>
        <w:t>▶ 산업 적합도</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
              <w:rPr>
                <w:rFonts w:ascii="Malgun Gothic" w:hAnsi="Malgun Gothic" w:eastAsia="Malgun Gothic"/>
                <w:b/>
                <w:sz w:val="20"/>
              </w:rPr>
              <w:t>적합 여부</w:t>
            </w:r>
          </w:p>
        </w:tc>
        <w:tc>
          <w:tcPr>
            <w:tcW w:type="dxa" w:w="3120"/>
            <w:shd w:fill="F2F2F2"/>
            <w:tcMar>
              <w:top w:w="120" w:type="dxa"/>
              <w:bottom w:w="120" w:type="dxa"/>
              <w:left w:w="150" w:type="dxa"/>
              <w:right w:w="150" w:type="dxa"/>
            </w:tcMar>
          </w:tcPr>
          <w:p>
            <w:r/>
            <w:r>
              <w:rPr>
                <w:rFonts w:ascii="Malgun Gothic" w:hAnsi="Malgun Gothic" w:eastAsia="Malgun Gothic"/>
                <w:b/>
                <w:sz w:val="20"/>
              </w:rPr>
              <w:t>산업</w:t>
            </w:r>
          </w:p>
        </w:tc>
        <w:tc>
          <w:tcPr>
            <w:tcW w:type="dxa" w:w="3120"/>
            <w:shd w:fill="F2F2F2"/>
            <w:tcMar>
              <w:top w:w="120" w:type="dxa"/>
              <w:bottom w:w="120" w:type="dxa"/>
              <w:left w:w="150" w:type="dxa"/>
              <w:right w:w="150" w:type="dxa"/>
            </w:tcMar>
          </w:tcPr>
          <w:p>
            <w:r/>
            <w:r>
              <w:rPr>
                <w:rFonts w:ascii="Malgun Gothic" w:hAnsi="Malgun Gothic" w:eastAsia="Malgun Gothic"/>
                <w:b/>
                <w:sz w:val="20"/>
              </w:rPr>
              <w:t>사유</w:t>
            </w:r>
          </w:p>
        </w:tc>
      </w:tr>
      <w:tr>
        <w:tc>
          <w:tcPr>
            <w:tcW w:type="dxa" w:w="3120"/>
            <w:tcMar>
              <w:top w:w="100" w:type="dxa"/>
              <w:bottom w:w="100" w:type="dxa"/>
              <w:left w:w="150" w:type="dxa"/>
              <w:right w:w="150" w:type="dxa"/>
            </w:tcMar>
          </w:tcPr>
          <w:p>
            <w:r/>
            <w:r>
              <w:rPr>
                <w:rFonts w:ascii="Malgun Gothic" w:hAnsi="Malgun Gothic" w:eastAsia="Malgun Gothic"/>
                <w:b/>
                <w:sz w:val="19"/>
              </w:rPr>
              <w:t>○ 매우 적합</w:t>
            </w:r>
          </w:p>
        </w:tc>
        <w:tc>
          <w:tcPr>
            <w:tcW w:type="dxa" w:w="3120"/>
            <w:tcMar>
              <w:top w:w="100" w:type="dxa"/>
              <w:bottom w:w="100" w:type="dxa"/>
              <w:left w:w="150" w:type="dxa"/>
              <w:right w:w="150" w:type="dxa"/>
            </w:tcMar>
          </w:tcPr>
          <w:p>
            <w:r/>
            <w:r>
              <w:rPr>
                <w:rFonts w:ascii="Malgun Gothic" w:hAnsi="Malgun Gothic" w:eastAsia="Malgun Gothic"/>
                <w:sz w:val="19"/>
              </w:rPr>
              <w:t>IT/통신, 전문 서비스(컨설팅, 마케팅, 법률), 리테일/이커머스, 스타트업</w:t>
            </w:r>
          </w:p>
        </w:tc>
        <w:tc>
          <w:tcPr>
            <w:tcW w:type="dxa" w:w="3120"/>
            <w:tcMar>
              <w:top w:w="100" w:type="dxa"/>
              <w:bottom w:w="100" w:type="dxa"/>
              <w:left w:w="150" w:type="dxa"/>
              <w:right w:w="150" w:type="dxa"/>
            </w:tcMar>
          </w:tcPr>
          <w:p>
            <w:r/>
            <w:r>
              <w:rPr>
                <w:rFonts w:ascii="Malgun Gothic" w:hAnsi="Malgun Gothic" w:eastAsia="Malgun Gothic"/>
                <w:sz w:val="19"/>
              </w:rPr>
              <w:t>문서 생산량 and 대고객 커뮤니케이션 양이 많아 도입 즉시 노동 시간 절감(ROI) 입증 가능</w:t>
            </w:r>
          </w:p>
        </w:tc>
      </w:tr>
      <w:tr>
        <w:tc>
          <w:tcPr>
            <w:tcW w:type="dxa" w:w="3120"/>
            <w:tcMar>
              <w:top w:w="100" w:type="dxa"/>
              <w:bottom w:w="100" w:type="dxa"/>
              <w:left w:w="150" w:type="dxa"/>
              <w:right w:w="150" w:type="dxa"/>
            </w:tcMar>
          </w:tcPr>
          <w:p>
            <w:r/>
            <w:r>
              <w:rPr>
                <w:rFonts w:ascii="Malgun Gothic" w:hAnsi="Malgun Gothic" w:eastAsia="Malgun Gothic"/>
                <w:b/>
                <w:sz w:val="19"/>
              </w:rPr>
              <w:t>△ 신중 검토</w:t>
            </w:r>
          </w:p>
        </w:tc>
        <w:tc>
          <w:tcPr>
            <w:tcW w:type="dxa" w:w="3120"/>
            <w:tcMar>
              <w:top w:w="100" w:type="dxa"/>
              <w:bottom w:w="100" w:type="dxa"/>
              <w:left w:w="150" w:type="dxa"/>
              <w:right w:w="150" w:type="dxa"/>
            </w:tcMar>
          </w:tcPr>
          <w:p>
            <w:r/>
            <w:r>
              <w:rPr>
                <w:rFonts w:ascii="Malgun Gothic" w:hAnsi="Malgun Gothic" w:eastAsia="Malgun Gothic"/>
                <w:sz w:val="19"/>
              </w:rPr>
              <w:t>금융, 보험, 의료</w:t>
            </w:r>
          </w:p>
        </w:tc>
        <w:tc>
          <w:tcPr>
            <w:tcW w:type="dxa" w:w="3120"/>
            <w:tcMar>
              <w:top w:w="100" w:type="dxa"/>
              <w:bottom w:w="100" w:type="dxa"/>
              <w:left w:w="150" w:type="dxa"/>
              <w:right w:w="150" w:type="dxa"/>
            </w:tcMar>
          </w:tcPr>
          <w:p>
            <w:r/>
            <w:r>
              <w:rPr>
                <w:rFonts w:ascii="Malgun Gothic" w:hAnsi="Malgun Gothic" w:eastAsia="Malgun Gothic"/>
                <w:sz w:val="19"/>
              </w:rPr>
              <w:t>개인정보보호법 및 망 분리 규제가 엄격함. Azure OpenAI나 VPC 환경(AWS Bedrock)을 혼합 제안 필요</w:t>
            </w:r>
          </w:p>
        </w:tc>
      </w:tr>
      <w:tr>
        <w:tc>
          <w:tcPr>
            <w:tcW w:type="dxa" w:w="3120"/>
            <w:tcMar>
              <w:top w:w="100" w:type="dxa"/>
              <w:bottom w:w="100" w:type="dxa"/>
              <w:left w:w="150" w:type="dxa"/>
              <w:right w:w="150" w:type="dxa"/>
            </w:tcMar>
          </w:tcPr>
          <w:p>
            <w:r/>
            <w:r>
              <w:rPr>
                <w:rFonts w:ascii="Malgun Gothic" w:hAnsi="Malgun Gothic" w:eastAsia="Malgun Gothic"/>
                <w:b/>
                <w:sz w:val="19"/>
              </w:rPr>
              <w:t>✕ 부적합</w:t>
            </w:r>
          </w:p>
        </w:tc>
        <w:tc>
          <w:tcPr>
            <w:tcW w:type="dxa" w:w="3120"/>
            <w:tcMar>
              <w:top w:w="100" w:type="dxa"/>
              <w:bottom w:w="100" w:type="dxa"/>
              <w:left w:w="150" w:type="dxa"/>
              <w:right w:w="150" w:type="dxa"/>
            </w:tcMar>
          </w:tcPr>
          <w:p>
            <w:r/>
            <w:r>
              <w:rPr>
                <w:rFonts w:ascii="Malgun Gothic" w:hAnsi="Malgun Gothic" w:eastAsia="Malgun Gothic"/>
                <w:sz w:val="19"/>
              </w:rPr>
              <w:t>국방, 국가 기밀 기관, 폐쇄망 내부 전산소</w:t>
            </w:r>
          </w:p>
        </w:tc>
        <w:tc>
          <w:tcPr>
            <w:tcW w:type="dxa" w:w="3120"/>
            <w:tcMar>
              <w:top w:w="100" w:type="dxa"/>
              <w:bottom w:w="100" w:type="dxa"/>
              <w:left w:w="150" w:type="dxa"/>
              <w:right w:w="150" w:type="dxa"/>
            </w:tcMar>
          </w:tcPr>
          <w:p>
            <w:r/>
            <w:r>
              <w:rPr>
                <w:rFonts w:ascii="Malgun Gothic" w:hAnsi="Malgun Gothic" w:eastAsia="Malgun Gothic"/>
                <w:sz w:val="19"/>
              </w:rPr>
              <w:t>데이터의 외부 인터넷 망 반출이 차단되어 있으므로 온프레미스형 솔루션(Articul8) 권장</w:t>
            </w:r>
          </w:p>
        </w:tc>
      </w:tr>
    </w:tbl>
    <w:p>
      <w:pPr>
        <w:spacing w:after="160"/>
      </w:pPr>
    </w:p>
    <w:p>
      <w:pPr>
        <w:spacing w:after="80"/>
      </w:pPr>
      <w:r>
        <w:rPr>
          <w:rFonts w:ascii="Malgun Gothic" w:hAnsi="Malgun Gothic" w:eastAsia="Malgun Gothic"/>
          <w:b/>
        </w:rPr>
        <w:t>▶ 핵심 페르소나 (4-Persona)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F2F2F2"/>
            <w:tcMar>
              <w:top w:w="120" w:type="dxa"/>
              <w:bottom w:w="120" w:type="dxa"/>
              <w:left w:w="150" w:type="dxa"/>
              <w:right w:w="150" w:type="dxa"/>
            </w:tcMar>
          </w:tcPr>
          <w:p>
            <w:r/>
            <w:r>
              <w:rPr>
                <w:rFonts w:ascii="Malgun Gothic" w:hAnsi="Malgun Gothic" w:eastAsia="Malgun Gothic"/>
                <w:b/>
                <w:sz w:val="20"/>
              </w:rPr>
              <w:t>페르소나</w:t>
            </w:r>
          </w:p>
        </w:tc>
        <w:tc>
          <w:tcPr>
            <w:tcW w:type="dxa" w:w="2340"/>
            <w:shd w:fill="F2F2F2"/>
            <w:tcMar>
              <w:top w:w="120" w:type="dxa"/>
              <w:bottom w:w="120" w:type="dxa"/>
              <w:left w:w="150" w:type="dxa"/>
              <w:right w:w="150" w:type="dxa"/>
            </w:tcMar>
          </w:tcPr>
          <w:p>
            <w:r/>
            <w:r>
              <w:rPr>
                <w:rFonts w:ascii="Malgun Gothic" w:hAnsi="Malgun Gothic" w:eastAsia="Malgun Gothic"/>
                <w:b/>
                <w:sz w:val="20"/>
              </w:rPr>
              <w:t>역할</w:t>
            </w:r>
          </w:p>
        </w:tc>
        <w:tc>
          <w:tcPr>
            <w:tcW w:type="dxa" w:w="2340"/>
            <w:shd w:fill="F2F2F2"/>
            <w:tcMar>
              <w:top w:w="120" w:type="dxa"/>
              <w:bottom w:w="120" w:type="dxa"/>
              <w:left w:w="150" w:type="dxa"/>
              <w:right w:w="150" w:type="dxa"/>
            </w:tcMar>
          </w:tcPr>
          <w:p>
            <w:r/>
            <w:r>
              <w:rPr>
                <w:rFonts w:ascii="Malgun Gothic" w:hAnsi="Malgun Gothic" w:eastAsia="Malgun Gothic"/>
                <w:b/>
                <w:sz w:val="20"/>
              </w:rPr>
              <w:t>관심사 / Pain Point</w:t>
            </w:r>
          </w:p>
        </w:tc>
        <w:tc>
          <w:tcPr>
            <w:tcW w:type="dxa" w:w="2340"/>
            <w:shd w:fill="F2F2F2"/>
            <w:tcMar>
              <w:top w:w="120" w:type="dxa"/>
              <w:bottom w:w="120" w:type="dxa"/>
              <w:left w:w="150" w:type="dxa"/>
              <w:right w:w="150" w:type="dxa"/>
            </w:tcMar>
          </w:tcPr>
          <w:p>
            <w:r/>
            <w:r>
              <w:rPr>
                <w:rFonts w:ascii="Malgun Gothic" w:hAnsi="Malgun Gothic" w:eastAsia="Malgun Gothic"/>
                <w:b/>
                <w:sz w:val="20"/>
              </w:rPr>
              <w:t>MZC 어프로치</w:t>
            </w:r>
          </w:p>
        </w:tc>
      </w:tr>
      <w:tr>
        <w:tc>
          <w:tcPr>
            <w:tcW w:type="dxa" w:w="2340"/>
            <w:tcMar>
              <w:top w:w="100" w:type="dxa"/>
              <w:bottom w:w="100" w:type="dxa"/>
              <w:left w:w="150" w:type="dxa"/>
              <w:right w:w="150" w:type="dxa"/>
            </w:tcMar>
            <w:shd w:fill="FAFAFA"/>
          </w:tcPr>
          <w:p>
            <w:r/>
            <w:r>
              <w:rPr>
                <w:rFonts w:ascii="Malgun Gothic" w:hAnsi="Malgun Gothic" w:eastAsia="Malgun Gothic"/>
                <w:b/>
                <w:sz w:val="19"/>
              </w:rPr>
              <w:t>CIO / CDO</w:t>
            </w:r>
          </w:p>
        </w:tc>
        <w:tc>
          <w:tcPr>
            <w:tcW w:type="dxa" w:w="2340"/>
            <w:tcMar>
              <w:top w:w="100" w:type="dxa"/>
              <w:bottom w:w="100" w:type="dxa"/>
              <w:left w:w="150" w:type="dxa"/>
              <w:right w:w="150" w:type="dxa"/>
            </w:tcMar>
          </w:tcPr>
          <w:p>
            <w:r/>
            <w:r>
              <w:rPr>
                <w:rFonts w:ascii="Malgun Gothic" w:hAnsi="Malgun Gothic" w:eastAsia="Malgun Gothic"/>
                <w:sz w:val="19"/>
              </w:rPr>
              <w:t>의사결정자</w:t>
            </w:r>
          </w:p>
        </w:tc>
        <w:tc>
          <w:tcPr>
            <w:tcW w:type="dxa" w:w="2340"/>
            <w:tcMar>
              <w:top w:w="100" w:type="dxa"/>
              <w:bottom w:w="100" w:type="dxa"/>
              <w:left w:w="150" w:type="dxa"/>
              <w:right w:w="150" w:type="dxa"/>
            </w:tcMar>
          </w:tcPr>
          <w:p>
            <w:r/>
            <w:r>
              <w:rPr>
                <w:rFonts w:ascii="Malgun Gothic" w:hAnsi="Malgun Gothic" w:eastAsia="Malgun Gothic"/>
                <w:sz w:val="19"/>
              </w:rPr>
              <w:t>그림자 IT(Shadow IT) 방지 및 공식 보안 거버넌스 수립이 주요 관심사</w:t>
            </w:r>
          </w:p>
        </w:tc>
        <w:tc>
          <w:tcPr>
            <w:tcW w:type="dxa" w:w="2340"/>
            <w:tcMar>
              <w:top w:w="100" w:type="dxa"/>
              <w:bottom w:w="100" w:type="dxa"/>
              <w:left w:w="150" w:type="dxa"/>
              <w:right w:w="150" w:type="dxa"/>
            </w:tcMar>
          </w:tcPr>
          <w:p>
            <w:r/>
            <w:r>
              <w:rPr>
                <w:rFonts w:ascii="Malgun Gothic" w:hAnsi="Malgun Gothic" w:eastAsia="Malgun Gothic"/>
                <w:sz w:val="19"/>
              </w:rPr>
            </w:r>
            <w:r>
              <w:rPr>
                <w:rFonts w:ascii="Malgun Gothic" w:hAnsi="Malgun Gothic" w:eastAsia="Malgun Gothic"/>
                <w:b/>
                <w:sz w:val="19"/>
              </w:rPr>
              <w:t>MZC 보안 거버넌스 가이드 패키지 동반 제안</w:t>
            </w:r>
            <w:r>
              <w:rPr>
                <w:rFonts w:ascii="Malgun Gothic" w:hAnsi="Malgun Gothic" w:eastAsia="Malgun Gothic"/>
                <w:sz w:val="19"/>
              </w:rPr>
            </w:r>
          </w:p>
        </w:tc>
      </w:tr>
      <w:tr>
        <w:tc>
          <w:tcPr>
            <w:tcW w:type="dxa" w:w="2340"/>
            <w:tcMar>
              <w:top w:w="100" w:type="dxa"/>
              <w:bottom w:w="100" w:type="dxa"/>
              <w:left w:w="150" w:type="dxa"/>
              <w:right w:w="150" w:type="dxa"/>
            </w:tcMar>
            <w:shd w:fill="FAFAFA"/>
          </w:tcPr>
          <w:p>
            <w:r/>
            <w:r>
              <w:rPr>
                <w:rFonts w:ascii="Malgun Gothic" w:hAnsi="Malgun Gothic" w:eastAsia="Malgun Gothic"/>
                <w:b/>
                <w:sz w:val="19"/>
              </w:rPr>
              <w:t>CTO / IT개발 리더</w:t>
            </w:r>
          </w:p>
        </w:tc>
        <w:tc>
          <w:tcPr>
            <w:tcW w:type="dxa" w:w="2340"/>
            <w:tcMar>
              <w:top w:w="100" w:type="dxa"/>
              <w:bottom w:w="100" w:type="dxa"/>
              <w:left w:w="150" w:type="dxa"/>
              <w:right w:w="150" w:type="dxa"/>
            </w:tcMar>
          </w:tcPr>
          <w:p>
            <w:r/>
            <w:r>
              <w:rPr>
                <w:rFonts w:ascii="Malgun Gothic" w:hAnsi="Malgun Gothic" w:eastAsia="Malgun Gothic"/>
                <w:sz w:val="19"/>
              </w:rPr>
              <w:t>실무 및 리더</w:t>
            </w:r>
          </w:p>
        </w:tc>
        <w:tc>
          <w:tcPr>
            <w:tcW w:type="dxa" w:w="2340"/>
            <w:tcMar>
              <w:top w:w="100" w:type="dxa"/>
              <w:bottom w:w="100" w:type="dxa"/>
              <w:left w:w="150" w:type="dxa"/>
              <w:right w:w="150" w:type="dxa"/>
            </w:tcMar>
          </w:tcPr>
          <w:p>
            <w:r/>
            <w:r>
              <w:rPr>
                <w:rFonts w:ascii="Malgun Gothic" w:hAnsi="Malgun Gothic" w:eastAsia="Malgun Gothic"/>
                <w:sz w:val="19"/>
              </w:rPr>
              <w:t>개발 효율성 향상 및 API FinOps 최적화가 관심사</w:t>
            </w:r>
          </w:p>
        </w:tc>
        <w:tc>
          <w:tcPr>
            <w:tcW w:type="dxa" w:w="2340"/>
            <w:tcMar>
              <w:top w:w="100" w:type="dxa"/>
              <w:bottom w:w="100" w:type="dxa"/>
              <w:left w:w="150" w:type="dxa"/>
              <w:right w:w="150" w:type="dxa"/>
            </w:tcMar>
          </w:tcPr>
          <w:p>
            <w:r/>
            <w:r>
              <w:rPr>
                <w:rFonts w:ascii="Malgun Gothic" w:hAnsi="Malgun Gothic" w:eastAsia="Malgun Gothic"/>
                <w:sz w:val="19"/>
              </w:rPr>
            </w:r>
            <w:r>
              <w:rPr>
                <w:rFonts w:ascii="Malgun Gothic" w:hAnsi="Malgun Gothic" w:eastAsia="Malgun Gothic"/>
                <w:b/>
                <w:sz w:val="19"/>
              </w:rPr>
              <w:t>API 모니터링 툴(LiteLLM) 연계 제안</w:t>
            </w:r>
            <w:r>
              <w:rPr>
                <w:rFonts w:ascii="Malgun Gothic" w:hAnsi="Malgun Gothic" w:eastAsia="Malgun Gothic"/>
                <w:sz w:val="19"/>
              </w:rPr>
            </w:r>
          </w:p>
        </w:tc>
      </w:tr>
      <w:tr>
        <w:tc>
          <w:tcPr>
            <w:tcW w:type="dxa" w:w="2340"/>
            <w:tcMar>
              <w:top w:w="100" w:type="dxa"/>
              <w:bottom w:w="100" w:type="dxa"/>
              <w:left w:w="150" w:type="dxa"/>
              <w:right w:w="150" w:type="dxa"/>
            </w:tcMar>
            <w:shd w:fill="FAFAFA"/>
          </w:tcPr>
          <w:p>
            <w:r/>
            <w:r>
              <w:rPr>
                <w:rFonts w:ascii="Malgun Gothic" w:hAnsi="Malgun Gothic" w:eastAsia="Malgun Gothic"/>
                <w:b/>
                <w:sz w:val="19"/>
              </w:rPr>
              <w:t>현업 부서장 / 실무진</w:t>
            </w:r>
          </w:p>
        </w:tc>
        <w:tc>
          <w:tcPr>
            <w:tcW w:type="dxa" w:w="2340"/>
            <w:tcMar>
              <w:top w:w="100" w:type="dxa"/>
              <w:bottom w:w="100" w:type="dxa"/>
              <w:left w:w="150" w:type="dxa"/>
              <w:right w:w="150" w:type="dxa"/>
            </w:tcMar>
          </w:tcPr>
          <w:p>
            <w:r/>
            <w:r>
              <w:rPr>
                <w:rFonts w:ascii="Malgun Gothic" w:hAnsi="Malgun Gothic" w:eastAsia="Malgun Gothic"/>
                <w:sz w:val="19"/>
              </w:rPr>
              <w:t>실무 및 리더</w:t>
            </w:r>
          </w:p>
        </w:tc>
        <w:tc>
          <w:tcPr>
            <w:tcW w:type="dxa" w:w="2340"/>
            <w:tcMar>
              <w:top w:w="100" w:type="dxa"/>
              <w:bottom w:w="100" w:type="dxa"/>
              <w:left w:w="150" w:type="dxa"/>
              <w:right w:w="150" w:type="dxa"/>
            </w:tcMar>
          </w:tcPr>
          <w:p>
            <w:r/>
            <w:r>
              <w:rPr>
                <w:rFonts w:ascii="Malgun Gothic" w:hAnsi="Malgun Gothic" w:eastAsia="Malgun Gothic"/>
                <w:sz w:val="19"/>
              </w:rPr>
              <w:t>단순 반복 업무(메일 초안 작성, 회의록 요약) 자동화가 급선무</w:t>
            </w:r>
          </w:p>
        </w:tc>
        <w:tc>
          <w:tcPr>
            <w:tcW w:type="dxa" w:w="2340"/>
            <w:tcMar>
              <w:top w:w="100" w:type="dxa"/>
              <w:bottom w:w="100" w:type="dxa"/>
              <w:left w:w="150" w:type="dxa"/>
              <w:right w:w="150" w:type="dxa"/>
            </w:tcMar>
          </w:tcPr>
          <w:p>
            <w:r/>
            <w:r>
              <w:rPr>
                <w:rFonts w:ascii="Malgun Gothic" w:hAnsi="Malgun Gothic" w:eastAsia="Malgun Gothic"/>
                <w:sz w:val="19"/>
              </w:rPr>
            </w:r>
            <w:r>
              <w:rPr>
                <w:rFonts w:ascii="Malgun Gothic" w:hAnsi="Malgun Gothic" w:eastAsia="Malgun Gothic"/>
                <w:b/>
                <w:sz w:val="19"/>
              </w:rPr>
              <w:t>노코드 Custom GPT 워크숍 패키지 제안</w:t>
            </w:r>
            <w:r>
              <w:rPr>
                <w:rFonts w:ascii="Malgun Gothic" w:hAnsi="Malgun Gothic" w:eastAsia="Malgun Gothic"/>
                <w:sz w:val="19"/>
              </w:rPr>
            </w:r>
          </w:p>
        </w:tc>
      </w:tr>
    </w:tbl>
    <w:p>
      <w:pPr>
        <w:spacing w:after="160"/>
      </w:pPr>
    </w:p>
    <w:p>
      <w:pPr>
        <w:spacing w:after="80"/>
      </w:pPr>
      <w:r>
        <w:rPr>
          <w:rFonts w:ascii="Malgun Gothic" w:hAnsi="Malgun Gothic" w:eastAsia="Malgun Gothic"/>
          <w:b/>
        </w:rPr>
        <w:t>▶ 적합 조직 규모</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
              <w:rPr>
                <w:rFonts w:ascii="Malgun Gothic" w:hAnsi="Malgun Gothic" w:eastAsia="Malgun Gothic"/>
                <w:b/>
                <w:sz w:val="20"/>
              </w:rPr>
              <w:t>규모</w:t>
            </w:r>
          </w:p>
        </w:tc>
        <w:tc>
          <w:tcPr>
            <w:tcW w:type="dxa" w:w="3120"/>
            <w:shd w:fill="F2F2F2"/>
            <w:tcMar>
              <w:top w:w="120" w:type="dxa"/>
              <w:bottom w:w="120" w:type="dxa"/>
              <w:left w:w="150" w:type="dxa"/>
              <w:right w:w="150" w:type="dxa"/>
            </w:tcMar>
          </w:tcPr>
          <w:p>
            <w:r/>
            <w:r>
              <w:rPr>
                <w:rFonts w:ascii="Malgun Gothic" w:hAnsi="Malgun Gothic" w:eastAsia="Malgun Gothic"/>
                <w:b/>
                <w:sz w:val="20"/>
              </w:rPr>
              <w:t>권장 제품</w:t>
            </w:r>
          </w:p>
        </w:tc>
        <w:tc>
          <w:tcPr>
            <w:tcW w:type="dxa" w:w="3120"/>
            <w:shd w:fill="F2F2F2"/>
            <w:tcMar>
              <w:top w:w="120" w:type="dxa"/>
              <w:bottom w:w="120" w:type="dxa"/>
              <w:left w:w="150" w:type="dxa"/>
              <w:right w:w="150" w:type="dxa"/>
            </w:tcMar>
          </w:tcPr>
          <w:p>
            <w:r/>
            <w:r>
              <w:rPr>
                <w:rFonts w:ascii="Malgun Gothic" w:hAnsi="Malgun Gothic" w:eastAsia="Malgun Gothic"/>
                <w:b/>
                <w:sz w:val="20"/>
              </w:rPr>
              <w:t>권장 사업 모델</w:t>
            </w:r>
          </w:p>
        </w:tc>
      </w:tr>
      <w:tr>
        <w:tc>
          <w:tcPr>
            <w:tcW w:type="dxa" w:w="3120"/>
            <w:tcMar>
              <w:top w:w="100" w:type="dxa"/>
              <w:bottom w:w="100" w:type="dxa"/>
              <w:left w:w="150" w:type="dxa"/>
              <w:right w:w="150" w:type="dxa"/>
            </w:tcMar>
            <w:shd w:fill="FAFAFA"/>
          </w:tcPr>
          <w:p>
            <w:r/>
            <w:r>
              <w:rPr>
                <w:rFonts w:ascii="Malgun Gothic" w:hAnsi="Malgun Gothic" w:eastAsia="Malgun Gothic"/>
                <w:b/>
                <w:sz w:val="19"/>
              </w:rPr>
              <w:t>150명 미만</w:t>
            </w:r>
          </w:p>
        </w:tc>
        <w:tc>
          <w:tcPr>
            <w:tcW w:type="dxa" w:w="3120"/>
            <w:tcMar>
              <w:top w:w="100" w:type="dxa"/>
              <w:bottom w:w="100" w:type="dxa"/>
              <w:left w:w="150" w:type="dxa"/>
              <w:right w:w="150" w:type="dxa"/>
            </w:tcMar>
          </w:tcPr>
          <w:p>
            <w:r/>
            <w:r>
              <w:rPr>
                <w:rFonts w:ascii="Malgun Gothic" w:hAnsi="Malgun Gothic" w:eastAsia="Malgun Gothic"/>
                <w:sz w:val="19"/>
              </w:rPr>
              <w:t>ChatGPT Team (OpenAI Enterprise SMB 최소기준 seat)</w:t>
            </w:r>
          </w:p>
        </w:tc>
        <w:tc>
          <w:tcPr>
            <w:tcW w:type="dxa" w:w="3120"/>
            <w:tcMar>
              <w:top w:w="100" w:type="dxa"/>
              <w:bottom w:w="100" w:type="dxa"/>
              <w:left w:w="150" w:type="dxa"/>
              <w:right w:w="150" w:type="dxa"/>
            </w:tcMar>
          </w:tcPr>
          <w:p>
            <w:r/>
            <w:r>
              <w:rPr>
                <w:rFonts w:ascii="Malgun Gothic" w:hAnsi="Malgun Gothic" w:eastAsia="Malgun Gothic"/>
                <w:sz w:val="19"/>
              </w:rPr>
              <w:t>AI MSP 파이프라인 연계</w:t>
            </w:r>
          </w:p>
        </w:tc>
      </w:tr>
      <w:tr>
        <w:tc>
          <w:tcPr>
            <w:tcW w:type="dxa" w:w="3120"/>
            <w:tcMar>
              <w:top w:w="100" w:type="dxa"/>
              <w:bottom w:w="100" w:type="dxa"/>
              <w:left w:w="150" w:type="dxa"/>
              <w:right w:w="150" w:type="dxa"/>
            </w:tcMar>
            <w:shd w:fill="FAFAFA"/>
          </w:tcPr>
          <w:p>
            <w:r/>
            <w:r>
              <w:rPr>
                <w:rFonts w:ascii="Malgun Gothic" w:hAnsi="Malgun Gothic" w:eastAsia="Malgun Gothic"/>
                <w:b/>
                <w:sz w:val="19"/>
              </w:rPr>
              <w:t>150~500명</w:t>
            </w:r>
          </w:p>
        </w:tc>
        <w:tc>
          <w:tcPr>
            <w:tcW w:type="dxa" w:w="3120"/>
            <w:tcMar>
              <w:top w:w="100" w:type="dxa"/>
              <w:bottom w:w="100" w:type="dxa"/>
              <w:left w:w="150" w:type="dxa"/>
              <w:right w:w="150" w:type="dxa"/>
            </w:tcMar>
          </w:tcPr>
          <w:p>
            <w:r/>
            <w:r>
              <w:rPr>
                <w:rFonts w:ascii="Malgun Gothic" w:hAnsi="Malgun Gothic" w:eastAsia="Malgun Gothic"/>
                <w:sz w:val="19"/>
              </w:rPr>
              <w:t>ChatGPT Enterprise</w:t>
            </w:r>
          </w:p>
        </w:tc>
        <w:tc>
          <w:tcPr>
            <w:tcW w:type="dxa" w:w="3120"/>
            <w:tcMar>
              <w:top w:w="100" w:type="dxa"/>
              <w:bottom w:w="100" w:type="dxa"/>
              <w:left w:w="150" w:type="dxa"/>
              <w:right w:w="150" w:type="dxa"/>
            </w:tcMar>
          </w:tcPr>
          <w:p>
            <w:r/>
            <w:r>
              <w:rPr>
                <w:rFonts w:ascii="Malgun Gothic" w:hAnsi="Malgun Gothic" w:eastAsia="Malgun Gothic"/>
                <w:sz w:val="19"/>
              </w:rPr>
              <w:t>AI MSP 파이프라인 연계</w:t>
            </w:r>
          </w:p>
        </w:tc>
      </w:tr>
      <w:tr>
        <w:tc>
          <w:tcPr>
            <w:tcW w:type="dxa" w:w="3120"/>
            <w:tcMar>
              <w:top w:w="100" w:type="dxa"/>
              <w:bottom w:w="100" w:type="dxa"/>
              <w:left w:w="150" w:type="dxa"/>
              <w:right w:w="150" w:type="dxa"/>
            </w:tcMar>
            <w:shd w:fill="FAFAFA"/>
          </w:tcPr>
          <w:p>
            <w:r/>
            <w:r>
              <w:rPr>
                <w:rFonts w:ascii="Malgun Gothic" w:hAnsi="Malgun Gothic" w:eastAsia="Malgun Gothic"/>
                <w:b/>
                <w:sz w:val="19"/>
              </w:rPr>
              <w:t>500명 이상 대기업</w:t>
            </w:r>
          </w:p>
        </w:tc>
        <w:tc>
          <w:tcPr>
            <w:tcW w:type="dxa" w:w="3120"/>
            <w:tcMar>
              <w:top w:w="100" w:type="dxa"/>
              <w:bottom w:w="100" w:type="dxa"/>
              <w:left w:w="150" w:type="dxa"/>
              <w:right w:w="150" w:type="dxa"/>
            </w:tcMar>
          </w:tcPr>
          <w:p>
            <w:r/>
            <w:r>
              <w:rPr>
                <w:rFonts w:ascii="Malgun Gothic" w:hAnsi="Malgun Gothic" w:eastAsia="Malgun Gothic"/>
                <w:sz w:val="19"/>
              </w:rPr>
              <w:t>ChatGPT Enterprise Discount 조건 추가 협상 가능.</w:t>
            </w:r>
          </w:p>
        </w:tc>
        <w:tc>
          <w:tcPr>
            <w:tcW w:type="dxa" w:w="3120"/>
            <w:tcMar>
              <w:top w:w="100" w:type="dxa"/>
              <w:bottom w:w="100" w:type="dxa"/>
              <w:left w:w="150" w:type="dxa"/>
              <w:right w:w="150" w:type="dxa"/>
            </w:tcMar>
          </w:tcPr>
          <w:p>
            <w:r/>
            <w:r>
              <w:rPr>
                <w:rFonts w:ascii="Malgun Gothic" w:hAnsi="Malgun Gothic" w:eastAsia="Malgun Gothic"/>
                <w:sz w:val="19"/>
              </w:rPr>
              <w:t>AI MSP 파이프라인 연계</w:t>
            </w:r>
          </w:p>
        </w:tc>
      </w:tr>
    </w:tbl>
    <w:p>
      <w:pPr>
        <w:spacing w:after="240"/>
      </w:pPr>
    </w:p>
    <w:p>
      <w:pPr>
        <w:pStyle w:val="Heading2"/>
      </w:pPr>
      <w:r>
        <w:t>4)  솔루션 기반 레퍼런스 아키텍처</w:t>
      </w:r>
    </w:p>
    <w:p>
      <w:pPr>
        <w:spacing w:after="160"/>
      </w:pPr>
      <w:r>
        <w:rPr>
          <w:rFonts w:ascii="Malgun Gothic" w:hAnsi="Malgun Gothic" w:eastAsia="Malgun Gothic"/>
          <w:sz w:val="20"/>
        </w:rPr>
        <w:t>OpenAI Enterprise를 도입할 때, 메가존클라우드는 단순 라이센스 판매를 넘어 고객의 사내 인프라와 연결하는 핵심 아키텍처를 설계하며, 사용자 인증 및 자동 계정 관리(SSO/SCIM)를 기술 보증합니다.</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F2F2F2"/>
            <w:tcMar>
              <w:top w:w="120" w:type="dxa"/>
              <w:bottom w:w="120" w:type="dxa"/>
              <w:left w:w="150" w:type="dxa"/>
              <w:right w:w="150" w:type="dxa"/>
            </w:tcMar>
          </w:tcPr>
          <w:p>
            <w:r/>
            <w:r>
              <w:rPr>
                <w:rFonts w:ascii="Malgun Gothic" w:hAnsi="Malgun Gothic" w:eastAsia="Malgun Gothic"/>
                <w:b/>
                <w:sz w:val="20"/>
              </w:rPr>
              <w:t>#</w:t>
            </w:r>
          </w:p>
        </w:tc>
        <w:tc>
          <w:tcPr>
            <w:tcW w:type="dxa" w:w="2340"/>
            <w:shd w:fill="F2F2F2"/>
            <w:tcMar>
              <w:top w:w="120" w:type="dxa"/>
              <w:bottom w:w="120" w:type="dxa"/>
              <w:left w:w="150" w:type="dxa"/>
              <w:right w:w="150" w:type="dxa"/>
            </w:tcMar>
          </w:tcPr>
          <w:p>
            <w:r/>
            <w:r>
              <w:rPr>
                <w:rFonts w:ascii="Malgun Gothic" w:hAnsi="Malgun Gothic" w:eastAsia="Malgun Gothic"/>
                <w:b/>
                <w:sz w:val="20"/>
              </w:rPr>
              <w:t>Layer</w:t>
            </w:r>
          </w:p>
        </w:tc>
        <w:tc>
          <w:tcPr>
            <w:tcW w:type="dxa" w:w="2340"/>
            <w:shd w:fill="F2F2F2"/>
            <w:tcMar>
              <w:top w:w="120" w:type="dxa"/>
              <w:bottom w:w="120" w:type="dxa"/>
              <w:left w:w="150" w:type="dxa"/>
              <w:right w:w="150" w:type="dxa"/>
            </w:tcMar>
          </w:tcPr>
          <w:p>
            <w:r/>
            <w:r>
              <w:rPr>
                <w:rFonts w:ascii="Malgun Gothic" w:hAnsi="Malgun Gothic" w:eastAsia="Malgun Gothic"/>
                <w:b/>
                <w:sz w:val="20"/>
              </w:rPr>
              <w:t>주요 구성 요소</w:t>
            </w:r>
          </w:p>
        </w:tc>
        <w:tc>
          <w:tcPr>
            <w:tcW w:type="dxa" w:w="2340"/>
            <w:shd w:fill="F2F2F2"/>
            <w:tcMar>
              <w:top w:w="120" w:type="dxa"/>
              <w:bottom w:w="120" w:type="dxa"/>
              <w:left w:w="150" w:type="dxa"/>
              <w:right w:w="150" w:type="dxa"/>
            </w:tcMar>
          </w:tcPr>
          <w:p>
            <w:r/>
            <w:r>
              <w:rPr>
                <w:rFonts w:ascii="Malgun Gothic" w:hAnsi="Malgun Gothic" w:eastAsia="Malgun Gothic"/>
                <w:b/>
                <w:sz w:val="20"/>
              </w:rPr>
              <w:t>설명</w:t>
            </w:r>
          </w:p>
        </w:tc>
      </w:tr>
      <w:tr>
        <w:tc>
          <w:tcPr>
            <w:tcW w:type="dxa" w:w="2340"/>
            <w:tcMar>
              <w:top w:w="100" w:type="dxa"/>
              <w:bottom w:w="100" w:type="dxa"/>
              <w:left w:w="150" w:type="dxa"/>
              <w:right w:w="150" w:type="dxa"/>
            </w:tcMar>
            <w:shd w:fill="FAFAFA"/>
          </w:tcPr>
          <w:p>
            <w:r/>
            <w:r>
              <w:rPr>
                <w:rFonts w:ascii="Malgun Gothic" w:hAnsi="Malgun Gothic" w:eastAsia="Malgun Gothic"/>
                <w:b/>
                <w:sz w:val="19"/>
              </w:rPr>
              <w:t>1</w:t>
            </w:r>
          </w:p>
        </w:tc>
        <w:tc>
          <w:tcPr>
            <w:tcW w:type="dxa" w:w="2340"/>
            <w:tcMar>
              <w:top w:w="100" w:type="dxa"/>
              <w:bottom w:w="100" w:type="dxa"/>
              <w:left w:w="150" w:type="dxa"/>
              <w:right w:w="150" w:type="dxa"/>
            </w:tcMar>
          </w:tcPr>
          <w:p>
            <w:r/>
            <w:r>
              <w:rPr>
                <w:rFonts w:ascii="Malgun Gothic" w:hAnsi="Malgun Gothic" w:eastAsia="Malgun Gothic"/>
                <w:b/>
                <w:sz w:val="19"/>
              </w:rPr>
              <w:t>사용자 접속 및 계정 연동 레이어 (IdP &amp; Identity Provisioning)</w:t>
            </w:r>
          </w:p>
        </w:tc>
        <w:tc>
          <w:tcPr>
            <w:tcW w:type="dxa" w:w="2340"/>
            <w:tcMar>
              <w:top w:w="100" w:type="dxa"/>
              <w:bottom w:w="100" w:type="dxa"/>
              <w:left w:w="150" w:type="dxa"/>
              <w:right w:w="150" w:type="dxa"/>
            </w:tcMar>
          </w:tcPr>
          <w:p>
            <w:r/>
            <w:r>
              <w:rPr>
                <w:rFonts w:ascii="Malgun Gothic" w:hAnsi="Malgun Gothic" w:eastAsia="Malgun Gothic"/>
                <w:sz w:val="19"/>
              </w:rPr>
              <w:t>SAML 2.0 SSO 및 SCIM 2.0 표준을 기반으로 계정의 생성부터 퇴사 시의 차단까지 전 과정을 자동화합니다. DNS TXT 레코드 인증 기반의 도메인 검증(Domain Verification)을 통해 미인증 이메일을 격리하고, SCIM Bearer Token 파이프라인을 구축하여 사내 인사 데이터(Okta, Microsoft Entra ID 등)의 변동사항을 실시간 프로비저닝(Provisioning)합니다. 초기 연동 시 Optional 모드를 가동하는 fail-safe 아키텍처를 거쳐 로그인 Lockout을 방지하고 최종 Enforced(SSO 강제) 모드로 전환합니다.</w:t>
            </w:r>
          </w:p>
        </w:tc>
        <w:tc>
          <w:tcPr>
            <w:tcW w:type="dxa" w:w="2340"/>
            <w:tcMar>
              <w:top w:w="100" w:type="dxa"/>
              <w:bottom w:w="100" w:type="dxa"/>
              <w:left w:w="150" w:type="dxa"/>
              <w:right w:w="150" w:type="dxa"/>
            </w:tcMar>
          </w:tcPr>
          <w:p>
            <w:r/>
            <w:r>
              <w:rPr>
                <w:rFonts w:ascii="Malgun Gothic" w:hAnsi="Malgun Gothic" w:eastAsia="Malgun Gothic"/>
                <w:sz w:val="19"/>
              </w:rPr>
              <w:t>SAML 2.0 SSO 및 SCIM 2.0 표준을 기반으로 계정의 생성부터 퇴사 시의 차단까지 전 과정을 자동화합니다. DNS TXT 레코드 인증 기반의 도메인 검증(Domain Verification)을 통해 미인증 이메일을 격리하고, SCIM Bearer Token 파이프라인을 구축하여 사내 인사 데이터(Okta, Microsoft Entra ID 등)의 변동사항을 실시간 프로비저닝(Provisioning)합니다. 초기 연동 시 Optional 모드를 가동하는 fail-safe 아키텍처를 거쳐 로그인 Lockout을 방지하고 최종 Enforced(SSO 강제) 모드로 전환합니다.</w:t>
            </w:r>
          </w:p>
        </w:tc>
      </w:tr>
      <w:tr>
        <w:tc>
          <w:tcPr>
            <w:tcW w:type="dxa" w:w="2340"/>
            <w:tcMar>
              <w:top w:w="100" w:type="dxa"/>
              <w:bottom w:w="100" w:type="dxa"/>
              <w:left w:w="150" w:type="dxa"/>
              <w:right w:w="150" w:type="dxa"/>
            </w:tcMar>
            <w:shd w:fill="FAFAFA"/>
          </w:tcPr>
          <w:p>
            <w:r/>
            <w:r>
              <w:rPr>
                <w:rFonts w:ascii="Malgun Gothic" w:hAnsi="Malgun Gothic" w:eastAsia="Malgun Gothic"/>
                <w:b/>
                <w:sz w:val="19"/>
              </w:rPr>
              <w:t>2</w:t>
            </w:r>
          </w:p>
        </w:tc>
        <w:tc>
          <w:tcPr>
            <w:tcW w:type="dxa" w:w="2340"/>
            <w:tcMar>
              <w:top w:w="100" w:type="dxa"/>
              <w:bottom w:w="100" w:type="dxa"/>
              <w:left w:w="150" w:type="dxa"/>
              <w:right w:w="150" w:type="dxa"/>
            </w:tcMar>
          </w:tcPr>
          <w:p>
            <w:r/>
            <w:r>
              <w:rPr>
                <w:rFonts w:ascii="Malgun Gothic" w:hAnsi="Malgun Gothic" w:eastAsia="Malgun Gothic"/>
                <w:b/>
                <w:sz w:val="19"/>
              </w:rPr>
              <w:t>오케스트레이션 및 데이터 연동 레이어 (MZC 핵심 영역)</w:t>
            </w:r>
          </w:p>
        </w:tc>
        <w:tc>
          <w:tcPr>
            <w:tcW w:type="dxa" w:w="2340"/>
            <w:tcMar>
              <w:top w:w="100" w:type="dxa"/>
              <w:bottom w:w="100" w:type="dxa"/>
              <w:left w:w="150" w:type="dxa"/>
              <w:right w:w="150" w:type="dxa"/>
            </w:tcMar>
          </w:tcPr>
          <w:p>
            <w:r/>
            <w:r>
              <w:rPr>
                <w:rFonts w:ascii="Malgun Gothic" w:hAnsi="Malgun Gothic" w:eastAsia="Malgun Gothic"/>
                <w:sz w:val="19"/>
              </w:rPr>
              <w:t>사용자의 질문이 입력되면, MZC가 구축한 RAG 파이프라인이 사내 클라우드 데이터(AWS S3, Vector DB 등)에서 최신 지식을 검색하여 질문과 결합한 뒤 OpenAI API로 전달. 이로써 AI가 거짓말을 하는 환각 현상(Hallucination)을 원천 방지</w:t>
            </w:r>
          </w:p>
        </w:tc>
        <w:tc>
          <w:tcPr>
            <w:tcW w:type="dxa" w:w="2340"/>
            <w:tcMar>
              <w:top w:w="100" w:type="dxa"/>
              <w:bottom w:w="100" w:type="dxa"/>
              <w:left w:w="150" w:type="dxa"/>
              <w:right w:w="150" w:type="dxa"/>
            </w:tcMar>
          </w:tcPr>
          <w:p>
            <w:r/>
            <w:r>
              <w:rPr>
                <w:rFonts w:ascii="Malgun Gothic" w:hAnsi="Malgun Gothic" w:eastAsia="Malgun Gothic"/>
                <w:sz w:val="19"/>
              </w:rPr>
              <w:t>사용자의 질문이 입력되면, MZC가 구축한 RAG 파이프라인이 사내 클라우드 데이터(AWS S3, Vector DB 등)에서 최신 지식을 검색하여 질문과 결합한 뒤 OpenAI API로 전달. 이로써 AI가 거짓말을 하는 환각 현상(Hallucination)을 원천 방지</w:t>
            </w:r>
          </w:p>
        </w:tc>
      </w:tr>
      <w:tr>
        <w:tc>
          <w:tcPr>
            <w:tcW w:type="dxa" w:w="2340"/>
            <w:tcMar>
              <w:top w:w="100" w:type="dxa"/>
              <w:bottom w:w="100" w:type="dxa"/>
              <w:left w:w="150" w:type="dxa"/>
              <w:right w:w="150" w:type="dxa"/>
            </w:tcMar>
            <w:shd w:fill="FAFAFA"/>
          </w:tcPr>
          <w:p>
            <w:r/>
            <w:r>
              <w:rPr>
                <w:rFonts w:ascii="Malgun Gothic" w:hAnsi="Malgun Gothic" w:eastAsia="Malgun Gothic"/>
                <w:b/>
                <w:sz w:val="19"/>
              </w:rPr>
              <w:t>3</w:t>
            </w:r>
          </w:p>
        </w:tc>
        <w:tc>
          <w:tcPr>
            <w:tcW w:type="dxa" w:w="2340"/>
            <w:tcMar>
              <w:top w:w="100" w:type="dxa"/>
              <w:bottom w:w="100" w:type="dxa"/>
              <w:left w:w="150" w:type="dxa"/>
              <w:right w:w="150" w:type="dxa"/>
            </w:tcMar>
          </w:tcPr>
          <w:p>
            <w:r/>
            <w:r>
              <w:rPr>
                <w:rFonts w:ascii="Malgun Gothic" w:hAnsi="Malgun Gothic" w:eastAsia="Malgun Gothic"/>
                <w:b/>
                <w:sz w:val="19"/>
              </w:rPr>
              <w:t>비용 통제 및 가드레일 레이어 (FinOps 기술)</w:t>
            </w:r>
          </w:p>
        </w:tc>
        <w:tc>
          <w:tcPr>
            <w:tcW w:type="dxa" w:w="2340"/>
            <w:tcMar>
              <w:top w:w="100" w:type="dxa"/>
              <w:bottom w:w="100" w:type="dxa"/>
              <w:left w:w="150" w:type="dxa"/>
              <w:right w:w="150" w:type="dxa"/>
            </w:tcMar>
          </w:tcPr>
          <w:p>
            <w:r/>
            <w:r>
              <w:rPr>
                <w:rFonts w:ascii="Malgun Gothic" w:hAnsi="Malgun Gothic" w:eastAsia="Malgun Gothic"/>
                <w:sz w:val="19"/>
              </w:rPr>
              <w:t>LiteLLM 프록시를 엔터프라이즈 게이트웨이로 전면에 배치합니다. 이 게이트웨이는 부서/사용자별 가상 API 키를 발급하고, 초당 호출 횟수(RPM) 및 토큰당 비용 제한 정책을 적용하여 예산 초과 시 자동 제어(FinOps 가드레일) 기능을 가동합니다.</w:t>
            </w:r>
          </w:p>
        </w:tc>
        <w:tc>
          <w:tcPr>
            <w:tcW w:type="dxa" w:w="2340"/>
            <w:tcMar>
              <w:top w:w="100" w:type="dxa"/>
              <w:bottom w:w="100" w:type="dxa"/>
              <w:left w:w="150" w:type="dxa"/>
              <w:right w:w="150" w:type="dxa"/>
            </w:tcMar>
          </w:tcPr>
          <w:p>
            <w:r/>
            <w:r>
              <w:rPr>
                <w:rFonts w:ascii="Malgun Gothic" w:hAnsi="Malgun Gothic" w:eastAsia="Malgun Gothic"/>
                <w:sz w:val="19"/>
              </w:rPr>
              <w:t>LiteLLM 프록시를 엔터프라이즈 게이트웨이로 전면에 배치합니다. 이 게이트웨이는 부서/사용자별 가상 API 키를 발급하고, 초당 호출 횟수(RPM) 및 토큰당 비용 제한 정책을 적용하여 예산 초과 시 자동 제어(FinOps 가드레일) 기능을 가동합니다.</w:t>
            </w:r>
          </w:p>
        </w:tc>
      </w:tr>
      <w:tr>
        <w:tc>
          <w:tcPr>
            <w:tcW w:type="dxa" w:w="2340"/>
            <w:tcMar>
              <w:top w:w="100" w:type="dxa"/>
              <w:bottom w:w="100" w:type="dxa"/>
              <w:left w:w="150" w:type="dxa"/>
              <w:right w:w="150" w:type="dxa"/>
            </w:tcMar>
            <w:shd w:fill="FAFAFA"/>
          </w:tcPr>
          <w:p>
            <w:r/>
            <w:r>
              <w:rPr>
                <w:rFonts w:ascii="Malgun Gothic" w:hAnsi="Malgun Gothic" w:eastAsia="Malgun Gothic"/>
                <w:b/>
                <w:sz w:val="19"/>
              </w:rPr>
              <w:t>4</w:t>
            </w:r>
          </w:p>
        </w:tc>
        <w:tc>
          <w:tcPr>
            <w:tcW w:type="dxa" w:w="2340"/>
            <w:tcMar>
              <w:top w:w="100" w:type="dxa"/>
              <w:bottom w:w="100" w:type="dxa"/>
              <w:left w:w="150" w:type="dxa"/>
              <w:right w:w="150" w:type="dxa"/>
            </w:tcMar>
          </w:tcPr>
          <w:p>
            <w:r/>
            <w:r>
              <w:rPr>
                <w:rFonts w:ascii="Malgun Gothic" w:hAnsi="Malgun Gothic" w:eastAsia="Malgun Gothic"/>
                <w:b/>
                <w:sz w:val="19"/>
              </w:rPr>
              <w:t>감사 로그 및 컴플라이언스 모니터링 레이어 (MZC 보증 기술)</w:t>
            </w:r>
          </w:p>
        </w:tc>
        <w:tc>
          <w:tcPr>
            <w:tcW w:type="dxa" w:w="2340"/>
            <w:tcMar>
              <w:top w:w="100" w:type="dxa"/>
              <w:bottom w:w="100" w:type="dxa"/>
              <w:left w:w="150" w:type="dxa"/>
              <w:right w:w="150" w:type="dxa"/>
            </w:tcMar>
          </w:tcPr>
          <w:p>
            <w:r/>
            <w:r>
              <w:rPr>
                <w:rFonts w:ascii="Malgun Gothic" w:hAnsi="Malgun Gothic" w:eastAsia="Malgun Gothic"/>
                <w:sz w:val="19"/>
              </w:rPr>
              <w:t>OpenAI Compliance API(엔드포인트</w:t>
            </w:r>
          </w:p>
        </w:tc>
        <w:tc>
          <w:tcPr>
            <w:tcW w:type="dxa" w:w="2340"/>
            <w:tcMar>
              <w:top w:w="100" w:type="dxa"/>
              <w:bottom w:w="100" w:type="dxa"/>
              <w:left w:w="150" w:type="dxa"/>
              <w:right w:w="150" w:type="dxa"/>
            </w:tcMar>
          </w:tcPr>
          <w:p>
            <w:r/>
            <w:r>
              <w:rPr>
                <w:rFonts w:ascii="Malgun Gothic" w:hAnsi="Malgun Gothic" w:eastAsia="Malgun Gothic"/>
                <w:sz w:val="19"/>
              </w:rPr>
              <w:t>`/v1/compliance/logs`)를 활용하여 실시간 스트리밍 방식으로 질문/답변 및 파일 업로드 원본 로그를 안전하게 수집합니다. 수집된 로그는 OpenTelemetry Collector를 통해 표준 OTel 포맷으로 가공되어 고객사의 SIEM(Splunk, Datadog 등)이나 사내 보안 관제 플랫폼으로 실시간 연동 및 전송됩니다. 추가로 Zscaler 또는 Portal26 보안 프록시를 결합하여 전송 전 단계에서 임직원의 부적절한 파일 업로드 및 프롬프트 DLP(Data Loss Prevention) 규칙을 실시간 인라인(Inline) 제어합니다.</w:t>
            </w:r>
          </w:p>
        </w:tc>
      </w:tr>
      <w:tr>
        <w:tc>
          <w:tcPr>
            <w:tcW w:type="dxa" w:w="2340"/>
            <w:tcMar>
              <w:top w:w="100" w:type="dxa"/>
              <w:bottom w:w="100" w:type="dxa"/>
              <w:left w:w="150" w:type="dxa"/>
              <w:right w:w="150" w:type="dxa"/>
            </w:tcMar>
            <w:shd w:fill="FAFAFA"/>
          </w:tcPr>
          <w:p>
            <w:r/>
            <w:r>
              <w:rPr>
                <w:rFonts w:ascii="Malgun Gothic" w:hAnsi="Malgun Gothic" w:eastAsia="Malgun Gothic"/>
                <w:b/>
                <w:sz w:val="19"/>
              </w:rPr>
              <w:t>5</w:t>
            </w:r>
          </w:p>
        </w:tc>
        <w:tc>
          <w:tcPr>
            <w:tcW w:type="dxa" w:w="2340"/>
            <w:tcMar>
              <w:top w:w="100" w:type="dxa"/>
              <w:bottom w:w="100" w:type="dxa"/>
              <w:left w:w="150" w:type="dxa"/>
              <w:right w:w="150" w:type="dxa"/>
            </w:tcMar>
          </w:tcPr>
          <w:p>
            <w:r/>
            <w:r>
              <w:rPr>
                <w:rFonts w:ascii="Malgun Gothic" w:hAnsi="Malgun Gothic" w:eastAsia="Malgun Gothic"/>
                <w:b/>
                <w:sz w:val="19"/>
              </w:rPr>
              <w:t>프록시 헤더 주입 레이어 (접속 격리 기술)</w:t>
            </w:r>
          </w:p>
        </w:tc>
        <w:tc>
          <w:tcPr>
            <w:tcW w:type="dxa" w:w="2340"/>
            <w:tcMar>
              <w:top w:w="100" w:type="dxa"/>
              <w:bottom w:w="100" w:type="dxa"/>
              <w:left w:w="150" w:type="dxa"/>
              <w:right w:w="150" w:type="dxa"/>
            </w:tcMar>
          </w:tcPr>
          <w:p>
            <w:r/>
            <w:r>
              <w:rPr>
                <w:rFonts w:ascii="Malgun Gothic" w:hAnsi="Malgun Gothic" w:eastAsia="Malgun Gothic"/>
                <w:sz w:val="19"/>
              </w:rPr>
              <w:t>회사의 게이트웨이 방화벽 장비(Zscaler, Palo Alto 등)에 OpenAI 테넌트 제한 규칙을 강제 적용합니다. 사용자가 OpenAI 서버로 트래픽을 보낼 때 HTTP 헤더에 `X-OpenAI-Allowed-Tenants</w:t>
            </w:r>
          </w:p>
        </w:tc>
        <w:tc>
          <w:tcPr>
            <w:tcW w:type="dxa" w:w="2340"/>
            <w:tcMar>
              <w:top w:w="100" w:type="dxa"/>
              <w:bottom w:w="100" w:type="dxa"/>
              <w:left w:w="150" w:type="dxa"/>
              <w:right w:w="150" w:type="dxa"/>
            </w:tcMar>
          </w:tcPr>
          <w:p>
            <w:r/>
            <w:r>
              <w:rPr>
                <w:rFonts w:ascii="Malgun Gothic" w:hAnsi="Malgun Gothic" w:eastAsia="Malgun Gothic"/>
                <w:sz w:val="19"/>
              </w:rPr>
              <w:t>&lt;회사_전용_테넌트_ID&gt;` 필드를 강제로 주입함으로써, 개인용 ChatGPT 계정으로의 로그인을 물리적으로 완전 차단하고 오직 회사의 관리 하에 있는 기업용 테넌트로만 접속을 제한합니다.</w:t>
            </w:r>
          </w:p>
        </w:tc>
      </w:tr>
      <w:tr>
        <w:tc>
          <w:tcPr>
            <w:tcW w:type="dxa" w:w="2340"/>
            <w:tcMar>
              <w:top w:w="100" w:type="dxa"/>
              <w:bottom w:w="100" w:type="dxa"/>
              <w:left w:w="150" w:type="dxa"/>
              <w:right w:w="150" w:type="dxa"/>
            </w:tcMar>
            <w:shd w:fill="FAFAFA"/>
          </w:tcPr>
          <w:p>
            <w:r/>
            <w:r>
              <w:rPr>
                <w:rFonts w:ascii="Malgun Gothic" w:hAnsi="Malgun Gothic" w:eastAsia="Malgun Gothic"/>
                <w:b/>
                <w:sz w:val="19"/>
              </w:rPr>
              <w:t>6</w:t>
            </w:r>
          </w:p>
        </w:tc>
        <w:tc>
          <w:tcPr>
            <w:tcW w:type="dxa" w:w="2340"/>
            <w:tcMar>
              <w:top w:w="100" w:type="dxa"/>
              <w:bottom w:w="100" w:type="dxa"/>
              <w:left w:w="150" w:type="dxa"/>
              <w:right w:w="150" w:type="dxa"/>
            </w:tcMar>
          </w:tcPr>
          <w:p>
            <w:r/>
            <w:r>
              <w:rPr>
                <w:rFonts w:ascii="Malgun Gothic" w:hAnsi="Malgun Gothic" w:eastAsia="Malgun Gothic"/>
                <w:b/>
                <w:sz w:val="19"/>
              </w:rPr>
              <w:t>사용자 라이센스 및 공유 크레딧 제어 레이어 (비용 분배 기술)</w:t>
            </w:r>
          </w:p>
        </w:tc>
        <w:tc>
          <w:tcPr>
            <w:tcW w:type="dxa" w:w="2340"/>
            <w:tcMar>
              <w:top w:w="100" w:type="dxa"/>
              <w:bottom w:w="100" w:type="dxa"/>
              <w:left w:w="150" w:type="dxa"/>
              <w:right w:w="150" w:type="dxa"/>
            </w:tcMar>
          </w:tcPr>
          <w:p>
            <w:r/>
            <w:r>
              <w:rPr>
                <w:rFonts w:ascii="Malgun Gothic" w:hAnsi="Malgun Gothic" w:eastAsia="Malgun Gothic"/>
                <w:sz w:val="19"/>
              </w:rPr>
              <w:t xml:space="preserve">ChatGPT Enterprise는 사용자 역할에 맞춰 `표준 ChatGPT 시트`와 `Codex 전용 시트(코딩 특화)`를 분류 지정하여 권한을 배분합니다. (Codex 전용 시트는 ChatGPT Edu 플랜에서는 사용 불가능하며 Enterprise에서만 제공됩니다.) 또한 개별 과금이 아닌 전사 계약 레벨에서 부여되는 </w:t>
            </w:r>
            <w:r>
              <w:rPr>
                <w:rFonts w:ascii="Malgun Gothic" w:hAnsi="Malgun Gothic" w:eastAsia="Malgun Gothic"/>
                <w:b/>
                <w:sz w:val="19"/>
              </w:rPr>
              <w:t>공유 크레딧 풀(Shared Credit Pool)</w:t>
            </w:r>
            <w:r>
              <w:rPr>
                <w:rFonts w:ascii="Malgun Gothic" w:hAnsi="Malgun Gothic" w:eastAsia="Malgun Gothic"/>
                <w:sz w:val="19"/>
              </w:rPr>
              <w:t>을 소모하므로, 관리 콘솔을 통해 부서별 크레딧 쿼터를 제한하고 고성능 모델 사용 가이드를 강제하여 비용 거버넌스를 유지합니다.</w:t>
            </w:r>
          </w:p>
        </w:tc>
        <w:tc>
          <w:tcPr>
            <w:tcW w:type="dxa" w:w="2340"/>
            <w:tcMar>
              <w:top w:w="100" w:type="dxa"/>
              <w:bottom w:w="100" w:type="dxa"/>
              <w:left w:w="150" w:type="dxa"/>
              <w:right w:w="150" w:type="dxa"/>
            </w:tcMar>
          </w:tcPr>
          <w:p>
            <w:r/>
            <w:r>
              <w:rPr>
                <w:rFonts w:ascii="Malgun Gothic" w:hAnsi="Malgun Gothic" w:eastAsia="Malgun Gothic"/>
                <w:sz w:val="19"/>
              </w:rPr>
              <w:t xml:space="preserve">ChatGPT Enterprise는 사용자 역할에 맞춰 `표준 ChatGPT 시트`와 `Codex 전용 시트(코딩 특화)`를 분류 지정하여 권한을 배분합니다. (Codex 전용 시트는 ChatGPT Edu 플랜에서는 사용 불가능하며 Enterprise에서만 제공됩니다.) 또한 개별 과금이 아닌 전사 계약 레벨에서 부여되는 </w:t>
            </w:r>
            <w:r>
              <w:rPr>
                <w:rFonts w:ascii="Malgun Gothic" w:hAnsi="Malgun Gothic" w:eastAsia="Malgun Gothic"/>
                <w:b/>
                <w:sz w:val="19"/>
              </w:rPr>
              <w:t>공유 크레딧 풀(Shared Credit Pool)</w:t>
            </w:r>
            <w:r>
              <w:rPr>
                <w:rFonts w:ascii="Malgun Gothic" w:hAnsi="Malgun Gothic" w:eastAsia="Malgun Gothic"/>
                <w:sz w:val="19"/>
              </w:rPr>
              <w:t>을 소모하므로, 관리 콘솔을 통해 부서별 크레딧 쿼터를 제한하고 고성능 모델 사용 가이드를 강제하여 비용 거버넌스를 유지합니다.</w:t>
            </w:r>
          </w:p>
        </w:tc>
      </w:tr>
    </w:tbl>
    <w:p>
      <w:pPr>
        <w:spacing w:after="160"/>
      </w:pPr>
    </w:p>
    <w:tbl>
      <w:tblPr>
        <w:tblW w:type="auto" w:w="0"/>
        <w:jc w:val="center"/>
        <w:tblLook w:firstColumn="1" w:firstRow="1" w:lastColumn="0" w:lastRow="0" w:noHBand="0" w:noVBand="1" w:val="04A0"/>
      </w:tblPr>
      <w:tblGrid>
        <w:gridCol w:w="9360"/>
      </w:tblGrid>
      <w:tr>
        <w:tc>
          <w:tcPr>
            <w:tcW w:type="dxa" w:w="9360"/>
            <w:shd w:fill="F9F5FF"/>
            <w:tcMar>
              <w:top w:w="120" w:type="dxa"/>
              <w:bottom w:w="120" w:type="dxa"/>
              <w:left w:w="180" w:type="dxa"/>
              <w:right w:w="180" w:type="dxa"/>
            </w:tcMar>
            <w:tcBorders>
              <w:top w:val="single" w:sz="6" w:color="E2D9F3"/>
              <w:left w:val="single" w:sz="12" w:color="9E77ED"/>
              <w:bottom w:val="single" w:sz="6" w:color="E2D9F3"/>
              <w:right w:val="single" w:sz="6" w:color="E2D9F3"/>
            </w:tcBorders>
          </w:tcPr>
          <w:p>
            <w:r>
              <w:rPr>
                <w:rFonts w:ascii="Malgun Gothic" w:hAnsi="Malgun Gothic" w:eastAsia="Malgun Gothic"/>
                <w:b/>
                <w:color w:val="9E77ED"/>
                <w:sz w:val="20"/>
              </w:rPr>
              <w:t>💡 MZC Value Add (Hidden 기술 거버넌스)</w:t>
              <w:br/>
            </w:r>
            <w:r>
              <w:rPr>
                <w:rFonts w:ascii="Malgun Gothic" w:hAnsi="Malgun Gothic" w:eastAsia="Malgun Gothic"/>
                <w:sz w:val="19"/>
              </w:rPr>
              <w:t>UI 외부에서 기업용 보안 무결성을 보장하기 위해 Identity 계층에서 백단으로 구동되는 기술 구조입니다. **자동 계정 흡수 (Automatic Account Creation - AAC)**: SCIM 연동 지연 상태에서 사용자가 사내 이메일 도메인으로 최초 로그인을 시도할 때, MZC가 설계한 AAC 라우팅에 의해 사내 관리 테넌트로 자동 흡수(Auto-ingestion)하여 개인 계정을 통한 기밀 유출(그림자 IT)을 사전에 원천 차단합니다. **SCIM 디프로비저닝 (Automated Deprovisioning)**: 사내 인사 정보 시스템에서 직원의 퇴사 또는 직무 변경 처리 시, SCIM API를 통해 즉각적으로 ChatGPT 세션 토큰을 만료시키고 계정을 비활성화하여 사내 지식 자산에 대한 접근 권한을 실시간 즉시 차단합니다. **이중 IdP 관리 백업**: SAML 연동 장애 발생 시 관리자가 워크스페이스에 진입할 수 있도록 2개의 독립된 관리자 계정에 대해 안전한 SSO 예외 처리 거버넌스를 설계합니다.</w:t>
            </w:r>
          </w:p>
        </w:tc>
      </w:tr>
    </w:tbl>
    <w:p>
      <w:pPr>
        <w:spacing w:after="240"/>
      </w:pPr>
    </w:p>
    <w:p>
      <w:pPr>
        <w:pStyle w:val="Heading2"/>
      </w:pPr>
      <w:r>
        <w:t>5)  유즈케이스 및 도입 시나리오</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shd w:fill="F2F2F2"/>
            <w:tcMar>
              <w:top w:w="120" w:type="dxa"/>
              <w:bottom w:w="120" w:type="dxa"/>
              <w:left w:w="150" w:type="dxa"/>
              <w:right w:w="150" w:type="dxa"/>
            </w:tcMar>
          </w:tcPr>
          <w:p>
            <w:r/>
            <w:r>
              <w:rPr>
                <w:rFonts w:ascii="Malgun Gothic" w:hAnsi="Malgun Gothic" w:eastAsia="Malgun Gothic"/>
                <w:b/>
                <w:sz w:val="19"/>
              </w:rPr>
              <w:t>#</w:t>
            </w:r>
          </w:p>
        </w:tc>
        <w:tc>
          <w:tcPr>
            <w:tcW w:type="dxa" w:w="1560"/>
            <w:shd w:fill="F2F2F2"/>
            <w:tcMar>
              <w:top w:w="120" w:type="dxa"/>
              <w:bottom w:w="120" w:type="dxa"/>
              <w:left w:w="150" w:type="dxa"/>
              <w:right w:w="150" w:type="dxa"/>
            </w:tcMar>
          </w:tcPr>
          <w:p>
            <w:r/>
            <w:r>
              <w:rPr>
                <w:rFonts w:ascii="Malgun Gothic" w:hAnsi="Malgun Gothic" w:eastAsia="Malgun Gothic"/>
                <w:b/>
                <w:sz w:val="19"/>
              </w:rPr>
              <w:t>유즈케이스명</w:t>
            </w:r>
          </w:p>
        </w:tc>
        <w:tc>
          <w:tcPr>
            <w:tcW w:type="dxa" w:w="1560"/>
            <w:shd w:fill="F2F2F2"/>
            <w:tcMar>
              <w:top w:w="120" w:type="dxa"/>
              <w:bottom w:w="120" w:type="dxa"/>
              <w:left w:w="150" w:type="dxa"/>
              <w:right w:w="150" w:type="dxa"/>
            </w:tcMar>
          </w:tcPr>
          <w:p>
            <w:r/>
            <w:r>
              <w:rPr>
                <w:rFonts w:ascii="Malgun Gothic" w:hAnsi="Malgun Gothic" w:eastAsia="Malgun Gothic"/>
                <w:b/>
                <w:sz w:val="19"/>
              </w:rPr>
              <w:t>대상 부서</w:t>
            </w:r>
          </w:p>
        </w:tc>
        <w:tc>
          <w:tcPr>
            <w:tcW w:type="dxa" w:w="1560"/>
            <w:shd w:fill="F2F2F2"/>
            <w:tcMar>
              <w:top w:w="120" w:type="dxa"/>
              <w:bottom w:w="120" w:type="dxa"/>
              <w:left w:w="150" w:type="dxa"/>
              <w:right w:w="150" w:type="dxa"/>
            </w:tcMar>
          </w:tcPr>
          <w:p>
            <w:r/>
            <w:r>
              <w:rPr>
                <w:rFonts w:ascii="Malgun Gothic" w:hAnsi="Malgun Gothic" w:eastAsia="Malgun Gothic"/>
                <w:b/>
                <w:sz w:val="19"/>
              </w:rPr>
              <w:t>기대 효과</w:t>
            </w:r>
          </w:p>
        </w:tc>
        <w:tc>
          <w:tcPr>
            <w:tcW w:type="dxa" w:w="1560"/>
            <w:shd w:fill="F2F2F2"/>
            <w:tcMar>
              <w:top w:w="120" w:type="dxa"/>
              <w:bottom w:w="120" w:type="dxa"/>
              <w:left w:w="150" w:type="dxa"/>
              <w:right w:w="150" w:type="dxa"/>
            </w:tcMar>
          </w:tcPr>
          <w:p>
            <w:r/>
            <w:r>
              <w:rPr>
                <w:rFonts w:ascii="Malgun Gothic" w:hAnsi="Malgun Gothic" w:eastAsia="Malgun Gothic"/>
                <w:b/>
                <w:sz w:val="19"/>
              </w:rPr>
              <w:t>난이도</w:t>
            </w:r>
          </w:p>
        </w:tc>
        <w:tc>
          <w:tcPr>
            <w:tcW w:type="dxa" w:w="1560"/>
            <w:shd w:fill="F2F2F2"/>
            <w:tcMar>
              <w:top w:w="120" w:type="dxa"/>
              <w:bottom w:w="120" w:type="dxa"/>
              <w:left w:w="150" w:type="dxa"/>
              <w:right w:w="150" w:type="dxa"/>
            </w:tcMar>
          </w:tcPr>
          <w:p>
            <w:r/>
            <w:r>
              <w:rPr>
                <w:rFonts w:ascii="Malgun Gothic" w:hAnsi="Malgun Gothic" w:eastAsia="Malgun Gothic"/>
                <w:b/>
                <w:sz w:val="19"/>
              </w:rPr>
              <w:t>MZC 제공 서비스</w:t>
            </w:r>
          </w:p>
        </w:tc>
      </w:tr>
      <w:tr>
        <w:tc>
          <w:tcPr>
            <w:tcW w:type="dxa" w:w="1560"/>
            <w:tcMar>
              <w:top w:w="100" w:type="dxa"/>
              <w:bottom w:w="100" w:type="dxa"/>
              <w:left w:w="150" w:type="dxa"/>
              <w:right w:w="150" w:type="dxa"/>
            </w:tcMar>
            <w:shd w:fill="FAFAFA"/>
          </w:tcPr>
          <w:p>
            <w:r/>
            <w:r>
              <w:rPr>
                <w:rFonts w:ascii="Malgun Gothic" w:hAnsi="Malgun Gothic" w:eastAsia="Malgun Gothic"/>
                <w:b/>
                <w:sz w:val="18"/>
              </w:rPr>
              <w:t>UC1</w:t>
            </w:r>
          </w:p>
        </w:tc>
        <w:tc>
          <w:tcPr>
            <w:tcW w:type="dxa" w:w="1560"/>
            <w:tcMar>
              <w:top w:w="100" w:type="dxa"/>
              <w:bottom w:w="100" w:type="dxa"/>
              <w:left w:w="150" w:type="dxa"/>
              <w:right w:w="150" w:type="dxa"/>
            </w:tcMar>
          </w:tcPr>
          <w:p>
            <w:r/>
            <w:r>
              <w:rPr>
                <w:rFonts w:ascii="Malgun Gothic" w:hAnsi="Malgun Gothic" w:eastAsia="Malgun Gothic"/>
                <w:sz w:val="18"/>
              </w:rPr>
              <w:t>일반적인 사람들의 대화 (전사 사무 및 지식 검색)</w:t>
            </w:r>
          </w:p>
        </w:tc>
        <w:tc>
          <w:tcPr>
            <w:tcW w:type="dxa" w:w="1560"/>
            <w:tcMar>
              <w:top w:w="100" w:type="dxa"/>
              <w:bottom w:w="100" w:type="dxa"/>
              <w:left w:w="150" w:type="dxa"/>
              <w:right w:w="150" w:type="dxa"/>
            </w:tcMar>
          </w:tcPr>
          <w:p>
            <w:r/>
            <w:r>
              <w:rPr>
                <w:rFonts w:ascii="Malgun Gothic" w:hAnsi="Malgun Gothic" w:eastAsia="Malgun Gothic"/>
                <w:sz w:val="18"/>
              </w:rPr>
              <w:t>전사 / IT</w:t>
            </w:r>
          </w:p>
        </w:tc>
        <w:tc>
          <w:tcPr>
            <w:tcW w:type="dxa" w:w="1560"/>
            <w:tcMar>
              <w:top w:w="100" w:type="dxa"/>
              <w:bottom w:w="100" w:type="dxa"/>
              <w:left w:w="150" w:type="dxa"/>
              <w:right w:w="150" w:type="dxa"/>
            </w:tcMar>
          </w:tcPr>
          <w:p>
            <w:r/>
            <w:r>
              <w:rPr>
                <w:rFonts w:ascii="Malgun Gothic" w:hAnsi="Malgun Gothic" w:eastAsia="Malgun Gothic"/>
                <w:sz w:val="18"/>
              </w:rPr>
              <w:t>전사 임직원의 지식 자산 활용도를 극대화하고 단순 반복 문서 업무 효율을 비약적으로 높임</w:t>
            </w:r>
          </w:p>
        </w:tc>
        <w:tc>
          <w:tcPr>
            <w:tcW w:type="dxa" w:w="1560"/>
            <w:tcMar>
              <w:top w:w="100" w:type="dxa"/>
              <w:bottom w:w="100" w:type="dxa"/>
              <w:left w:w="150" w:type="dxa"/>
              <w:right w:w="150" w:type="dxa"/>
            </w:tcMar>
          </w:tcPr>
          <w:p>
            <w:r/>
            <w:r>
              <w:rPr>
                <w:rFonts w:ascii="Malgun Gothic" w:hAnsi="Malgun Gothic" w:eastAsia="Malgun Gothic"/>
                <w:sz w:val="18"/>
              </w:rPr>
              <w:t>★★☆</w:t>
            </w:r>
          </w:p>
        </w:tc>
        <w:tc>
          <w:tcPr>
            <w:tcW w:type="dxa" w:w="1560"/>
            <w:tcMar>
              <w:top w:w="100" w:type="dxa"/>
              <w:bottom w:w="100" w:type="dxa"/>
              <w:left w:w="150" w:type="dxa"/>
              <w:right w:w="150" w:type="dxa"/>
            </w:tcMar>
          </w:tcPr>
          <w:p>
            <w:r/>
            <w:r>
              <w:rPr>
                <w:rFonts w:ascii="Malgun Gothic" w:hAnsi="Malgun Gothic" w:eastAsia="Malgun Gothic"/>
                <w:sz w:val="18"/>
              </w:rPr>
              <w:t>RAG 연동을 위한 벡터 데이터베이스 설계 및 전사 프롬프트 템플릿 표준 가이드라인 배포</w:t>
            </w:r>
          </w:p>
        </w:tc>
      </w:tr>
      <w:tr>
        <w:tc>
          <w:tcPr>
            <w:tcW w:type="dxa" w:w="1560"/>
            <w:tcMar>
              <w:top w:w="100" w:type="dxa"/>
              <w:bottom w:w="100" w:type="dxa"/>
              <w:left w:w="150" w:type="dxa"/>
              <w:right w:w="150" w:type="dxa"/>
            </w:tcMar>
            <w:shd w:fill="FAFAFA"/>
          </w:tcPr>
          <w:p>
            <w:r/>
            <w:r>
              <w:rPr>
                <w:rFonts w:ascii="Malgun Gothic" w:hAnsi="Malgun Gothic" w:eastAsia="Malgun Gothic"/>
                <w:b/>
                <w:sz w:val="18"/>
              </w:rPr>
              <w:t>UC2</w:t>
            </w:r>
          </w:p>
        </w:tc>
        <w:tc>
          <w:tcPr>
            <w:tcW w:type="dxa" w:w="1560"/>
            <w:tcMar>
              <w:top w:w="100" w:type="dxa"/>
              <w:bottom w:w="100" w:type="dxa"/>
              <w:left w:w="150" w:type="dxa"/>
              <w:right w:w="150" w:type="dxa"/>
            </w:tcMar>
          </w:tcPr>
          <w:p>
            <w:r/>
            <w:r>
              <w:rPr>
                <w:rFonts w:ascii="Malgun Gothic" w:hAnsi="Malgun Gothic" w:eastAsia="Malgun Gothic"/>
                <w:sz w:val="18"/>
              </w:rPr>
              <w:t>개발적인 영역 (IT 개발 생산성 및 감사 자동화)</w:t>
            </w:r>
          </w:p>
        </w:tc>
        <w:tc>
          <w:tcPr>
            <w:tcW w:type="dxa" w:w="1560"/>
            <w:tcMar>
              <w:top w:w="100" w:type="dxa"/>
              <w:bottom w:w="100" w:type="dxa"/>
              <w:left w:w="150" w:type="dxa"/>
              <w:right w:w="150" w:type="dxa"/>
            </w:tcMar>
          </w:tcPr>
          <w:p>
            <w:r/>
            <w:r>
              <w:rPr>
                <w:rFonts w:ascii="Malgun Gothic" w:hAnsi="Malgun Gothic" w:eastAsia="Malgun Gothic"/>
                <w:sz w:val="18"/>
              </w:rPr>
              <w:t>전사 / IT</w:t>
            </w:r>
          </w:p>
        </w:tc>
        <w:tc>
          <w:tcPr>
            <w:tcW w:type="dxa" w:w="1560"/>
            <w:tcMar>
              <w:top w:w="100" w:type="dxa"/>
              <w:bottom w:w="100" w:type="dxa"/>
              <w:left w:w="150" w:type="dxa"/>
              <w:right w:w="150" w:type="dxa"/>
            </w:tcMar>
          </w:tcPr>
          <w:p>
            <w:r/>
            <w:r>
              <w:rPr>
                <w:rFonts w:ascii="Malgun Gothic" w:hAnsi="Malgun Gothic" w:eastAsia="Malgun Gothic"/>
                <w:sz w:val="18"/>
              </w:rPr>
              <w:t>사내 개발 인력의 코드 구현 속도를 가속화하고, 보안 컴플라이언스 모니터링 파이프라인 구축 비용 최소화</w:t>
            </w:r>
          </w:p>
        </w:tc>
        <w:tc>
          <w:tcPr>
            <w:tcW w:type="dxa" w:w="1560"/>
            <w:tcMar>
              <w:top w:w="100" w:type="dxa"/>
              <w:bottom w:w="100" w:type="dxa"/>
              <w:left w:w="150" w:type="dxa"/>
              <w:right w:w="150" w:type="dxa"/>
            </w:tcMar>
          </w:tcPr>
          <w:p>
            <w:r/>
            <w:r>
              <w:rPr>
                <w:rFonts w:ascii="Malgun Gothic" w:hAnsi="Malgun Gothic" w:eastAsia="Malgun Gothic"/>
                <w:sz w:val="18"/>
              </w:rPr>
              <w:t>★★☆</w:t>
            </w:r>
          </w:p>
        </w:tc>
        <w:tc>
          <w:tcPr>
            <w:tcW w:type="dxa" w:w="1560"/>
            <w:tcMar>
              <w:top w:w="100" w:type="dxa"/>
              <w:bottom w:w="100" w:type="dxa"/>
              <w:left w:w="150" w:type="dxa"/>
              <w:right w:w="150" w:type="dxa"/>
            </w:tcMar>
          </w:tcPr>
          <w:p>
            <w:r/>
            <w:r>
              <w:rPr>
                <w:rFonts w:ascii="Malgun Gothic" w:hAnsi="Malgun Gothic" w:eastAsia="Malgun Gothic"/>
                <w:sz w:val="18"/>
              </w:rPr>
              <w:t>OpenTelemetry 감사 로그 연동 기술 지원 및 사내 프록시 장비 테넌트 헤더 주입 설정 기술 가이드 지원 (MZC 보안 가드레일 패키지: 3,000만~5,000만 원)</w:t>
            </w:r>
          </w:p>
        </w:tc>
      </w:tr>
      <w:tr>
        <w:tc>
          <w:tcPr>
            <w:tcW w:type="dxa" w:w="1560"/>
            <w:tcMar>
              <w:top w:w="100" w:type="dxa"/>
              <w:bottom w:w="100" w:type="dxa"/>
              <w:left w:w="150" w:type="dxa"/>
              <w:right w:w="150" w:type="dxa"/>
            </w:tcMar>
            <w:shd w:fill="FAFAFA"/>
          </w:tcPr>
          <w:p>
            <w:r/>
            <w:r>
              <w:rPr>
                <w:rFonts w:ascii="Malgun Gothic" w:hAnsi="Malgun Gothic" w:eastAsia="Malgun Gothic"/>
                <w:b/>
                <w:sz w:val="18"/>
              </w:rPr>
              <w:t>UC3</w:t>
            </w:r>
          </w:p>
        </w:tc>
        <w:tc>
          <w:tcPr>
            <w:tcW w:type="dxa" w:w="1560"/>
            <w:tcMar>
              <w:top w:w="100" w:type="dxa"/>
              <w:bottom w:w="100" w:type="dxa"/>
              <w:left w:w="150" w:type="dxa"/>
              <w:right w:w="150" w:type="dxa"/>
            </w:tcMar>
          </w:tcPr>
          <w:p>
            <w:r/>
            <w:r>
              <w:rPr>
                <w:rFonts w:ascii="Malgun Gothic" w:hAnsi="Malgun Gothic" w:eastAsia="Malgun Gothic"/>
                <w:sz w:val="18"/>
              </w:rPr>
              <w:t>비즈니스적인 영역 (시장 분석 및 전략 의사결정 지원)</w:t>
            </w:r>
          </w:p>
        </w:tc>
        <w:tc>
          <w:tcPr>
            <w:tcW w:type="dxa" w:w="1560"/>
            <w:tcMar>
              <w:top w:w="100" w:type="dxa"/>
              <w:bottom w:w="100" w:type="dxa"/>
              <w:left w:w="150" w:type="dxa"/>
              <w:right w:w="150" w:type="dxa"/>
            </w:tcMar>
          </w:tcPr>
          <w:p>
            <w:r/>
            <w:r>
              <w:rPr>
                <w:rFonts w:ascii="Malgun Gothic" w:hAnsi="Malgun Gothic" w:eastAsia="Malgun Gothic"/>
                <w:sz w:val="18"/>
              </w:rPr>
              <w:t>MZC 역할: 부서 맞춤형 의사결정 AI 프롬프트 엔지니어링 제공 및 전략 부서 대상 커스텀 GPTs 빌드 워크숍 진행 (워크숍 및 변화관리 교육 패키지: 회당 1,000만 원)</w:t>
            </w:r>
          </w:p>
        </w:tc>
        <w:tc>
          <w:tcPr>
            <w:tcW w:type="dxa" w:w="1560"/>
            <w:tcMar>
              <w:top w:w="100" w:type="dxa"/>
              <w:bottom w:w="100" w:type="dxa"/>
              <w:left w:w="150" w:type="dxa"/>
              <w:right w:w="150" w:type="dxa"/>
            </w:tcMar>
          </w:tcPr>
          <w:p>
            <w:r/>
            <w:r>
              <w:rPr>
                <w:rFonts w:ascii="Malgun Gothic" w:hAnsi="Malgun Gothic" w:eastAsia="Malgun Gothic"/>
                <w:sz w:val="18"/>
              </w:rPr>
              <w:t>고급 추론 최적화 모델(GPT-5.5/5.6)을 통해 비정형 트렌드 데이터로부터 깊이 있는 전략적 시사점 도출</w:t>
            </w:r>
          </w:p>
        </w:tc>
        <w:tc>
          <w:tcPr>
            <w:tcW w:type="dxa" w:w="1560"/>
            <w:tcMar>
              <w:top w:w="100" w:type="dxa"/>
              <w:bottom w:w="100" w:type="dxa"/>
              <w:left w:w="150" w:type="dxa"/>
              <w:right w:w="150" w:type="dxa"/>
            </w:tcMar>
          </w:tcPr>
          <w:p>
            <w:r/>
            <w:r>
              <w:rPr>
                <w:rFonts w:ascii="Malgun Gothic" w:hAnsi="Malgun Gothic" w:eastAsia="Malgun Gothic"/>
                <w:sz w:val="18"/>
              </w:rPr>
              <w:t>★★☆</w:t>
            </w:r>
          </w:p>
        </w:tc>
        <w:tc>
          <w:tcPr>
            <w:tcW w:type="dxa" w:w="1560"/>
            <w:tcMar>
              <w:top w:w="100" w:type="dxa"/>
              <w:bottom w:w="100" w:type="dxa"/>
              <w:left w:w="150" w:type="dxa"/>
              <w:right w:w="150" w:type="dxa"/>
            </w:tcMar>
          </w:tcPr>
          <w:p>
            <w:r/>
            <w:r>
              <w:rPr>
                <w:rFonts w:ascii="Malgun Gothic" w:hAnsi="Malgun Gothic" w:eastAsia="Malgun Gothic"/>
                <w:sz w:val="18"/>
              </w:rPr>
            </w:r>
          </w:p>
        </w:tc>
      </w:tr>
    </w:tbl>
    <w:p>
      <w:pPr>
        <w:spacing w:after="160"/>
      </w:pPr>
    </w:p>
    <w:p>
      <w:pPr>
        <w:spacing w:after="80"/>
      </w:pPr>
      <w:r>
        <w:rPr>
          <w:rFonts w:ascii="Malgun Gothic" w:hAnsi="Malgun Gothic" w:eastAsia="Malgun Gothic"/>
          <w:b/>
        </w:rPr>
        <w:t>▶ 단계별 도입 로드맵 (표준 12주)</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F2F2F2"/>
            <w:tcMar>
              <w:top w:w="120" w:type="dxa"/>
              <w:bottom w:w="120" w:type="dxa"/>
              <w:left w:w="150" w:type="dxa"/>
              <w:right w:w="150" w:type="dxa"/>
            </w:tcMar>
          </w:tcPr>
          <w:p>
            <w:r/>
            <w:r>
              <w:rPr>
                <w:rFonts w:ascii="Malgun Gothic" w:hAnsi="Malgun Gothic" w:eastAsia="Malgun Gothic"/>
                <w:b/>
                <w:sz w:val="19"/>
              </w:rPr>
              <w:t>Phase</w:t>
            </w:r>
          </w:p>
        </w:tc>
        <w:tc>
          <w:tcPr>
            <w:tcW w:type="dxa" w:w="2340"/>
            <w:shd w:fill="F2F2F2"/>
            <w:tcMar>
              <w:top w:w="120" w:type="dxa"/>
              <w:bottom w:w="120" w:type="dxa"/>
              <w:left w:w="150" w:type="dxa"/>
              <w:right w:w="150" w:type="dxa"/>
            </w:tcMar>
          </w:tcPr>
          <w:p>
            <w:r/>
            <w:r>
              <w:rPr>
                <w:rFonts w:ascii="Malgun Gothic" w:hAnsi="Malgun Gothic" w:eastAsia="Malgun Gothic"/>
                <w:b/>
                <w:sz w:val="19"/>
              </w:rPr>
              <w:t>기간</w:t>
            </w:r>
          </w:p>
        </w:tc>
        <w:tc>
          <w:tcPr>
            <w:tcW w:type="dxa" w:w="2340"/>
            <w:shd w:fill="F2F2F2"/>
            <w:tcMar>
              <w:top w:w="120" w:type="dxa"/>
              <w:bottom w:w="120" w:type="dxa"/>
              <w:left w:w="150" w:type="dxa"/>
              <w:right w:w="150" w:type="dxa"/>
            </w:tcMar>
          </w:tcPr>
          <w:p>
            <w:r/>
            <w:r>
              <w:rPr>
                <w:rFonts w:ascii="Malgun Gothic" w:hAnsi="Malgun Gothic" w:eastAsia="Malgun Gothic"/>
                <w:b/>
                <w:sz w:val="19"/>
              </w:rPr>
              <w:t>주요 활동</w:t>
            </w:r>
          </w:p>
        </w:tc>
        <w:tc>
          <w:tcPr>
            <w:tcW w:type="dxa" w:w="2340"/>
            <w:shd w:fill="F2F2F2"/>
            <w:tcMar>
              <w:top w:w="120" w:type="dxa"/>
              <w:bottom w:w="120" w:type="dxa"/>
              <w:left w:w="150" w:type="dxa"/>
              <w:right w:w="150" w:type="dxa"/>
            </w:tcMar>
          </w:tcPr>
          <w:p>
            <w:r/>
            <w:r>
              <w:rPr>
                <w:rFonts w:ascii="Malgun Gothic" w:hAnsi="Malgun Gothic" w:eastAsia="Malgun Gothic"/>
                <w:b/>
                <w:sz w:val="19"/>
              </w:rPr>
              <w:t>산출물</w:t>
            </w:r>
          </w:p>
        </w:tc>
      </w:tr>
      <w:tr>
        <w:tc>
          <w:tcPr>
            <w:tcW w:type="dxa" w:w="2340"/>
            <w:tcMar>
              <w:top w:w="100" w:type="dxa"/>
              <w:bottom w:w="100" w:type="dxa"/>
              <w:left w:w="150" w:type="dxa"/>
              <w:right w:w="150" w:type="dxa"/>
            </w:tcMar>
            <w:shd w:fill="FAFAFA"/>
          </w:tcPr>
          <w:p>
            <w:r/>
            <w:r>
              <w:rPr>
                <w:rFonts w:ascii="Malgun Gothic" w:hAnsi="Malgun Gothic" w:eastAsia="Malgun Gothic"/>
                <w:b/>
                <w:sz w:val="18"/>
              </w:rPr>
              <w:t>Phase 1. 현황 진단 및 로그</w:t>
            </w:r>
          </w:p>
        </w:tc>
        <w:tc>
          <w:tcPr>
            <w:tcW w:type="dxa" w:w="2340"/>
            <w:tcMar>
              <w:top w:w="100" w:type="dxa"/>
              <w:bottom w:w="100" w:type="dxa"/>
              <w:left w:w="150" w:type="dxa"/>
              <w:right w:w="150" w:type="dxa"/>
            </w:tcMar>
          </w:tcPr>
          <w:p>
            <w:r/>
            <w:r>
              <w:rPr>
                <w:rFonts w:ascii="Malgun Gothic" w:hAnsi="Malgun Gothic" w:eastAsia="Malgun Gothic"/>
                <w:sz w:val="18"/>
              </w:rPr>
              <w:t>2주</w:t>
            </w:r>
          </w:p>
        </w:tc>
        <w:tc>
          <w:tcPr>
            <w:tcW w:type="dxa" w:w="2340"/>
            <w:tcMar>
              <w:top w:w="100" w:type="dxa"/>
              <w:bottom w:w="100" w:type="dxa"/>
              <w:left w:w="150" w:type="dxa"/>
              <w:right w:w="150" w:type="dxa"/>
            </w:tcMar>
          </w:tcPr>
          <w:p>
            <w:r/>
            <w:r>
              <w:rPr>
                <w:rFonts w:ascii="Malgun Gothic" w:hAnsi="Malgun Gothic" w:eastAsia="Malgun Gothic"/>
                <w:sz w:val="18"/>
              </w:rPr>
              <w:t>현황 진단 및 로그 인프라 조사</w:t>
            </w:r>
          </w:p>
        </w:tc>
        <w:tc>
          <w:tcPr>
            <w:tcW w:type="dxa" w:w="2340"/>
            <w:tcMar>
              <w:top w:w="100" w:type="dxa"/>
              <w:bottom w:w="100" w:type="dxa"/>
              <w:left w:w="150" w:type="dxa"/>
              <w:right w:w="150" w:type="dxa"/>
            </w:tcMar>
          </w:tcPr>
          <w:p>
            <w:r/>
            <w:r>
              <w:rPr>
                <w:rFonts w:ascii="Malgun Gothic" w:hAnsi="Malgun Gothic" w:eastAsia="Malgun Gothic"/>
                <w:sz w:val="18"/>
              </w:rPr>
              <w:t>PoC 결과 / 리포트</w:t>
            </w:r>
          </w:p>
        </w:tc>
      </w:tr>
      <w:tr>
        <w:tc>
          <w:tcPr>
            <w:tcW w:type="dxa" w:w="2340"/>
            <w:tcMar>
              <w:top w:w="100" w:type="dxa"/>
              <w:bottom w:w="100" w:type="dxa"/>
              <w:left w:w="150" w:type="dxa"/>
              <w:right w:w="150" w:type="dxa"/>
            </w:tcMar>
            <w:shd w:fill="FAFAFA"/>
          </w:tcPr>
          <w:p>
            <w:r/>
            <w:r>
              <w:rPr>
                <w:rFonts w:ascii="Malgun Gothic" w:hAnsi="Malgun Gothic" w:eastAsia="Malgun Gothic"/>
                <w:b/>
                <w:sz w:val="18"/>
              </w:rPr>
              <w:t>Phase 2. SSO 연동 및 프</w:t>
            </w:r>
          </w:p>
        </w:tc>
        <w:tc>
          <w:tcPr>
            <w:tcW w:type="dxa" w:w="2340"/>
            <w:tcMar>
              <w:top w:w="100" w:type="dxa"/>
              <w:bottom w:w="100" w:type="dxa"/>
              <w:left w:w="150" w:type="dxa"/>
              <w:right w:w="150" w:type="dxa"/>
            </w:tcMar>
          </w:tcPr>
          <w:p>
            <w:r/>
            <w:r>
              <w:rPr>
                <w:rFonts w:ascii="Malgun Gothic" w:hAnsi="Malgun Gothic" w:eastAsia="Malgun Gothic"/>
                <w:sz w:val="18"/>
              </w:rPr>
              <w:t>3주</w:t>
            </w:r>
          </w:p>
        </w:tc>
        <w:tc>
          <w:tcPr>
            <w:tcW w:type="dxa" w:w="2340"/>
            <w:tcMar>
              <w:top w:w="100" w:type="dxa"/>
              <w:bottom w:w="100" w:type="dxa"/>
              <w:left w:w="150" w:type="dxa"/>
              <w:right w:w="150" w:type="dxa"/>
            </w:tcMar>
          </w:tcPr>
          <w:p>
            <w:r/>
            <w:r>
              <w:rPr>
                <w:rFonts w:ascii="Malgun Gothic" w:hAnsi="Malgun Gothic" w:eastAsia="Malgun Gothic"/>
                <w:sz w:val="18"/>
              </w:rPr>
              <w:t>SSO 연동 및 프록시 헤더 주입 셋업</w:t>
            </w:r>
          </w:p>
        </w:tc>
        <w:tc>
          <w:tcPr>
            <w:tcW w:type="dxa" w:w="2340"/>
            <w:tcMar>
              <w:top w:w="100" w:type="dxa"/>
              <w:bottom w:w="100" w:type="dxa"/>
              <w:left w:w="150" w:type="dxa"/>
              <w:right w:w="150" w:type="dxa"/>
            </w:tcMar>
          </w:tcPr>
          <w:p>
            <w:r/>
            <w:r>
              <w:rPr>
                <w:rFonts w:ascii="Malgun Gothic" w:hAnsi="Malgun Gothic" w:eastAsia="Malgun Gothic"/>
                <w:sz w:val="18"/>
              </w:rPr>
              <w:t>PoC 결과 / 리포트</w:t>
            </w:r>
          </w:p>
        </w:tc>
      </w:tr>
      <w:tr>
        <w:tc>
          <w:tcPr>
            <w:tcW w:type="dxa" w:w="2340"/>
            <w:tcMar>
              <w:top w:w="100" w:type="dxa"/>
              <w:bottom w:w="100" w:type="dxa"/>
              <w:left w:w="150" w:type="dxa"/>
              <w:right w:w="150" w:type="dxa"/>
            </w:tcMar>
            <w:shd w:fill="FAFAFA"/>
          </w:tcPr>
          <w:p>
            <w:r/>
            <w:r>
              <w:rPr>
                <w:rFonts w:ascii="Malgun Gothic" w:hAnsi="Malgun Gothic" w:eastAsia="Malgun Gothic"/>
                <w:b/>
                <w:sz w:val="18"/>
              </w:rPr>
              <w:t>Phase 3. 핵심 감사 파이프라</w:t>
            </w:r>
          </w:p>
        </w:tc>
        <w:tc>
          <w:tcPr>
            <w:tcW w:type="dxa" w:w="2340"/>
            <w:tcMar>
              <w:top w:w="100" w:type="dxa"/>
              <w:bottom w:w="100" w:type="dxa"/>
              <w:left w:w="150" w:type="dxa"/>
              <w:right w:w="150" w:type="dxa"/>
            </w:tcMar>
          </w:tcPr>
          <w:p>
            <w:r/>
            <w:r>
              <w:rPr>
                <w:rFonts w:ascii="Malgun Gothic" w:hAnsi="Malgun Gothic" w:eastAsia="Malgun Gothic"/>
                <w:sz w:val="18"/>
              </w:rPr>
              <w:t>3주</w:t>
            </w:r>
          </w:p>
        </w:tc>
        <w:tc>
          <w:tcPr>
            <w:tcW w:type="dxa" w:w="2340"/>
            <w:tcMar>
              <w:top w:w="100" w:type="dxa"/>
              <w:bottom w:w="100" w:type="dxa"/>
              <w:left w:w="150" w:type="dxa"/>
              <w:right w:w="150" w:type="dxa"/>
            </w:tcMar>
          </w:tcPr>
          <w:p>
            <w:r/>
            <w:r>
              <w:rPr>
                <w:rFonts w:ascii="Malgun Gothic" w:hAnsi="Malgun Gothic" w:eastAsia="Malgun Gothic"/>
                <w:sz w:val="18"/>
              </w:rPr>
              <w:t>핵심 감사 파이프라인 및 시범 부서 PoC</w:t>
            </w:r>
          </w:p>
        </w:tc>
        <w:tc>
          <w:tcPr>
            <w:tcW w:type="dxa" w:w="2340"/>
            <w:tcMar>
              <w:top w:w="100" w:type="dxa"/>
              <w:bottom w:w="100" w:type="dxa"/>
              <w:left w:w="150" w:type="dxa"/>
              <w:right w:w="150" w:type="dxa"/>
            </w:tcMar>
          </w:tcPr>
          <w:p>
            <w:r/>
            <w:r>
              <w:rPr>
                <w:rFonts w:ascii="Malgun Gothic" w:hAnsi="Malgun Gothic" w:eastAsia="Malgun Gothic"/>
                <w:sz w:val="18"/>
              </w:rPr>
              <w:t>PoC 결과 / 리포트</w:t>
            </w:r>
          </w:p>
        </w:tc>
      </w:tr>
      <w:tr>
        <w:tc>
          <w:tcPr>
            <w:tcW w:type="dxa" w:w="2340"/>
            <w:tcMar>
              <w:top w:w="100" w:type="dxa"/>
              <w:bottom w:w="100" w:type="dxa"/>
              <w:left w:w="150" w:type="dxa"/>
              <w:right w:w="150" w:type="dxa"/>
            </w:tcMar>
            <w:shd w:fill="FAFAFA"/>
          </w:tcPr>
          <w:p>
            <w:r/>
            <w:r>
              <w:rPr>
                <w:rFonts w:ascii="Malgun Gothic" w:hAnsi="Malgun Gothic" w:eastAsia="Malgun Gothic"/>
                <w:b/>
                <w:sz w:val="18"/>
              </w:rPr>
              <w:t xml:space="preserve">Phase 4. 전사 확산, 실무 </w:t>
            </w:r>
          </w:p>
        </w:tc>
        <w:tc>
          <w:tcPr>
            <w:tcW w:type="dxa" w:w="2340"/>
            <w:tcMar>
              <w:top w:w="100" w:type="dxa"/>
              <w:bottom w:w="100" w:type="dxa"/>
              <w:left w:w="150" w:type="dxa"/>
              <w:right w:w="150" w:type="dxa"/>
            </w:tcMar>
          </w:tcPr>
          <w:p>
            <w:r/>
            <w:r>
              <w:rPr>
                <w:rFonts w:ascii="Malgun Gothic" w:hAnsi="Malgun Gothic" w:eastAsia="Malgun Gothic"/>
                <w:sz w:val="18"/>
              </w:rPr>
              <w:t>4주</w:t>
            </w:r>
          </w:p>
        </w:tc>
        <w:tc>
          <w:tcPr>
            <w:tcW w:type="dxa" w:w="2340"/>
            <w:tcMar>
              <w:top w:w="100" w:type="dxa"/>
              <w:bottom w:w="100" w:type="dxa"/>
              <w:left w:w="150" w:type="dxa"/>
              <w:right w:w="150" w:type="dxa"/>
            </w:tcMar>
          </w:tcPr>
          <w:p>
            <w:r/>
            <w:r>
              <w:rPr>
                <w:rFonts w:ascii="Malgun Gothic" w:hAnsi="Malgun Gothic" w:eastAsia="Malgun Gothic"/>
                <w:sz w:val="18"/>
              </w:rPr>
              <w:t>전사 확산, 실무 교육 및 모니터링 가동</w:t>
            </w:r>
          </w:p>
        </w:tc>
        <w:tc>
          <w:tcPr>
            <w:tcW w:type="dxa" w:w="2340"/>
            <w:tcMar>
              <w:top w:w="100" w:type="dxa"/>
              <w:bottom w:w="100" w:type="dxa"/>
              <w:left w:w="150" w:type="dxa"/>
              <w:right w:w="150" w:type="dxa"/>
            </w:tcMar>
          </w:tcPr>
          <w:p>
            <w:r/>
            <w:r>
              <w:rPr>
                <w:rFonts w:ascii="Malgun Gothic" w:hAnsi="Malgun Gothic" w:eastAsia="Malgun Gothic"/>
                <w:sz w:val="18"/>
              </w:rPr>
              <w:t>PoC 결과 / 리포트</w:t>
            </w:r>
          </w:p>
        </w:tc>
      </w:tr>
    </w:tbl>
    <w:p>
      <w:pPr>
        <w:spacing w:after="240"/>
      </w:pPr>
    </w:p>
    <w:p>
      <w:pPr>
        <w:pStyle w:val="Heading2"/>
      </w:pPr>
      <w:r>
        <w:t>6)  경쟁 솔루션 비교 (포지셔닝 매트릭스)</w:t>
      </w:r>
    </w:p>
    <w:p>
      <w:pPr>
        <w:spacing w:after="120"/>
      </w:pPr>
      <w:r>
        <w:rPr>
          <w:rFonts w:ascii="Malgun Gothic" w:hAnsi="Malgun Gothic" w:eastAsia="Malgun Gothic"/>
          <w:sz w:val="20"/>
        </w:rPr>
        <w:t>동일 영역 내 주요 경쟁 솔루션과의 비교 매트릭스입니다.</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F2F2F2"/>
            <w:tcMar>
              <w:top w:w="120" w:type="dxa"/>
              <w:bottom w:w="120" w:type="dxa"/>
              <w:left w:w="100" w:type="dxa"/>
              <w:right w:w="100" w:type="dxa"/>
            </w:tcMar>
          </w:tcPr>
          <w:p>
            <w:r/>
            <w:r>
              <w:rPr>
                <w:rFonts w:ascii="Malgun Gothic" w:hAnsi="Malgun Gothic" w:eastAsia="Malgun Gothic"/>
                <w:b/>
                <w:sz w:val="19"/>
              </w:rPr>
              <w:t>비교 항목</w:t>
            </w:r>
          </w:p>
        </w:tc>
        <w:tc>
          <w:tcPr>
            <w:tcW w:type="dxa" w:w="2340"/>
            <w:shd w:fill="F2F2F2"/>
            <w:tcMar>
              <w:top w:w="120" w:type="dxa"/>
              <w:bottom w:w="120" w:type="dxa"/>
              <w:left w:w="100" w:type="dxa"/>
              <w:right w:w="100" w:type="dxa"/>
            </w:tcMar>
          </w:tcPr>
          <w:p>
            <w:r/>
            <w:r>
              <w:rPr>
                <w:rFonts w:ascii="Malgun Gothic" w:hAnsi="Malgun Gothic" w:eastAsia="Malgun Gothic"/>
                <w:b/>
                <w:sz w:val="19"/>
              </w:rPr>
              <w:t>강점</w:t>
            </w:r>
          </w:p>
        </w:tc>
        <w:tc>
          <w:tcPr>
            <w:tcW w:type="dxa" w:w="2340"/>
            <w:shd w:fill="F2F2F2"/>
            <w:tcMar>
              <w:top w:w="120" w:type="dxa"/>
              <w:bottom w:w="120" w:type="dxa"/>
              <w:left w:w="100" w:type="dxa"/>
              <w:right w:w="100" w:type="dxa"/>
            </w:tcMar>
          </w:tcPr>
          <w:p>
            <w:r/>
            <w:r>
              <w:rPr>
                <w:rFonts w:ascii="Malgun Gothic" w:hAnsi="Malgun Gothic" w:eastAsia="Malgun Gothic"/>
                <w:b/>
                <w:sz w:val="19"/>
              </w:rPr>
              <w:t>약점</w:t>
            </w:r>
          </w:p>
        </w:tc>
        <w:tc>
          <w:tcPr>
            <w:tcW w:type="dxa" w:w="2340"/>
            <w:shd w:fill="F2F2F2"/>
            <w:tcMar>
              <w:top w:w="120" w:type="dxa"/>
              <w:bottom w:w="120" w:type="dxa"/>
              <w:left w:w="100" w:type="dxa"/>
              <w:right w:w="100" w:type="dxa"/>
            </w:tcMar>
          </w:tcPr>
          <w:p>
            <w:r/>
            <w:r>
              <w:rPr>
                <w:rFonts w:ascii="Malgun Gothic" w:hAnsi="Malgun Gothic" w:eastAsia="Malgun Gothic"/>
                <w:b/>
                <w:sz w:val="19"/>
              </w:rPr>
              <w:t>적합 고객</w:t>
            </w:r>
          </w:p>
        </w:tc>
      </w:tr>
      <w:tr>
        <w:tc>
          <w:tcPr>
            <w:tcW w:type="dxa" w:w="2340"/>
            <w:tcMar>
              <w:top w:w="80" w:type="dxa"/>
              <w:bottom w:w="80" w:type="dxa"/>
              <w:left w:w="100" w:type="dxa"/>
              <w:right w:w="100" w:type="dxa"/>
            </w:tcMar>
            <w:shd w:fill="FAFAFA"/>
          </w:tcPr>
          <w:p>
            <w:r/>
            <w:r>
              <w:rPr>
                <w:rFonts w:ascii="Malgun Gothic" w:hAnsi="Malgun Gothic" w:eastAsia="Malgun Gothic"/>
                <w:b/>
                <w:sz w:val="18"/>
              </w:rPr>
              <w:t>Anthropic Claude</w:t>
            </w:r>
          </w:p>
        </w:tc>
        <w:tc>
          <w:tcPr>
            <w:tcW w:type="dxa" w:w="2340"/>
            <w:tcMar>
              <w:top w:w="80" w:type="dxa"/>
              <w:bottom w:w="80" w:type="dxa"/>
              <w:left w:w="100" w:type="dxa"/>
              <w:right w:w="100" w:type="dxa"/>
            </w:tcMar>
          </w:tcPr>
          <w:p>
            <w:r/>
            <w:r>
              <w:rPr>
                <w:rFonts w:ascii="Malgun Gothic" w:hAnsi="Malgun Gothic" w:eastAsia="Malgun Gothic"/>
                <w:sz w:val="18"/>
              </w:rPr>
              <w:t>긴 입력 데이터 처리(200K+), 뛰어난 한국어 가독성 및 정밀 법률 분석</w:t>
            </w:r>
          </w:p>
        </w:tc>
        <w:tc>
          <w:tcPr>
            <w:tcW w:type="dxa" w:w="2340"/>
            <w:tcMar>
              <w:top w:w="80" w:type="dxa"/>
              <w:bottom w:w="80" w:type="dxa"/>
              <w:left w:w="100" w:type="dxa"/>
              <w:right w:w="100" w:type="dxa"/>
            </w:tcMar>
          </w:tcPr>
          <w:p>
            <w:r/>
            <w:r>
              <w:rPr>
                <w:rFonts w:ascii="Malgun Gothic" w:hAnsi="Malgun Gothic" w:eastAsia="Malgun Gothic"/>
                <w:sz w:val="18"/>
              </w:rPr>
              <w:t>노코드 앱 마켓 부족</w:t>
            </w:r>
          </w:p>
        </w:tc>
        <w:tc>
          <w:tcPr>
            <w:tcW w:type="dxa" w:w="2340"/>
            <w:tcMar>
              <w:top w:w="80" w:type="dxa"/>
              <w:bottom w:w="80" w:type="dxa"/>
              <w:left w:w="100" w:type="dxa"/>
              <w:right w:w="100" w:type="dxa"/>
            </w:tcMar>
          </w:tcPr>
          <w:p>
            <w:r/>
            <w:r>
              <w:rPr>
                <w:rFonts w:ascii="Malgun Gothic" w:hAnsi="Malgun Gothic" w:eastAsia="Malgun Gothic"/>
                <w:sz w:val="18"/>
              </w:rPr>
              <w:t>금융/공공/의료 등 보안 규제 우선 조직</w:t>
            </w:r>
          </w:p>
        </w:tc>
      </w:tr>
      <w:tr>
        <w:tc>
          <w:tcPr>
            <w:tcW w:type="dxa" w:w="2340"/>
            <w:tcMar>
              <w:top w:w="80" w:type="dxa"/>
              <w:bottom w:w="80" w:type="dxa"/>
              <w:left w:w="100" w:type="dxa"/>
              <w:right w:w="100" w:type="dxa"/>
            </w:tcMar>
            <w:shd w:fill="FAFAFA"/>
          </w:tcPr>
          <w:p>
            <w:r/>
            <w:r>
              <w:rPr>
                <w:rFonts w:ascii="Malgun Gothic" w:hAnsi="Malgun Gothic" w:eastAsia="Malgun Gothic"/>
                <w:b/>
                <w:sz w:val="18"/>
              </w:rPr>
              <w:t>Google Gemini Workspace</w:t>
            </w:r>
          </w:p>
        </w:tc>
        <w:tc>
          <w:tcPr>
            <w:tcW w:type="dxa" w:w="2340"/>
            <w:tcMar>
              <w:top w:w="80" w:type="dxa"/>
              <w:bottom w:w="80" w:type="dxa"/>
              <w:left w:w="100" w:type="dxa"/>
              <w:right w:w="100" w:type="dxa"/>
            </w:tcMar>
          </w:tcPr>
          <w:p>
            <w:r/>
            <w:r>
              <w:rPr>
                <w:rFonts w:ascii="Malgun Gothic" w:hAnsi="Malgun Gothic" w:eastAsia="Malgun Gothic"/>
                <w:sz w:val="18"/>
              </w:rPr>
              <w:t>Gmail/Docs 등 구글 오피스 도구와의 원클릭 연동, 압도적 가성비</w:t>
            </w:r>
          </w:p>
        </w:tc>
        <w:tc>
          <w:tcPr>
            <w:tcW w:type="dxa" w:w="2340"/>
            <w:tcMar>
              <w:top w:w="80" w:type="dxa"/>
              <w:bottom w:w="80" w:type="dxa"/>
              <w:left w:w="100" w:type="dxa"/>
              <w:right w:w="100" w:type="dxa"/>
            </w:tcMar>
          </w:tcPr>
          <w:p>
            <w:r/>
            <w:r>
              <w:rPr>
                <w:rFonts w:ascii="Malgun Gothic" w:hAnsi="Malgun Gothic" w:eastAsia="Malgun Gothic"/>
                <w:sz w:val="18"/>
              </w:rPr>
              <w:t>구글 오피스 미사용 기업 도입 곤란</w:t>
            </w:r>
          </w:p>
        </w:tc>
        <w:tc>
          <w:tcPr>
            <w:tcW w:type="dxa" w:w="2340"/>
            <w:tcMar>
              <w:top w:w="80" w:type="dxa"/>
              <w:bottom w:w="80" w:type="dxa"/>
              <w:left w:w="100" w:type="dxa"/>
              <w:right w:w="100" w:type="dxa"/>
            </w:tcMar>
          </w:tcPr>
          <w:p>
            <w:r/>
            <w:r>
              <w:rPr>
                <w:rFonts w:ascii="Malgun Gothic" w:hAnsi="Malgun Gothic" w:eastAsia="Malgun Gothic"/>
                <w:sz w:val="18"/>
              </w:rPr>
              <w:t>구글 워크스페이스 기도입 스타트업 및 중견기업</w:t>
            </w:r>
          </w:p>
        </w:tc>
      </w:tr>
    </w:tbl>
    <w:p>
      <w:pPr>
        <w:spacing w:after="160"/>
      </w:pPr>
    </w:p>
    <w:p>
      <w:pPr>
        <w:spacing w:after="240"/>
      </w:pPr>
    </w:p>
    <w:p>
      <w:pPr>
        <w:pStyle w:val="Heading2"/>
      </w:pPr>
      <w:r>
        <w:t>7)  도입 체크리스트 / 검토 기준</w:t>
      </w:r>
    </w:p>
    <w:p>
      <w:pPr>
        <w:spacing w:after="80"/>
      </w:pPr>
      <w:r>
        <w:rPr>
          <w:rFonts w:ascii="Malgun Gothic" w:hAnsi="Malgun Gothic" w:eastAsia="Malgun Gothic"/>
          <w:b/>
        </w:rPr>
        <w:t>▶ [필수 검토] 주요 항목</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Pr>
                <w:b/>
                <w:sz w:val="19"/>
              </w:rPr>
              <w:t>☐</w:t>
            </w:r>
          </w:p>
        </w:tc>
        <w:tc>
          <w:tcPr>
            <w:tcW w:type="dxa" w:w="3120"/>
            <w:shd w:fill="F2F2F2"/>
            <w:tcMar>
              <w:top w:w="120" w:type="dxa"/>
              <w:bottom w:w="120" w:type="dxa"/>
              <w:left w:w="150" w:type="dxa"/>
              <w:right w:w="150" w:type="dxa"/>
            </w:tcMar>
          </w:tcPr>
          <w:p>
            <w:r>
              <w:rPr>
                <w:b/>
                <w:sz w:val="19"/>
              </w:rPr>
              <w:t>체크 항목</w:t>
            </w:r>
          </w:p>
        </w:tc>
        <w:tc>
          <w:tcPr>
            <w:tcW w:type="dxa" w:w="3120"/>
            <w:shd w:fill="F2F2F2"/>
            <w:tcMar>
              <w:top w:w="120" w:type="dxa"/>
              <w:bottom w:w="120" w:type="dxa"/>
              <w:left w:w="150" w:type="dxa"/>
              <w:right w:w="150" w:type="dxa"/>
            </w:tcMar>
          </w:tcPr>
          <w:p>
            <w:r>
              <w:rPr>
                <w:b/>
                <w:sz w:val="19"/>
              </w:rPr>
              <w:t>확인 방법 / 비고</w:t>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최소 도입 인원이 150명 이상인가?</w:t>
            </w:r>
          </w:p>
        </w:tc>
        <w:tc>
          <w:tcPr>
            <w:tcW w:type="dxa" w:w="3120"/>
            <w:tcMar>
              <w:top w:w="100" w:type="dxa"/>
              <w:bottom w:w="100" w:type="dxa"/>
              <w:left w:w="150" w:type="dxa"/>
              <w:right w:w="150" w:type="dxa"/>
            </w:tcMar>
          </w:tcPr>
          <w:p>
            <w:r/>
            <w:r>
              <w:rPr>
                <w:rFonts w:ascii="Malgun Gothic" w:hAnsi="Malgun Gothic" w:eastAsia="Malgun Gothic"/>
                <w:sz w:val="18"/>
              </w:rPr>
              <w:t>ChatGPT Enterprise 기준</w:t>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사내 로그인 연동을 위한 SSO(Okta, Azure AD 등) 인프라가 갖춰져 있는가?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사내 데이터를 OpenAI 클라우드로 전송하는 데 법무/보안 부서의 규정상 문제가 없는가?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AI 도입 총괄 챔피언(프로젝트 리더)이 지정되어 있는가?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글로벌 DPA(데이터 처리 조약) 표준안을 수용할 수 있는가?</w:t>
            </w:r>
          </w:p>
        </w:tc>
        <w:tc>
          <w:tcPr>
            <w:tcW w:type="dxa" w:w="3120"/>
            <w:tcMar>
              <w:top w:w="100" w:type="dxa"/>
              <w:bottom w:w="100" w:type="dxa"/>
              <w:left w:w="150" w:type="dxa"/>
              <w:right w:w="150" w:type="dxa"/>
            </w:tcMar>
          </w:tcPr>
          <w:p>
            <w:r/>
            <w:r>
              <w:rPr>
                <w:rFonts w:ascii="Malgun Gothic" w:hAnsi="Malgun Gothic" w:eastAsia="Malgun Gothic"/>
                <w:sz w:val="18"/>
              </w:rPr>
            </w:r>
          </w:p>
        </w:tc>
      </w:tr>
    </w:tbl>
    <w:p>
      <w:pPr>
        <w:spacing w:after="160"/>
      </w:pPr>
    </w:p>
    <w:p>
      <w:pPr>
        <w:spacing w:after="80"/>
      </w:pPr>
      <w:r>
        <w:rPr>
          <w:rFonts w:ascii="Malgun Gothic" w:hAnsi="Malgun Gothic" w:eastAsia="Malgun Gothic"/>
          <w:b/>
        </w:rPr>
        <w:t>▶ [권장 검토] 주요 항목</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Pr>
                <w:b/>
                <w:sz w:val="19"/>
              </w:rPr>
              <w:t>☐</w:t>
            </w:r>
          </w:p>
        </w:tc>
        <w:tc>
          <w:tcPr>
            <w:tcW w:type="dxa" w:w="3120"/>
            <w:shd w:fill="F2F2F2"/>
            <w:tcMar>
              <w:top w:w="120" w:type="dxa"/>
              <w:bottom w:w="120" w:type="dxa"/>
              <w:left w:w="150" w:type="dxa"/>
              <w:right w:w="150" w:type="dxa"/>
            </w:tcMar>
          </w:tcPr>
          <w:p>
            <w:r>
              <w:rPr>
                <w:b/>
                <w:sz w:val="19"/>
              </w:rPr>
              <w:t>체크 항목</w:t>
            </w:r>
          </w:p>
        </w:tc>
        <w:tc>
          <w:tcPr>
            <w:tcW w:type="dxa" w:w="3120"/>
            <w:shd w:fill="F2F2F2"/>
            <w:tcMar>
              <w:top w:w="120" w:type="dxa"/>
              <w:bottom w:w="120" w:type="dxa"/>
              <w:left w:w="150" w:type="dxa"/>
              <w:right w:w="150" w:type="dxa"/>
            </w:tcMar>
          </w:tcPr>
          <w:p>
            <w:r>
              <w:rPr>
                <w:b/>
                <w:sz w:val="19"/>
              </w:rPr>
              <w:t>확인 방법 / 비고</w:t>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데이터 반출 통제를 위한 DLP 가이드라인이 수립되어 있는가?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API 사용 비용을 모니터링할 FinOps 계획이 있는가?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현업 파워 유저 교육 프로그램이 잡혀 있는가?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RAG에 연결할 사내 문서들의 정제(PDF, Word 등)가 완료되어 있는가?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향후 다른 LLM(클라우드 다중 모델)으로 마이그레이션할 계획이 있는가?</w:t>
            </w:r>
          </w:p>
        </w:tc>
        <w:tc>
          <w:tcPr>
            <w:tcW w:type="dxa" w:w="3120"/>
            <w:tcMar>
              <w:top w:w="100" w:type="dxa"/>
              <w:bottom w:w="100" w:type="dxa"/>
              <w:left w:w="150" w:type="dxa"/>
              <w:right w:w="150" w:type="dxa"/>
            </w:tcMar>
          </w:tcPr>
          <w:p>
            <w:r/>
            <w:r>
              <w:rPr>
                <w:rFonts w:ascii="Malgun Gothic" w:hAnsi="Malgun Gothic" w:eastAsia="Malgun Gothic"/>
                <w:sz w:val="18"/>
              </w:rPr>
            </w:r>
          </w:p>
        </w:tc>
      </w:tr>
    </w:tbl>
    <w:p>
      <w:pPr>
        <w:spacing w:after="160"/>
      </w:pPr>
    </w:p>
    <w:p>
      <w:pPr>
        <w:spacing w:after="80"/>
      </w:pPr>
      <w:r>
        <w:rPr>
          <w:rFonts w:ascii="Malgun Gothic" w:hAnsi="Malgun Gothic" w:eastAsia="Malgun Gothic"/>
          <w:b/>
        </w:rPr>
        <w:t>▶ [⚠ Red Flag] 부적합 신호 — 발견 시 즉시 대안 검토</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Pr>
                <w:b/>
                <w:sz w:val="19"/>
              </w:rPr>
              <w:t>⚠</w:t>
            </w:r>
          </w:p>
        </w:tc>
        <w:tc>
          <w:tcPr>
            <w:tcW w:type="dxa" w:w="3120"/>
            <w:shd w:fill="F2F2F2"/>
            <w:tcMar>
              <w:top w:w="120" w:type="dxa"/>
              <w:bottom w:w="120" w:type="dxa"/>
              <w:left w:w="150" w:type="dxa"/>
              <w:right w:w="150" w:type="dxa"/>
            </w:tcMar>
          </w:tcPr>
          <w:p>
            <w:r>
              <w:rPr>
                <w:b/>
                <w:sz w:val="19"/>
              </w:rPr>
              <w:t>Red Flag</w:t>
            </w:r>
          </w:p>
        </w:tc>
        <w:tc>
          <w:tcPr>
            <w:tcW w:type="dxa" w:w="3120"/>
            <w:shd w:fill="F2F2F2"/>
            <w:tcMar>
              <w:top w:w="120" w:type="dxa"/>
              <w:bottom w:w="120" w:type="dxa"/>
              <w:left w:w="150" w:type="dxa"/>
              <w:right w:w="150" w:type="dxa"/>
            </w:tcMar>
          </w:tcPr>
          <w:p>
            <w:r>
              <w:rPr>
                <w:b/>
                <w:sz w:val="19"/>
              </w:rPr>
              <w:t>대안 솔루션</w:t>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외부 인터넷 연결이 100% 차단된 에어갭(Air-gap) 환경 요망</w:t>
            </w:r>
          </w:p>
        </w:tc>
        <w:tc>
          <w:tcPr>
            <w:tcW w:type="dxa" w:w="3120"/>
            <w:tcMar>
              <w:top w:w="100" w:type="dxa"/>
              <w:bottom w:w="100" w:type="dxa"/>
              <w:left w:w="150" w:type="dxa"/>
              <w:right w:w="150" w:type="dxa"/>
            </w:tcMar>
          </w:tcPr>
          <w:p>
            <w:r/>
            <w:r>
              <w:rPr>
                <w:rFonts w:ascii="Malgun Gothic" w:hAnsi="Malgun Gothic" w:eastAsia="Malgun Gothic"/>
                <w:sz w:val="18"/>
              </w:rPr>
            </w:r>
            <w:r>
              <w:rPr>
                <w:rFonts w:ascii="Malgun Gothic" w:hAnsi="Malgun Gothic" w:eastAsia="Malgun Gothic"/>
                <w:b/>
                <w:sz w:val="18"/>
              </w:rPr>
              <w:t>Articul8 제안</w:t>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환자 민감 정보 등 의료 규정상 해외 서버 전송이 절대 불가</w:t>
            </w:r>
          </w:p>
        </w:tc>
        <w:tc>
          <w:tcPr>
            <w:tcW w:type="dxa" w:w="3120"/>
            <w:tcMar>
              <w:top w:w="100" w:type="dxa"/>
              <w:bottom w:w="100" w:type="dxa"/>
              <w:left w:w="150" w:type="dxa"/>
              <w:right w:w="150" w:type="dxa"/>
            </w:tcMar>
          </w:tcPr>
          <w:p>
            <w:r/>
            <w:r>
              <w:rPr>
                <w:rFonts w:ascii="Malgun Gothic" w:hAnsi="Malgun Gothic" w:eastAsia="Malgun Gothic"/>
                <w:sz w:val="18"/>
              </w:rPr>
            </w:r>
            <w:r>
              <w:rPr>
                <w:rFonts w:ascii="Malgun Gothic" w:hAnsi="Malgun Gothic" w:eastAsia="Malgun Gothic"/>
                <w:b/>
                <w:sz w:val="18"/>
              </w:rPr>
              <w:t>Azure OpenAI 국내 리전 권장</w:t>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50명 이하 소규모 조직인데 Enterprise 등급 요구</w:t>
            </w:r>
          </w:p>
        </w:tc>
        <w:tc>
          <w:tcPr>
            <w:tcW w:type="dxa" w:w="3120"/>
            <w:tcMar>
              <w:top w:w="100" w:type="dxa"/>
              <w:bottom w:w="100" w:type="dxa"/>
              <w:left w:w="150" w:type="dxa"/>
              <w:right w:w="150" w:type="dxa"/>
            </w:tcMar>
          </w:tcPr>
          <w:p>
            <w:r/>
            <w:r>
              <w:rPr>
                <w:rFonts w:ascii="Malgun Gothic" w:hAnsi="Malgun Gothic" w:eastAsia="Malgun Gothic"/>
                <w:sz w:val="18"/>
              </w:rPr>
            </w:r>
            <w:r>
              <w:rPr>
                <w:rFonts w:ascii="Malgun Gothic" w:hAnsi="Malgun Gothic" w:eastAsia="Malgun Gothic"/>
                <w:b/>
                <w:sz w:val="18"/>
              </w:rPr>
              <w:t>ChatGPT Team으로 유도</w:t>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연간 AI 예산이 3천만원 이하이며 시스템 연동 개발비가 없음</w:t>
            </w:r>
          </w:p>
        </w:tc>
        <w:tc>
          <w:tcPr>
            <w:tcW w:type="dxa" w:w="3120"/>
            <w:tcMar>
              <w:top w:w="100" w:type="dxa"/>
              <w:bottom w:w="100" w:type="dxa"/>
              <w:left w:w="150" w:type="dxa"/>
              <w:right w:w="150" w:type="dxa"/>
            </w:tcMar>
          </w:tcPr>
          <w:p>
            <w:r/>
            <w:r>
              <w:rPr>
                <w:rFonts w:ascii="Malgun Gothic" w:hAnsi="Malgun Gothic" w:eastAsia="Malgun Gothic"/>
                <w:sz w:val="18"/>
              </w:rPr>
            </w:r>
            <w:r>
              <w:rPr>
                <w:rFonts w:ascii="Malgun Gothic" w:hAnsi="Malgun Gothic" w:eastAsia="Malgun Gothic"/>
                <w:b/>
                <w:sz w:val="18"/>
              </w:rPr>
              <w:t>단순 SaaS 라이센스 구매 권장</w:t>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사내 IdP(SSO)가 없으며 앞으로도 도입할 계획이 없음</w:t>
            </w:r>
          </w:p>
        </w:tc>
        <w:tc>
          <w:tcPr>
            <w:tcW w:type="dxa" w:w="3120"/>
            <w:tcMar>
              <w:top w:w="100" w:type="dxa"/>
              <w:bottom w:w="100" w:type="dxa"/>
              <w:left w:w="150" w:type="dxa"/>
              <w:right w:w="150" w:type="dxa"/>
            </w:tcMar>
          </w:tcPr>
          <w:p>
            <w:r/>
            <w:r>
              <w:rPr>
                <w:rFonts w:ascii="Malgun Gothic" w:hAnsi="Malgun Gothic" w:eastAsia="Malgun Gothic"/>
                <w:sz w:val="18"/>
              </w:rPr>
            </w:r>
            <w:r>
              <w:rPr>
                <w:rFonts w:ascii="Malgun Gothic" w:hAnsi="Malgun Gothic" w:eastAsia="Malgun Gothic"/>
                <w:b/>
                <w:sz w:val="18"/>
              </w:rPr>
              <w:t>도입 보류 또는 정책 컨설팅 선행</w:t>
            </w:r>
            <w:r>
              <w:rPr>
                <w:rFonts w:ascii="Malgun Gothic" w:hAnsi="Malgun Gothic" w:eastAsia="Malgun Gothic"/>
                <w:sz w:val="18"/>
              </w:rPr>
            </w:r>
          </w:p>
        </w:tc>
      </w:tr>
    </w:tbl>
    <w:p>
      <w:pPr>
        <w:spacing w:after="240"/>
      </w:pPr>
    </w:p>
    <w:p>
      <w:pPr>
        <w:pStyle w:val="Heading2"/>
      </w:pPr>
      <w:r>
        <w:t>8)  영업 Tip / FAQ</w:t>
      </w:r>
    </w:p>
    <w:tbl>
      <w:tblPr>
        <w:tblW w:type="auto" w:w="0"/>
        <w:jc w:val="center"/>
        <w:tblLook w:firstColumn="1" w:firstRow="1" w:lastColumn="0" w:lastRow="0" w:noHBand="0" w:noVBand="1" w:val="04A0"/>
      </w:tblPr>
      <w:tblGrid>
        <w:gridCol w:w="9360"/>
      </w:tblGrid>
      <w:tr>
        <w:tc>
          <w:tcPr>
            <w:tcW w:type="dxa" w:w="9360"/>
            <w:shd w:fill="F7F9FC"/>
            <w:tcMar>
              <w:top w:w="100" w:type="dxa"/>
              <w:bottom w:w="100" w:type="dxa"/>
              <w:left w:w="150" w:type="dxa"/>
              <w:right w:w="150" w:type="dxa"/>
            </w:tcMar>
            <w:tcBorders>
              <w:top w:val="single" w:sz="4" w:color="D0D5DD"/>
              <w:left w:val="single" w:sz="12" w:color="475467"/>
              <w:bottom w:val="single" w:sz="4" w:color="D0D5DD"/>
              <w:right w:val="single" w:sz="4" w:color="D0D5DD"/>
            </w:tcBorders>
          </w:tcPr>
          <w:p>
            <w:r>
              <w:rPr>
                <w:rFonts w:ascii="Malgun Gothic" w:hAnsi="Malgun Gothic" w:eastAsia="Malgun Gothic"/>
                <w:b/>
                <w:color w:val="475467"/>
                <w:sz w:val="19"/>
              </w:rPr>
              <w:t xml:space="preserve">💡  </w:t>
            </w:r>
            <w:r>
              <w:rPr>
                <w:rFonts w:ascii="Malgun Gothic" w:hAnsi="Malgun Gothic" w:eastAsia="Malgun Gothic"/>
                <w:sz w:val="19"/>
              </w:rPr>
            </w:r>
            <w:r>
              <w:rPr>
                <w:rFonts w:ascii="Malgun Gothic" w:hAnsi="Malgun Gothic" w:eastAsia="Malgun Gothic"/>
                <w:b/>
                <w:sz w:val="19"/>
              </w:rPr>
              <w:t>보안 조직 설득 화법</w:t>
            </w:r>
            <w:r>
              <w:rPr>
                <w:rFonts w:ascii="Malgun Gothic" w:hAnsi="Malgun Gothic" w:eastAsia="Malgun Gothic"/>
                <w:sz w:val="19"/>
              </w:rPr>
              <w:t>: "직원들이 개인 카드로 ChatGPT 플러스 결제를 해 쓰면서 회사 기밀을 업로드하는 그림자 IT가 만연해 있습니다. 기업용 솔루션을 공식 제공하고 통제하는 것이 훨씬 안전합니다. 또한 전용 격리 테넌트는 데이터 전송 시 TLS 1.3, 보관 시 AES-256 방식으로 철저히 암호화되며 OpenAI의 서비스 운영진조차 암호키 없이는 접근할 수 없습니다."</w:t>
            </w:r>
          </w:p>
        </w:tc>
      </w:tr>
    </w:tbl>
    <w:p>
      <w:pPr>
        <w:spacing w:after="80"/>
      </w:pPr>
    </w:p>
    <w:tbl>
      <w:tblPr>
        <w:tblW w:type="auto" w:w="0"/>
        <w:jc w:val="center"/>
        <w:tblLook w:firstColumn="1" w:firstRow="1" w:lastColumn="0" w:lastRow="0" w:noHBand="0" w:noVBand="1" w:val="04A0"/>
      </w:tblPr>
      <w:tblGrid>
        <w:gridCol w:w="9360"/>
      </w:tblGrid>
      <w:tr>
        <w:tc>
          <w:tcPr>
            <w:tcW w:type="dxa" w:w="9360"/>
            <w:shd w:fill="F7F9FC"/>
            <w:tcMar>
              <w:top w:w="100" w:type="dxa"/>
              <w:bottom w:w="100" w:type="dxa"/>
              <w:left w:w="150" w:type="dxa"/>
              <w:right w:w="150" w:type="dxa"/>
            </w:tcMar>
            <w:tcBorders>
              <w:top w:val="single" w:sz="4" w:color="D0D5DD"/>
              <w:left w:val="single" w:sz="12" w:color="475467"/>
              <w:bottom w:val="single" w:sz="4" w:color="D0D5DD"/>
              <w:right w:val="single" w:sz="4" w:color="D0D5DD"/>
            </w:tcBorders>
          </w:tcPr>
          <w:p>
            <w:r>
              <w:rPr>
                <w:rFonts w:ascii="Malgun Gothic" w:hAnsi="Malgun Gothic" w:eastAsia="Malgun Gothic"/>
                <w:b/>
                <w:color w:val="475467"/>
                <w:sz w:val="19"/>
              </w:rPr>
              <w:t xml:space="preserve">💡  </w:t>
            </w:r>
            <w:r>
              <w:rPr>
                <w:rFonts w:ascii="Malgun Gothic" w:hAnsi="Malgun Gothic" w:eastAsia="Malgun Gothic"/>
                <w:sz w:val="19"/>
              </w:rPr>
            </w:r>
            <w:r>
              <w:rPr>
                <w:rFonts w:ascii="Malgun Gothic" w:hAnsi="Malgun Gothic" w:eastAsia="Malgun Gothic"/>
                <w:b/>
                <w:sz w:val="19"/>
              </w:rPr>
              <w:t>마진 확보 전략</w:t>
            </w:r>
            <w:r>
              <w:rPr>
                <w:rFonts w:ascii="Malgun Gothic" w:hAnsi="Malgun Gothic" w:eastAsia="Malgun Gothic"/>
                <w:sz w:val="19"/>
              </w:rPr>
              <w:t>: 단순 라이센스 리셀은 마진이 작습니다. 사내 문서 RAG 파이프라인 개발(MZC RAG 패키지: 5,000만~8,000만 원) 및 LiteLLM/OTel 감사 로그 연계 구축을 묶어 통합 MSP 계약으로 딜 사이즈를 3배 이상 키우십시오.</w:t>
            </w:r>
          </w:p>
        </w:tc>
      </w:tr>
    </w:tbl>
    <w:p>
      <w:pPr>
        <w:spacing w:after="80"/>
      </w:pPr>
    </w:p>
    <w:tbl>
      <w:tblPr>
        <w:tblW w:type="auto" w:w="0"/>
        <w:jc w:val="center"/>
        <w:tblLook w:firstColumn="1" w:firstRow="1" w:lastColumn="0" w:lastRow="0" w:noHBand="0" w:noVBand="1" w:val="04A0"/>
      </w:tblPr>
      <w:tblGrid>
        <w:gridCol w:w="9360"/>
      </w:tblGrid>
      <w:tr>
        <w:tc>
          <w:tcPr>
            <w:tcW w:type="dxa" w:w="9360"/>
            <w:shd w:fill="F7F9FC"/>
            <w:tcMar>
              <w:top w:w="100" w:type="dxa"/>
              <w:bottom w:w="100" w:type="dxa"/>
              <w:left w:w="150" w:type="dxa"/>
              <w:right w:w="150" w:type="dxa"/>
            </w:tcMar>
            <w:tcBorders>
              <w:top w:val="single" w:sz="4" w:color="D0D5DD"/>
              <w:left w:val="single" w:sz="12" w:color="475467"/>
              <w:bottom w:val="single" w:sz="4" w:color="D0D5DD"/>
              <w:right w:val="single" w:sz="4" w:color="D0D5DD"/>
            </w:tcBorders>
          </w:tcPr>
          <w:p>
            <w:r>
              <w:rPr>
                <w:rFonts w:ascii="Malgun Gothic" w:hAnsi="Malgun Gothic" w:eastAsia="Malgun Gothic"/>
                <w:b/>
                <w:color w:val="475467"/>
                <w:sz w:val="19"/>
              </w:rPr>
              <w:t xml:space="preserve">💡  </w:t>
            </w:r>
            <w:r>
              <w:rPr>
                <w:rFonts w:ascii="Malgun Gothic" w:hAnsi="Malgun Gothic" w:eastAsia="Malgun Gothic"/>
                <w:sz w:val="19"/>
              </w:rPr>
            </w:r>
            <w:r>
              <w:rPr>
                <w:rFonts w:ascii="Malgun Gothic" w:hAnsi="Malgun Gothic" w:eastAsia="Malgun Gothic"/>
                <w:b/>
                <w:sz w:val="19"/>
              </w:rPr>
              <w:t>ROI 제시법</w:t>
            </w:r>
            <w:r>
              <w:rPr>
                <w:rFonts w:ascii="Malgun Gothic" w:hAnsi="Malgun Gothic" w:eastAsia="Malgun Gothic"/>
                <w:sz w:val="19"/>
              </w:rPr>
              <w:t>: CIO에게 "단순 기술 도입이 아니라 전사 변화관리 프로젝트"임을 어필하고 활용 교육 세션을 부가 매출 기회로 삼으십시오.</w:t>
            </w:r>
          </w:p>
        </w:tc>
      </w:tr>
    </w:tbl>
    <w:p>
      <w:pPr>
        <w:spacing w:after="80"/>
      </w:pPr>
    </w:p>
    <w:p>
      <w:pPr>
        <w:spacing w:after="160"/>
      </w:pPr>
    </w:p>
    <w:p>
      <w:pPr>
        <w:spacing w:after="80"/>
      </w:pPr>
      <w:r>
        <w:rPr>
          <w:rFonts w:ascii="Malgun Gothic" w:hAnsi="Malgun Gothic" w:eastAsia="Malgun Gothic"/>
          <w:b/>
        </w:rPr>
        <w:t>▶ 자주 묻는 질문 (FAQ)</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Pr>
                <w:b/>
                <w:sz w:val="19"/>
              </w:rPr>
              <w:t>Q</w:t>
            </w:r>
          </w:p>
        </w:tc>
        <w:tc>
          <w:tcPr>
            <w:tcW w:type="dxa" w:w="3120"/>
            <w:shd w:fill="F2F2F2"/>
            <w:tcMar>
              <w:top w:w="120" w:type="dxa"/>
              <w:bottom w:w="120" w:type="dxa"/>
              <w:left w:w="150" w:type="dxa"/>
              <w:right w:w="150" w:type="dxa"/>
            </w:tcMar>
          </w:tcPr>
          <w:p>
            <w:r>
              <w:rPr>
                <w:b/>
                <w:sz w:val="19"/>
              </w:rPr>
              <w:t>고객 질문</w:t>
            </w:r>
          </w:p>
        </w:tc>
        <w:tc>
          <w:tcPr>
            <w:tcW w:type="dxa" w:w="3120"/>
            <w:shd w:fill="F2F2F2"/>
            <w:tcMar>
              <w:top w:w="120" w:type="dxa"/>
              <w:bottom w:w="120" w:type="dxa"/>
              <w:left w:w="150" w:type="dxa"/>
              <w:right w:w="150" w:type="dxa"/>
            </w:tcMar>
          </w:tcPr>
          <w:p>
            <w:r>
              <w:rPr>
                <w:b/>
                <w:sz w:val="19"/>
              </w:rPr>
              <w:t>권장 답변</w:t>
            </w:r>
          </w:p>
        </w:tc>
      </w:tr>
      <w:tr>
        <w:tc>
          <w:tcPr>
            <w:tcW w:type="dxa" w:w="3120"/>
            <w:tcMar>
              <w:top w:w="100" w:type="dxa"/>
              <w:bottom w:w="100" w:type="dxa"/>
              <w:left w:w="150" w:type="dxa"/>
              <w:right w:w="150" w:type="dxa"/>
            </w:tcMar>
            <w:shd w:fill="FAFAFA"/>
          </w:tcPr>
          <w:p>
            <w:r/>
            <w:r>
              <w:rPr>
                <w:rFonts w:ascii="Malgun Gothic" w:hAnsi="Malgun Gothic" w:eastAsia="Malgun Gothic"/>
                <w:b/>
                <w:sz w:val="18"/>
              </w:rPr>
              <w:t>Q1</w:t>
            </w:r>
          </w:p>
        </w:tc>
        <w:tc>
          <w:tcPr>
            <w:tcW w:type="dxa" w:w="3120"/>
            <w:tcMar>
              <w:top w:w="100" w:type="dxa"/>
              <w:bottom w:w="100" w:type="dxa"/>
              <w:left w:w="150" w:type="dxa"/>
              <w:right w:w="150" w:type="dxa"/>
            </w:tcMar>
          </w:tcPr>
          <w:p>
            <w:r/>
            <w:r>
              <w:rPr>
                <w:rFonts w:ascii="Malgun Gothic" w:hAnsi="Malgun Gothic" w:eastAsia="Malgun Gothic"/>
                <w:sz w:val="18"/>
              </w:rPr>
              <w:t>우리 데이터가 GPT 학습에 재사용되나요?</w:t>
            </w:r>
          </w:p>
        </w:tc>
        <w:tc>
          <w:tcPr>
            <w:tcW w:type="dxa" w:w="3120"/>
            <w:tcMar>
              <w:top w:w="100" w:type="dxa"/>
              <w:bottom w:w="100" w:type="dxa"/>
              <w:left w:w="150" w:type="dxa"/>
              <w:right w:w="150" w:type="dxa"/>
            </w:tcMar>
          </w:tcPr>
          <w:p>
            <w:r/>
            <w:r>
              <w:rPr>
                <w:rFonts w:ascii="Malgun Gothic" w:hAnsi="Malgun Gothic" w:eastAsia="Malgun Gothic"/>
                <w:sz w:val="18"/>
              </w:rPr>
              <w:t>기업용(Enterprise/Team) 및 API 플랫폼을 통해 전송된 모든 데이터는 모델 학습에 절대 활용되지 않으며 규정상 암호화 보관됩니다. 이 내용은 표준 DPA(데이터 처리 조약)에 따라 법적으로 완벽하게 보증됩니다.</w:t>
            </w:r>
          </w:p>
        </w:tc>
      </w:tr>
      <w:tr>
        <w:tc>
          <w:tcPr>
            <w:tcW w:type="dxa" w:w="3120"/>
            <w:tcMar>
              <w:top w:w="100" w:type="dxa"/>
              <w:bottom w:w="100" w:type="dxa"/>
              <w:left w:w="150" w:type="dxa"/>
              <w:right w:w="150" w:type="dxa"/>
            </w:tcMar>
            <w:shd w:fill="FAFAFA"/>
          </w:tcPr>
          <w:p>
            <w:r/>
            <w:r>
              <w:rPr>
                <w:rFonts w:ascii="Malgun Gothic" w:hAnsi="Malgun Gothic" w:eastAsia="Malgun Gothic"/>
                <w:b/>
                <w:sz w:val="18"/>
              </w:rPr>
              <w:t>Q2</w:t>
            </w:r>
          </w:p>
        </w:tc>
        <w:tc>
          <w:tcPr>
            <w:tcW w:type="dxa" w:w="3120"/>
            <w:tcMar>
              <w:top w:w="100" w:type="dxa"/>
              <w:bottom w:w="100" w:type="dxa"/>
              <w:left w:w="150" w:type="dxa"/>
              <w:right w:w="150" w:type="dxa"/>
            </w:tcMar>
          </w:tcPr>
          <w:p>
            <w:r/>
            <w:r>
              <w:rPr>
                <w:rFonts w:ascii="Malgun Gothic" w:hAnsi="Malgun Gothic" w:eastAsia="Malgun Gothic"/>
                <w:sz w:val="18"/>
              </w:rPr>
              <w:t>한국어 성능은 어떤가요?</w:t>
            </w:r>
          </w:p>
        </w:tc>
        <w:tc>
          <w:tcPr>
            <w:tcW w:type="dxa" w:w="3120"/>
            <w:tcMar>
              <w:top w:w="100" w:type="dxa"/>
              <w:bottom w:w="100" w:type="dxa"/>
              <w:left w:w="150" w:type="dxa"/>
              <w:right w:w="150" w:type="dxa"/>
            </w:tcMar>
          </w:tcPr>
          <w:p>
            <w:r/>
            <w:r>
              <w:rPr>
                <w:rFonts w:ascii="Malgun Gothic" w:hAnsi="Malgun Gothic" w:eastAsia="Malgun Gothic"/>
                <w:sz w:val="18"/>
              </w:rPr>
              <w:t>GPT-5.5 / GPT-5.4 출시 이후 토크나이저 효율화로 한국어 인지력 및 속도가 비약적으로 향상되었습니다. 번역 및 보고서 톤앤매너 정리가 원활합니다.</w:t>
            </w:r>
          </w:p>
        </w:tc>
      </w:tr>
      <w:tr>
        <w:tc>
          <w:tcPr>
            <w:tcW w:type="dxa" w:w="3120"/>
            <w:tcMar>
              <w:top w:w="100" w:type="dxa"/>
              <w:bottom w:w="100" w:type="dxa"/>
              <w:left w:w="150" w:type="dxa"/>
              <w:right w:w="150" w:type="dxa"/>
            </w:tcMar>
            <w:shd w:fill="FAFAFA"/>
          </w:tcPr>
          <w:p>
            <w:r/>
            <w:r>
              <w:rPr>
                <w:rFonts w:ascii="Malgun Gothic" w:hAnsi="Malgun Gothic" w:eastAsia="Malgun Gothic"/>
                <w:b/>
                <w:sz w:val="18"/>
              </w:rPr>
              <w:t>Q3</w:t>
            </w:r>
          </w:p>
        </w:tc>
        <w:tc>
          <w:tcPr>
            <w:tcW w:type="dxa" w:w="3120"/>
            <w:tcMar>
              <w:top w:w="100" w:type="dxa"/>
              <w:bottom w:w="100" w:type="dxa"/>
              <w:left w:w="150" w:type="dxa"/>
              <w:right w:w="150" w:type="dxa"/>
            </w:tcMar>
          </w:tcPr>
          <w:p>
            <w:r/>
            <w:r>
              <w:rPr>
                <w:rFonts w:ascii="Malgun Gothic" w:hAnsi="Malgun Gothic" w:eastAsia="Malgun Gothic"/>
                <w:sz w:val="18"/>
              </w:rPr>
              <w:t>MS Copilot 365와 어떻게 다른가요?</w:t>
            </w:r>
          </w:p>
        </w:tc>
        <w:tc>
          <w:tcPr>
            <w:tcW w:type="dxa" w:w="3120"/>
            <w:tcMar>
              <w:top w:w="100" w:type="dxa"/>
              <w:bottom w:w="100" w:type="dxa"/>
              <w:left w:w="150" w:type="dxa"/>
              <w:right w:w="150" w:type="dxa"/>
            </w:tcMar>
          </w:tcPr>
          <w:p>
            <w:r/>
            <w:r>
              <w:rPr>
                <w:rFonts w:ascii="Malgun Gothic" w:hAnsi="Malgun Gothic" w:eastAsia="Malgun Gothic"/>
                <w:sz w:val="18"/>
              </w:rPr>
              <w:t>Copilot 365는 아웃룩, 워드, PPT 등 오피스 파일 자체를 편집하는 데 최적화되어 있습니다. OpenAI Enterprise는 범용 지식 RAG 및 독자적인 Custom GPT 구축 등 광범위한 업무 자동화 플랫폼으로서 우위에 있습니다. 두 제품을 부서별로 병행 도입하는 것을 가장 추천합니다.</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