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특종보험 보통약관 개정 대비표 (초안)</w:t>
      </w:r>
    </w:p>
    <w:p>
      <w:pPr>
        <w:jc w:val="center"/>
      </w:pPr>
      <w:r>
        <w:rPr>
          <w:color w:val="777777"/>
          <w:sz w:val="18"/>
        </w:rPr>
        <w:t>작성일 2026-08-05 · 검토 진행 중 · 교육용 가상 문서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조항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현행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개정안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개정 사유</w:t>
            </w:r>
          </w:p>
        </w:tc>
      </w:tr>
      <w:tr>
        <w:tc>
          <w:tcPr>
            <w:tcW w:type="dxa" w:w="2160"/>
          </w:tcPr>
          <w:p>
            <w:r>
              <w:t>제12조 (보상하는 손해)</w:t>
            </w:r>
          </w:p>
        </w:tc>
        <w:tc>
          <w:tcPr>
            <w:tcW w:type="dxa" w:w="2160"/>
          </w:tcPr>
          <w:p>
            <w:r>
              <w:t>회사는 피보험자가 보험기간 중 발생한 사고로 부담하는 법률상 배상책임을 보상합니다.</w:t>
            </w:r>
          </w:p>
        </w:tc>
        <w:tc>
          <w:tcPr>
            <w:tcW w:type="dxa" w:w="2160"/>
          </w:tcPr>
          <w:p>
            <w:r>
              <w:t>회사는 피보험자가 보험기간 중 발생한 사고로 부담하는 법률상 배상책임을 보상합니다. 다만 전자적 침해사고로 인한 배상책임은 사이버배상책임 특별약관에 따릅니다.</w:t>
            </w:r>
          </w:p>
        </w:tc>
        <w:tc>
          <w:tcPr>
            <w:tcW w:type="dxa" w:w="2160"/>
          </w:tcPr>
          <w:p>
            <w:r>
              <w:t>사이버 담보 신설에 따른 담보 중복 정리</w:t>
            </w:r>
          </w:p>
        </w:tc>
      </w:tr>
      <w:tr>
        <w:tc>
          <w:tcPr>
            <w:tcW w:type="dxa" w:w="2160"/>
          </w:tcPr>
          <w:p>
            <w:r>
              <w:t>제14조 (보상하지 않는 손해)</w:t>
            </w:r>
          </w:p>
        </w:tc>
        <w:tc>
          <w:tcPr>
            <w:tcW w:type="dxa" w:w="2160"/>
          </w:tcPr>
          <w:p>
            <w:r>
              <w:t>고의 또는 중대한 과실로 생긴 손해</w:t>
            </w:r>
          </w:p>
        </w:tc>
        <w:tc>
          <w:tcPr>
            <w:tcW w:type="dxa" w:w="2160"/>
          </w:tcPr>
          <w:p>
            <w:r>
              <w:t>고의로 생긴 손해. 다만 중대한 과실로 생긴 손해는 제20조의 감액 규정을 적용합니다.</w:t>
            </w:r>
          </w:p>
        </w:tc>
        <w:tc>
          <w:tcPr>
            <w:tcW w:type="dxa" w:w="2160"/>
          </w:tcPr>
          <w:p>
            <w:r>
              <w:t>판례 반영 및 소비자 보호 기준 정비</w:t>
            </w:r>
          </w:p>
        </w:tc>
      </w:tr>
      <w:tr>
        <w:tc>
          <w:tcPr>
            <w:tcW w:type="dxa" w:w="2160"/>
          </w:tcPr>
          <w:p>
            <w:r>
              <w:t>제18조 (보험료의 정산)</w:t>
            </w:r>
          </w:p>
        </w:tc>
        <w:tc>
          <w:tcPr>
            <w:tcW w:type="dxa" w:w="2160"/>
          </w:tcPr>
          <w:p>
            <w:r>
              <w:t>보험계약자는 보험기간 종료 후 60일 이내에 확정보험료를 정산합니다.</w:t>
            </w:r>
          </w:p>
        </w:tc>
        <w:tc>
          <w:tcPr>
            <w:tcW w:type="dxa" w:w="2160"/>
          </w:tcPr>
          <w:p>
            <w:r>
              <w:t>보험계약자는 보험기간 종료 후 45일 이내에 확정보험료를 정산합니다.</w:t>
            </w:r>
          </w:p>
        </w:tc>
        <w:tc>
          <w:tcPr>
            <w:tcW w:type="dxa" w:w="2160"/>
          </w:tcPr>
          <w:p>
            <w:r>
              <w:t>정산 지연에 따른 미수채권 관리 강화</w:t>
            </w:r>
          </w:p>
        </w:tc>
      </w:tr>
      <w:tr>
        <w:tc>
          <w:tcPr>
            <w:tcW w:type="dxa" w:w="2160"/>
          </w:tcPr>
          <w:p>
            <w:r>
              <w:t>제20조 (손해액의 감액)</w:t>
            </w:r>
          </w:p>
        </w:tc>
        <w:tc>
          <w:tcPr>
            <w:tcW w:type="dxa" w:w="2160"/>
          </w:tcPr>
          <w:p>
            <w:r>
              <w:t>(신설)</w:t>
            </w:r>
          </w:p>
        </w:tc>
        <w:tc>
          <w:tcPr>
            <w:tcW w:type="dxa" w:w="2160"/>
          </w:tcPr>
          <w:p>
            <w:r>
              <w:t>중대한 과실로 인한 손해에 대하여는 손해액의 30%를 한도로 감액할 수 있습니다.</w:t>
            </w:r>
          </w:p>
        </w:tc>
        <w:tc>
          <w:tcPr>
            <w:tcW w:type="dxa" w:w="2160"/>
          </w:tcPr>
          <w:p>
            <w:r>
              <w:t>제14조 개정에 따른 후속 조항 신설</w:t>
            </w:r>
          </w:p>
        </w:tc>
      </w:tr>
      <w:tr>
        <w:tc>
          <w:tcPr>
            <w:tcW w:type="dxa" w:w="2160"/>
          </w:tcPr>
          <w:p>
            <w:r>
              <w:t>제27조 (분쟁의 해결)</w:t>
            </w:r>
          </w:p>
        </w:tc>
        <w:tc>
          <w:tcPr>
            <w:tcW w:type="dxa" w:w="2160"/>
          </w:tcPr>
          <w:p>
            <w:r>
              <w:t>이 계약에 관한 분쟁은 서울중앙지방법원을 관할로 합니다.</w:t>
            </w:r>
          </w:p>
        </w:tc>
        <w:tc>
          <w:tcPr>
            <w:tcW w:type="dxa" w:w="2160"/>
          </w:tcPr>
          <w:p>
            <w:r>
              <w:t>이 계약에 관한 분쟁은 대한상사중재원의 중재에 의하여 해결합니다.</w:t>
            </w:r>
          </w:p>
        </w:tc>
        <w:tc>
          <w:tcPr>
            <w:tcW w:type="dxa" w:w="2160"/>
          </w:tcPr>
          <w:p>
            <w:r>
              <w:t>국제 재보험 관행 반영</w:t>
            </w:r>
          </w:p>
        </w:tc>
      </w:tr>
    </w:tbl>
    <w:p/>
    <w:p>
      <w:r>
        <w:rPr>
          <w:sz w:val="18"/>
        </w:rPr>
        <w:t>※ 제20조는 신설 조항으로, 제14조 개정과 함께 심의되어야 합니다. 제27조는 법무팀 검토 회신 대기 중입니다.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