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数据流动态分析平台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&lt;0.3&gt;</w:t>
      </w: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  <w:r>
              <w:rPr>
                <w:rFonts w:ascii="Times New Roman"/>
              </w:rPr>
              <w:t xml:space="preserve">2022 </w:t>
            </w:r>
            <w:r>
              <w:rPr>
                <w:rFonts w:hint="eastAsia" w:ascii="Times New Roman"/>
              </w:rPr>
              <w:t xml:space="preserve">年 </w:t>
            </w:r>
            <w:r>
              <w:rPr>
                <w:rFonts w:ascii="Times New Roman"/>
              </w:rPr>
              <w:t xml:space="preserve">11 </w:t>
            </w:r>
            <w:r>
              <w:rPr>
                <w:rFonts w:hint="eastAsia" w:ascii="Times New Roman"/>
              </w:rPr>
              <w:t xml:space="preserve">月 </w:t>
            </w:r>
            <w:r>
              <w:rPr>
                <w:rFonts w:ascii="Times New Roman"/>
              </w:rPr>
              <w:t xml:space="preserve">6 </w:t>
            </w:r>
            <w:r>
              <w:rPr>
                <w:rFonts w:hint="eastAsia" w:ascii="Times New Roman"/>
              </w:rPr>
              <w:t>日</w:t>
            </w:r>
          </w:p>
        </w:tc>
        <w:tc>
          <w:tcPr>
            <w:tcW w:w="1152" w:type="dxa"/>
          </w:tcPr>
          <w:p>
            <w:pPr>
              <w:pStyle w:val="42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>
            <w:pPr>
              <w:pStyle w:val="42"/>
            </w:pPr>
            <w:r>
              <w:rPr>
                <w:rFonts w:hint="eastAsia"/>
              </w:rPr>
              <w:t>完成简介、质量属性设计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rPr>
                <w:rFonts w:hint="eastAsia" w:ascii="Times New Roman"/>
              </w:rPr>
              <w:t>胡昊源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 xml:space="preserve">年 </w:t>
            </w:r>
            <w:r>
              <w:t xml:space="preserve">11 </w:t>
            </w:r>
            <w:r>
              <w:rPr>
                <w:rFonts w:hint="eastAsia"/>
              </w:rPr>
              <w:t xml:space="preserve">月 </w:t>
            </w:r>
            <w:r>
              <w:t xml:space="preserve">7 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>
            <w:pPr>
              <w:pStyle w:val="42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>
            <w:pPr>
              <w:pStyle w:val="42"/>
            </w:pPr>
            <w:r>
              <w:rPr>
                <w:rFonts w:hint="eastAsia"/>
              </w:rPr>
              <w:t>完成 2、3、4、5</w:t>
            </w:r>
            <w:r>
              <w:t xml:space="preserve"> </w:t>
            </w:r>
            <w:r>
              <w:rPr>
                <w:rFonts w:hint="eastAsia"/>
              </w:rPr>
              <w:t>节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佘智龙、李梦瑶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>年 1</w:t>
            </w:r>
            <w:r>
              <w:t xml:space="preserve">1 </w:t>
            </w:r>
            <w:r>
              <w:rPr>
                <w:rFonts w:hint="eastAsia"/>
              </w:rPr>
              <w:t xml:space="preserve">月 </w:t>
            </w:r>
            <w:r>
              <w:t xml:space="preserve">8 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>
            <w:pPr>
              <w:pStyle w:val="42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3744" w:type="dxa"/>
          </w:tcPr>
          <w:p>
            <w:pPr>
              <w:pStyle w:val="42"/>
            </w:pPr>
            <w:r>
              <w:rPr>
                <w:rFonts w:hint="eastAsia"/>
              </w:rPr>
              <w:t>完成 6、7</w:t>
            </w:r>
            <w:r>
              <w:t xml:space="preserve"> </w:t>
            </w:r>
            <w:r>
              <w:rPr>
                <w:rFonts w:hint="eastAsia"/>
              </w:rPr>
              <w:t>节，整合文档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t>N</w:t>
            </w:r>
            <w:r>
              <w:rPr>
                <w:rFonts w:hint="eastAsia"/>
              </w:rPr>
              <w:t>aomi、胡昊源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2022年11月17日</w:t>
            </w:r>
          </w:p>
        </w:tc>
        <w:tc>
          <w:tcPr>
            <w:tcW w:w="1152" w:type="dxa"/>
          </w:tcPr>
          <w:p>
            <w:pPr>
              <w:pStyle w:val="42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>
            <w:pPr>
              <w:pStyle w:val="42"/>
            </w:pPr>
            <w:r>
              <w:rPr>
                <w:rFonts w:hint="eastAsia"/>
              </w:rPr>
              <w:t>修改第6、7节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Naomi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2022年11月17日</w:t>
            </w:r>
          </w:p>
        </w:tc>
        <w:tc>
          <w:tcPr>
            <w:tcW w:w="1152" w:type="dxa"/>
          </w:tcPr>
          <w:p>
            <w:pPr>
              <w:pStyle w:val="42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>
            <w:pPr>
              <w:pStyle w:val="42"/>
            </w:pPr>
            <w:r>
              <w:rPr>
                <w:rFonts w:hint="eastAsia"/>
              </w:rPr>
              <w:t>完成低代码平台综述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Naomi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>
            <w:pPr>
              <w:pStyle w:val="42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3744" w:type="dxa"/>
          </w:tcPr>
          <w:p>
            <w:pPr>
              <w:pStyle w:val="42"/>
            </w:pPr>
            <w:r>
              <w:rPr>
                <w:rFonts w:hint="eastAsia"/>
              </w:rPr>
              <w:t>修改进程视图和部署视图</w:t>
            </w:r>
          </w:p>
        </w:tc>
        <w:tc>
          <w:tcPr>
            <w:tcW w:w="2304" w:type="dxa"/>
          </w:tcPr>
          <w:p>
            <w:pPr>
              <w:pStyle w:val="42"/>
            </w:pPr>
            <w:r>
              <w:rPr>
                <w:rFonts w:hint="eastAsia"/>
              </w:rPr>
              <w:t>佘智龙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2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2022年11月18日</w:t>
            </w:r>
          </w:p>
        </w:tc>
        <w:tc>
          <w:tcPr>
            <w:tcW w:w="1152" w:type="dxa"/>
          </w:tcPr>
          <w:p>
            <w:pPr>
              <w:pStyle w:val="42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</w:t>
            </w:r>
          </w:p>
        </w:tc>
        <w:tc>
          <w:tcPr>
            <w:tcW w:w="3744" w:type="dxa"/>
          </w:tcPr>
          <w:p>
            <w:pPr>
              <w:pStyle w:val="42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完成依据架构评审的修改</w:t>
            </w:r>
          </w:p>
        </w:tc>
        <w:tc>
          <w:tcPr>
            <w:tcW w:w="2304" w:type="dxa"/>
          </w:tcPr>
          <w:p>
            <w:pPr>
              <w:pStyle w:val="42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李梦瑶</w:t>
            </w: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_Toc118930747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_Toc118930748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参考资料</w:t>
      </w:r>
      <w:r>
        <w:tab/>
      </w:r>
      <w:r>
        <w:fldChar w:fldCharType="begin"/>
      </w:r>
      <w:r>
        <w:instrText xml:space="preserve"> PAGEREF _Toc118930749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用例视图</w:t>
      </w:r>
      <w:r>
        <w:tab/>
      </w:r>
      <w:r>
        <w:fldChar w:fldCharType="begin"/>
      </w:r>
      <w:r>
        <w:instrText xml:space="preserve"> PAGEREF _Toc118930750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管理数据源数据功能</w:t>
      </w:r>
      <w:r>
        <w:tab/>
      </w:r>
      <w:r>
        <w:fldChar w:fldCharType="begin"/>
      </w:r>
      <w:r>
        <w:instrText xml:space="preserve"> PAGEREF _Toc118930751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管理数据分析服务功能</w:t>
      </w:r>
      <w:r>
        <w:tab/>
      </w:r>
      <w:r>
        <w:fldChar w:fldCharType="begin"/>
      </w:r>
      <w:r>
        <w:instrText xml:space="preserve"> PAGEREF _Toc118930752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逻辑视图</w:t>
      </w:r>
      <w:r>
        <w:tab/>
      </w:r>
      <w:r>
        <w:fldChar w:fldCharType="begin"/>
      </w:r>
      <w:r>
        <w:instrText xml:space="preserve"> PAGEREF _Toc118930753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概述</w:t>
      </w:r>
      <w:r>
        <w:tab/>
      </w:r>
      <w:r>
        <w:fldChar w:fldCharType="begin"/>
      </w:r>
      <w:r>
        <w:instrText xml:space="preserve"> PAGEREF _Toc118930754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在构架方面具有重要意义的设计包</w:t>
      </w:r>
      <w:r>
        <w:tab/>
      </w:r>
      <w:r>
        <w:fldChar w:fldCharType="begin"/>
      </w:r>
      <w:r>
        <w:instrText xml:space="preserve"> PAGEREF _Toc118930755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数据源处理</w:t>
      </w:r>
      <w:r>
        <w:tab/>
      </w:r>
      <w:r>
        <w:fldChar w:fldCharType="begin"/>
      </w:r>
      <w:r>
        <w:instrText xml:space="preserve"> PAGEREF _Toc118930756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数据流处理</w:t>
      </w:r>
      <w:r>
        <w:tab/>
      </w:r>
      <w:r>
        <w:fldChar w:fldCharType="begin"/>
      </w:r>
      <w:r>
        <w:instrText xml:space="preserve"> PAGEREF _Toc118930757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进程视图</w:t>
      </w:r>
      <w:r>
        <w:tab/>
      </w:r>
      <w:r>
        <w:fldChar w:fldCharType="begin"/>
      </w:r>
      <w:r>
        <w:instrText xml:space="preserve"> PAGEREF _Toc118930758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部署视图</w:t>
      </w:r>
      <w:r>
        <w:tab/>
      </w:r>
      <w:r>
        <w:fldChar w:fldCharType="begin"/>
      </w:r>
      <w:r>
        <w:instrText xml:space="preserve"> PAGEREF _Toc118930759 \h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实现视图</w:t>
      </w:r>
      <w:r>
        <w:tab/>
      </w:r>
      <w:r>
        <w:fldChar w:fldCharType="begin"/>
      </w:r>
      <w:r>
        <w:instrText xml:space="preserve"> PAGEREF _Toc118930760 \h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技术视图</w:t>
      </w:r>
      <w:r>
        <w:tab/>
      </w:r>
      <w:r>
        <w:fldChar w:fldCharType="begin"/>
      </w:r>
      <w:r>
        <w:instrText xml:space="preserve"> PAGEREF _Toc118930761 \h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质量属性的设计</w:t>
      </w:r>
      <w:r>
        <w:tab/>
      </w:r>
      <w:r>
        <w:fldChar w:fldCharType="begin"/>
      </w:r>
      <w:r>
        <w:instrText xml:space="preserve"> PAGEREF _Toc118930762 \h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系统性能</w:t>
      </w:r>
      <w:r>
        <w:tab/>
      </w:r>
      <w:r>
        <w:fldChar w:fldCharType="begin"/>
      </w:r>
      <w:r>
        <w:instrText xml:space="preserve"> PAGEREF _Toc118930763 \h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系统可扩展性</w:t>
      </w:r>
      <w:r>
        <w:tab/>
      </w:r>
      <w:r>
        <w:fldChar w:fldCharType="begin"/>
      </w:r>
      <w:r>
        <w:instrText xml:space="preserve"> PAGEREF _Toc118930764 \h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系统可靠性</w:t>
      </w:r>
      <w:r>
        <w:tab/>
      </w:r>
      <w:r>
        <w:fldChar w:fldCharType="begin"/>
      </w:r>
      <w:r>
        <w:instrText xml:space="preserve"> PAGEREF _Toc118930765 \h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系统易用性</w:t>
      </w:r>
      <w:r>
        <w:tab/>
      </w:r>
      <w:r>
        <w:fldChar w:fldCharType="begin"/>
      </w:r>
      <w:r>
        <w:instrText xml:space="preserve"> PAGEREF _Toc118930766 \h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系统可移植性</w:t>
      </w:r>
      <w:r>
        <w:tab/>
      </w:r>
      <w:r>
        <w:fldChar w:fldCharType="begin"/>
      </w:r>
      <w:r>
        <w:instrText xml:space="preserve"> PAGEREF _Toc118930767 \h </w:instrText>
      </w:r>
      <w:r>
        <w:fldChar w:fldCharType="separate"/>
      </w:r>
      <w:r>
        <w:t>11</w:t>
      </w:r>
      <w:r>
        <w:fldChar w:fldCharType="end"/>
      </w:r>
    </w:p>
    <w:p>
      <w:pPr>
        <w:pStyle w:val="30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30"/>
        <w:tabs>
          <w:tab w:val="left" w:pos="5340"/>
        </w:tabs>
        <w:jc w:val="left"/>
      </w:pPr>
      <w:r>
        <w:tab/>
      </w:r>
    </w:p>
    <w:p>
      <w:pPr>
        <w:pStyle w:val="30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18930747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118930748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架构方面对数据流动态分析平台进行综合概述，其中会使用多种不同的架构视图来描述平台的各个方面。它用于记录并表述已对系统的架构方面作出的重要决策。本文档主要面向开发人员、产品经理、运维人员以及未来的潜在用户。本节为软件架构简介，文档将会对平台的各个架构做出介绍，读者可结合实际问题需求，从文档中找到对应视图进行深入阅读。</w:t>
      </w:r>
    </w:p>
    <w:p>
      <w:pPr>
        <w:pStyle w:val="3"/>
      </w:pPr>
      <w:r>
        <w:rPr>
          <w:rFonts w:hint="eastAsia"/>
        </w:rPr>
        <w:t>项目基础</w:t>
      </w:r>
    </w:p>
    <w:p>
      <w:pPr>
        <w:ind w:left="720"/>
      </w:pPr>
      <w:r>
        <w:rPr>
          <w:rFonts w:hint="eastAsia"/>
        </w:rPr>
        <w:t xml:space="preserve"> 本项目依托于IST实验室正在研发中的低代码平台进行开发，该平台是一款支持用户低代码开发数据模型、业务服务、服务编排、用户界面的平台，旨在为用户提供快速定义并上线产品的功能，用户研发人员只需进行低代码开发，就可以完整地构建业务场景所需的数据模型、业务服务、服务流程以及用户界面。该平台为BtoC模式，以提升用户和用户的使用体验为核心，针对前述问题和需求提出相应解决方案，并且针对整个系统的不同受众，提供特点服务。下面来简要描述一下该平台在技术实现和功能方面具的特点：</w:t>
      </w:r>
    </w:p>
    <w:p>
      <w:pPr>
        <w:pStyle w:val="4"/>
        <w:spacing w:line="240" w:lineRule="auto"/>
        <w:rPr>
          <w:b/>
          <w:bCs/>
          <w:i w:val="0"/>
          <w:iCs/>
        </w:rPr>
      </w:pPr>
      <w:bookmarkStart w:id="2" w:name="_Toc101131586"/>
      <w:r>
        <w:rPr>
          <w:rFonts w:hint="eastAsia"/>
          <w:b/>
          <w:bCs/>
          <w:i w:val="0"/>
          <w:iCs/>
        </w:rPr>
        <w:t>可动态加载的业务数据模型</w:t>
      </w:r>
      <w:bookmarkEnd w:id="2"/>
    </w:p>
    <w:p>
      <w:pPr>
        <w:ind w:left="720"/>
      </w:pPr>
      <w:r>
        <w:rPr>
          <w:rFonts w:hint="eastAsia"/>
        </w:rPr>
        <w:t>采用数据元模型动态加载，支持开发者根据业务需要灵活构建数据模型。开发者可以根据需要定义数据模型的属性名、属性类型、属性能否为空等信息，也可以定义数据模型的关联属性，在开发者上传数据模型之后，系统会在对应的数据库中自动生成数据库表。</w:t>
      </w:r>
    </w:p>
    <w:p>
      <w:pPr>
        <w:ind w:left="720"/>
      </w:pPr>
      <w:r>
        <w:rPr>
          <w:rFonts w:hint="eastAsia"/>
        </w:rPr>
        <w:t>平台提供可视化数据模型自定义界面，开发者可以简单直观地定义数据模型。</w:t>
      </w:r>
    </w:p>
    <w:p>
      <w:pPr>
        <w:pStyle w:val="4"/>
        <w:rPr>
          <w:b/>
          <w:bCs/>
          <w:i w:val="0"/>
          <w:iCs/>
        </w:rPr>
      </w:pPr>
      <w:bookmarkStart w:id="3" w:name="_Toc101131587"/>
      <w:r>
        <w:rPr>
          <w:rFonts w:hint="eastAsia"/>
          <w:b/>
          <w:bCs/>
          <w:i w:val="0"/>
          <w:iCs/>
        </w:rPr>
        <w:t>多维度可视化的业务数据配置能力</w:t>
      </w:r>
      <w:bookmarkEnd w:id="3"/>
    </w:p>
    <w:p>
      <w:pPr>
        <w:ind w:left="720"/>
      </w:pPr>
      <w:r>
        <w:rPr>
          <w:rFonts w:hint="eastAsia"/>
        </w:rPr>
        <w:t>提供业务数据的可视化操作界面，支持业务数据的按需配置与多维度查询。在研发人员发布数据模型之后，业务人员可以按照业务需求对数据按需进行配置，如定义一款新产品的产品名、存款周期、年化收益率等基本属性，又如更新一款存款产品的剩余额度。</w:t>
      </w:r>
    </w:p>
    <w:p>
      <w:pPr>
        <w:ind w:left="720"/>
      </w:pPr>
      <w:r>
        <w:rPr>
          <w:rFonts w:hint="eastAsia"/>
        </w:rPr>
        <w:t>此外，平台还提供面向数据的多维度查询功能。业务人员可以通过直接查询某项数据的属性获得目标数据，也可以通过对数据的关联数据进行查询，获得目标数据。平台的这种多维度查询设计，能够支持各种复杂的业务场景，适配可能出现的多种业务场景。</w:t>
      </w:r>
    </w:p>
    <w:p>
      <w:pPr>
        <w:pStyle w:val="4"/>
        <w:rPr>
          <w:b/>
          <w:bCs/>
          <w:i w:val="0"/>
          <w:iCs/>
        </w:rPr>
      </w:pPr>
      <w:bookmarkStart w:id="4" w:name="_Toc101131588"/>
      <w:r>
        <w:rPr>
          <w:rFonts w:hint="eastAsia"/>
          <w:b/>
          <w:bCs/>
          <w:i w:val="0"/>
          <w:iCs/>
        </w:rPr>
        <w:t>面向核心业务自定义的功能模型服务化能力</w:t>
      </w:r>
      <w:bookmarkEnd w:id="4"/>
    </w:p>
    <w:p>
      <w:pPr>
        <w:ind w:left="720"/>
      </w:pPr>
      <w:r>
        <w:rPr>
          <w:rFonts w:hint="eastAsia"/>
        </w:rPr>
        <w:t>当开发一款产品时，往往需要从新定义服务框架，需要完成大量和业务逻辑无关的代码开发。低代码平台为了能够减少开发者的开发压力，节约开发时间，设计了一款轻量级业务服务自研框架。开发者只需要定义业务服务的输入和输出，实现平台所暴露的服务接口，完成业务的核心逻辑，将代码以jar包的形式上传，平台就会自动解析业务服务，帮助开发者通过低代码开发的形式灵活拓展业务。</w:t>
      </w:r>
    </w:p>
    <w:p>
      <w:pPr>
        <w:pStyle w:val="4"/>
        <w:rPr>
          <w:b/>
          <w:bCs/>
          <w:i w:val="0"/>
          <w:iCs/>
        </w:rPr>
      </w:pPr>
      <w:bookmarkStart w:id="5" w:name="_Toc101131589"/>
      <w:r>
        <w:rPr>
          <w:rFonts w:hint="eastAsia"/>
          <w:b/>
          <w:bCs/>
          <w:i w:val="0"/>
          <w:iCs/>
        </w:rPr>
        <w:t>随调随启的业务服务执行机制</w:t>
      </w:r>
      <w:bookmarkEnd w:id="5"/>
    </w:p>
    <w:p>
      <w:pPr>
        <w:ind w:left="720"/>
      </w:pPr>
      <w:r>
        <w:rPr>
          <w:rFonts w:hint="eastAsia"/>
        </w:rPr>
        <w:t>平台采用事件驱动的设计理念，当开发者上传的业务服务被平台解析后，不会立刻部署并运行。当服务被调用时，会产生服务实例，服务实例被部署并执行，运行开发者设定的服务逻辑，根据服务输入产生服务输出，而当服务调用完成，服务实例即会结束运行。采用这种随调随启的执行机制，可以大大提高资源的利用效率。</w:t>
      </w:r>
    </w:p>
    <w:p>
      <w:pPr>
        <w:ind w:left="720"/>
      </w:pPr>
      <w:r>
        <w:rPr>
          <w:rFonts w:hint="eastAsia"/>
        </w:rPr>
        <w:t>此外，平台还提供业务服务本地化与容器化两种执行环境。本地化执行环境启用更加快速，适合轻量级服务，而容器化环境会将服务打包镜像，在服务器上部署运行，适合较重量级服务，可以支持不同需求的业务场景。</w:t>
      </w:r>
    </w:p>
    <w:p>
      <w:pPr>
        <w:pStyle w:val="4"/>
        <w:rPr>
          <w:b/>
          <w:bCs/>
          <w:i w:val="0"/>
          <w:iCs/>
        </w:rPr>
      </w:pPr>
      <w:bookmarkStart w:id="6" w:name="_Toc101131590"/>
      <w:r>
        <w:rPr>
          <w:rFonts w:hint="eastAsia"/>
          <w:b/>
          <w:bCs/>
          <w:i w:val="0"/>
          <w:iCs/>
        </w:rPr>
        <w:t>支持复杂控制逻辑的服务编排与执行引擎</w:t>
      </w:r>
      <w:bookmarkEnd w:id="6"/>
    </w:p>
    <w:p>
      <w:pPr>
        <w:ind w:left="720"/>
      </w:pPr>
      <w:r>
        <w:rPr>
          <w:rFonts w:hint="eastAsia"/>
        </w:rPr>
        <w:t>平台采用基于可视化增强的服务编排DSL，帮助开发者可视化编排服务流程。平台的可视化服务编排DSL有节点和线条两种组件。节点分为服务节点和控制节点，控制节点又可以分为并行节点、循环节点以及分支选择节点，使平台的服务编排DSL可以支持多种复杂逻辑，适配不同需求的业务场景。线条则用来连接节点，表示节点在服务流程中的先后关系。开发者可以拖拽组件，为节点绑定服务，编排业务流程。</w:t>
      </w:r>
    </w:p>
    <w:p>
      <w:pPr>
        <w:pStyle w:val="4"/>
        <w:rPr>
          <w:b/>
          <w:bCs/>
          <w:i w:val="0"/>
          <w:iCs/>
        </w:rPr>
      </w:pPr>
      <w:bookmarkStart w:id="7" w:name="_Toc101131591"/>
      <w:r>
        <w:rPr>
          <w:rFonts w:hint="eastAsia"/>
          <w:b/>
          <w:bCs/>
          <w:i w:val="0"/>
          <w:iCs/>
        </w:rPr>
        <w:t>所见即所得的界面开发方法</w:t>
      </w:r>
      <w:bookmarkEnd w:id="7"/>
    </w:p>
    <w:p>
      <w:pPr>
        <w:ind w:left="720"/>
      </w:pPr>
      <w:r>
        <w:rPr>
          <w:rFonts w:hint="eastAsia"/>
        </w:rPr>
        <w:t>界面组件动态渲染，支持开发者通过拖拽组件的方式绘制用户界面。平台支持多种可视化组件，如按钮、输入框、文字等。开发者可以拖拽组件、绑定服务，快速绘制用户界面，直观便捷。</w:t>
      </w:r>
    </w:p>
    <w:p>
      <w:pPr>
        <w:ind w:left="720"/>
      </w:pPr>
      <w:r>
        <w:rPr>
          <w:rFonts w:hint="eastAsia"/>
        </w:rPr>
        <w:t>用户界面的组件能够集成用户动态输入、业务服务以及数据服务等多种数据源，打通业务与数据链路。并且开发者能够根据业务需求定义用户界面的跳转逻辑，使用户界面的跳转逻辑准确贴合已定义的业务流程。</w:t>
      </w:r>
    </w:p>
    <w:p>
      <w:pPr>
        <w:pStyle w:val="3"/>
      </w:pPr>
      <w:bookmarkStart w:id="8" w:name="_Toc118930749"/>
      <w:r>
        <w:rPr>
          <w:rFonts w:hint="eastAsia"/>
        </w:rPr>
        <w:t>参考资料</w:t>
      </w:r>
      <w:bookmarkEnd w:id="8"/>
    </w:p>
    <w:p>
      <w:pPr>
        <w:pStyle w:val="14"/>
        <w:rPr>
          <w:snapToGrid/>
        </w:rPr>
      </w:pPr>
      <w:r>
        <w:rPr>
          <w:rFonts w:hint="eastAsia"/>
        </w:rPr>
        <w:t>[1] 蔡鸿明.沈备军，任锐，互联网时代的软件工程[M].上海交通大学出版社,2021.11.</w:t>
      </w:r>
    </w:p>
    <w:p>
      <w:pPr>
        <w:pStyle w:val="14"/>
      </w:pPr>
      <w:r>
        <w:rPr>
          <w:rFonts w:hint="eastAsia"/>
        </w:rPr>
        <w:t>[2] 沈备军，陈昊鹏，陈雨亭，软件工程原理[M].高等教育出版社,2013.2.</w:t>
      </w:r>
    </w:p>
    <w:p>
      <w:pPr>
        <w:pStyle w:val="14"/>
      </w:pP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胡昊源，Naomi，佘智龙，李梦瑶，数据流动态分析平台软件需求规约</w:t>
      </w:r>
      <w:r>
        <w:t>.</w:t>
      </w:r>
      <w:r>
        <w:rPr>
          <w:rFonts w:hint="eastAsia"/>
        </w:rPr>
        <w:t>上海交通大学软件学院课程文档,</w:t>
      </w:r>
      <w:r>
        <w:t>2022.11.</w:t>
      </w:r>
    </w:p>
    <w:p>
      <w:pPr>
        <w:pStyle w:val="2"/>
        <w:ind w:left="360" w:hanging="360"/>
      </w:pPr>
      <w:bookmarkStart w:id="9" w:name="_Toc118930750"/>
      <w:r>
        <w:rPr>
          <w:rFonts w:hint="eastAsia"/>
        </w:rPr>
        <w:t>用例视图</w:t>
      </w:r>
      <w:bookmarkEnd w:id="9"/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管理人员通过管理数据源功能对数据流输入进行管理，包括创建数据源和查询数据源。根据提供的数据源接口，配置输入数据流的数据类型、名字、id等信息，创建数据源。同时，可以查询所创建的数据源，并对数据源进行修改和删除。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管理人员通过管理数据分析功能对数据流处理分析服务进行管理，包括创建数据分析服务和查询数据分析服务。根据提供的数据分析服务接口，配置数据处理的相关参数，创建对应的数据分析服务。同时，可以查询所创建的数据分析服务，并对数据分析服务进行修改和删除。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管理人员通过数据可视化功能对数据分析的结果进行可视化展示，可查看数据分析结果的各类视图。</w:t>
      </w:r>
      <w:bookmarkStart w:id="10" w:name="_Hlk119610807"/>
    </w:p>
    <w:bookmarkEnd w:id="10"/>
    <w:p>
      <w:pPr>
        <w:jc w:val="center"/>
      </w:pPr>
      <w:r>
        <w:drawing>
          <wp:inline distT="0" distB="0" distL="0" distR="0">
            <wp:extent cx="5274310" cy="3575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核心用例视图</w:t>
      </w:r>
    </w:p>
    <w:p>
      <w:pPr>
        <w:pStyle w:val="2"/>
        <w:ind w:left="360" w:hanging="360"/>
      </w:pPr>
      <w:bookmarkStart w:id="11" w:name="_Toc118930753"/>
      <w:r>
        <w:rPr>
          <w:rFonts w:hint="eastAsia"/>
        </w:rPr>
        <w:t>逻辑视图</w:t>
      </w:r>
      <w:bookmarkEnd w:id="11"/>
    </w:p>
    <w:p>
      <w:pPr>
        <w:pStyle w:val="3"/>
      </w:pPr>
      <w:bookmarkStart w:id="12" w:name="_Toc118930754"/>
      <w:r>
        <w:rPr>
          <w:rFonts w:hint="eastAsia"/>
        </w:rPr>
        <w:t>概述</w:t>
      </w:r>
      <w:bookmarkEnd w:id="12"/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如图所示，本数据流动态分析平台采用分层结构和管道过滤器风格结合的方式，共分为基础层、抽象层和用户层三层。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基础层提供底层的数据源接入处理、基于 </w:t>
      </w:r>
      <w:r>
        <w:rPr>
          <w:i w:val="0"/>
          <w:color w:val="auto"/>
        </w:rPr>
        <w:t>F</w:t>
      </w:r>
      <w:r>
        <w:rPr>
          <w:rFonts w:hint="eastAsia"/>
          <w:i w:val="0"/>
          <w:color w:val="auto"/>
        </w:rPr>
        <w:t>link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的算子 API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组合、自动部署、低代码生成和平台权限管理功能。抽象层分别对基础层中的底层模块进行抽象，形成数据流抽象、多种类型数据处理功能、数据处理记录、应用流程抽象、用户角色抽象这些接口，向上功能给用户层。用户层利用这些接口形成数据流注册、数据处理编排、数据可视化这一管道流程，同时还提供了低代码编排和用户权限设置两大功能。</w:t>
      </w:r>
    </w:p>
    <w:p>
      <w:pPr>
        <w:pStyle w:val="49"/>
        <w:rPr>
          <w:i w:val="0"/>
          <w:color w:val="auto"/>
        </w:rPr>
      </w:pPr>
      <w:r>
        <w:drawing>
          <wp:inline distT="0" distB="0" distL="0" distR="0">
            <wp:extent cx="5943600" cy="2404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数据处理平台逻辑视图</w:t>
      </w:r>
    </w:p>
    <w:p>
      <w:pPr>
        <w:pStyle w:val="3"/>
      </w:pPr>
      <w:bookmarkStart w:id="13" w:name="_Toc118930755"/>
      <w:r>
        <w:rPr>
          <w:rFonts w:hint="eastAsia"/>
        </w:rPr>
        <w:t>在构架方面具有重要意义的设计包</w:t>
      </w:r>
      <w:bookmarkEnd w:id="13"/>
    </w:p>
    <w:p>
      <w:pPr>
        <w:pStyle w:val="3"/>
        <w:numPr>
          <w:ilvl w:val="0"/>
          <w:numId w:val="0"/>
        </w:numPr>
        <w:ind w:left="720"/>
      </w:pPr>
      <w:bookmarkStart w:id="14" w:name="_Toc118930756"/>
      <w:r>
        <w:rPr>
          <w:rFonts w:hint="eastAsia"/>
        </w:rPr>
        <w:t>数据源处理</w:t>
      </w:r>
      <w:bookmarkEnd w:id="14"/>
    </w:p>
    <w:p>
      <w:pPr>
        <w:ind w:left="800" w:hanging="800" w:hangingChars="4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数据源主要对数据流进行抽象，包括接受数据流，对数据流的格式进行抽象，用户注册数据流。</w:t>
      </w:r>
    </w:p>
    <w:p>
      <w:pPr>
        <w:ind w:left="800" w:hanging="800" w:hangingChars="400"/>
      </w:pP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重要的类：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DataStreamOrigin：接受数据流，由于项目没有实时数据流环境，需要模拟数据流，所以该类主要完成将日志类数据转换为实时数据流的功能；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DataStreamAbstract：定义数据流的格式，包括数据属性、id等，作为用户定义所需的数据流输入的依据；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DataStreamRegister：用户根据界面表单，填写数据流中数据的名称，需要处理的数据等信息。</w:t>
      </w:r>
    </w:p>
    <w:p>
      <w:pPr>
        <w:pStyle w:val="49"/>
        <w:rPr>
          <w:i w:val="0"/>
          <w:color w:val="auto"/>
        </w:rPr>
      </w:pPr>
      <w:r>
        <w:drawing>
          <wp:inline distT="0" distB="0" distL="0" distR="0">
            <wp:extent cx="5274310" cy="1158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数据源处理设计包</w:t>
      </w:r>
    </w:p>
    <w:p>
      <w:pPr>
        <w:pStyle w:val="3"/>
        <w:numPr>
          <w:ilvl w:val="0"/>
          <w:numId w:val="0"/>
        </w:numPr>
        <w:ind w:left="720"/>
      </w:pPr>
      <w:bookmarkStart w:id="15" w:name="_Toc118930757"/>
      <w:r>
        <w:rPr>
          <w:rFonts w:hint="eastAsia"/>
        </w:rPr>
        <w:t>数据流处理</w:t>
      </w:r>
      <w:bookmarkEnd w:id="15"/>
    </w:p>
    <w:p>
      <w:pPr>
        <w:ind w:left="800" w:hanging="800" w:hangingChars="4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数据流处理主要对数据流进行map、reduce、统计分析等各类处理操作。 </w:t>
      </w:r>
    </w:p>
    <w:p>
      <w:pPr>
        <w:ind w:left="800" w:hanging="800" w:hangingChars="400"/>
      </w:pP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重要的类：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FlinkAPI： flink框架提供的各种数据流处理API；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DataStreamOperator：基于flink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DataStream</w:t>
      </w:r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API，抽象出数据流处理接口，封装底层具体实现，便于用户按需求调用编排所需的数据处理流程；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DataProcess：用户按照数据处理的需求，选择相应的数据处理功能接口，填写相应的数据处理信息。</w:t>
      </w:r>
      <w:r>
        <w:rPr>
          <w:snapToGrid/>
        </w:rPr>
        <w:drawing>
          <wp:inline distT="0" distB="0" distL="0" distR="0">
            <wp:extent cx="5943600" cy="1340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4 </w:t>
      </w:r>
      <w:r>
        <w:rPr>
          <w:rFonts w:hint="eastAsia"/>
          <w:b/>
          <w:bCs/>
        </w:rPr>
        <w:t>数据流处理设计包</w:t>
      </w:r>
    </w:p>
    <w:p>
      <w:pPr>
        <w:pStyle w:val="2"/>
        <w:ind w:left="360" w:hanging="360"/>
      </w:pPr>
      <w:bookmarkStart w:id="16" w:name="_Toc118930758"/>
      <w:r>
        <w:rPr>
          <w:rFonts w:hint="eastAsia"/>
        </w:rPr>
        <w:t>进程视图</w:t>
      </w:r>
      <w:bookmarkEnd w:id="16"/>
    </w:p>
    <w:p>
      <w:pPr>
        <w:pStyle w:val="49"/>
        <w:jc w:val="center"/>
      </w:pPr>
      <w:r>
        <w:drawing>
          <wp:inline distT="0" distB="0" distL="0" distR="0">
            <wp:extent cx="5311775" cy="490601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047" cy="4918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5 </w:t>
      </w:r>
      <w:r>
        <w:rPr>
          <w:rFonts w:hint="eastAsia"/>
          <w:b/>
          <w:bCs/>
        </w:rPr>
        <w:t>数据流动态处理平台进程视图</w:t>
      </w:r>
    </w:p>
    <w:p>
      <w:pPr>
        <w:pStyle w:val="49"/>
        <w:rPr>
          <w:i w:val="0"/>
          <w:color w:val="auto"/>
        </w:rPr>
      </w:pPr>
      <w:r>
        <w:rPr>
          <w:i w:val="0"/>
          <w:color w:val="auto"/>
        </w:rPr>
        <w:t>1） 每个节点上可以运行一个或多个Executor服务；</w:t>
      </w:r>
    </w:p>
    <w:p>
      <w:pPr>
        <w:pStyle w:val="49"/>
        <w:rPr>
          <w:i w:val="0"/>
          <w:color w:val="auto"/>
        </w:rPr>
      </w:pPr>
      <w:r>
        <w:rPr>
          <w:i w:val="0"/>
          <w:color w:val="auto"/>
        </w:rPr>
        <w:t>2） 每个Executor配有一定数量的slot，表示该Executor中可以同时运行多少个ShuffleMapTask或者ReduceTask；</w:t>
      </w:r>
    </w:p>
    <w:p>
      <w:pPr>
        <w:pStyle w:val="49"/>
        <w:rPr>
          <w:i w:val="0"/>
          <w:color w:val="auto"/>
        </w:rPr>
      </w:pPr>
      <w:r>
        <w:rPr>
          <w:i w:val="0"/>
          <w:color w:val="auto"/>
        </w:rPr>
        <w:t>3） 每个Executor单独运行在一个JVM进程中，每个Task则是运行在Executor中的一个线程；</w:t>
      </w:r>
    </w:p>
    <w:p>
      <w:pPr>
        <w:pStyle w:val="49"/>
        <w:rPr>
          <w:i w:val="0"/>
          <w:color w:val="auto"/>
        </w:rPr>
      </w:pPr>
      <w:r>
        <w:rPr>
          <w:i w:val="0"/>
          <w:color w:val="auto"/>
        </w:rPr>
        <w:t>4） 同一个Executor内部的Task可共享内存，比如通过函数SparkContext#broadcast广播的文件或者数据结构只会在每个Executor中加载一次，而不会像MapReduce那样，每个Task加载一次；</w:t>
      </w:r>
    </w:p>
    <w:p>
      <w:pPr>
        <w:pStyle w:val="49"/>
        <w:rPr>
          <w:i w:val="0"/>
          <w:color w:val="auto"/>
        </w:rPr>
      </w:pPr>
      <w:r>
        <w:rPr>
          <w:i w:val="0"/>
          <w:color w:val="auto"/>
        </w:rPr>
        <w:t>5） Executor一旦启动后，将一直运行，且它的资源可以一直被Task复用，直到Spark程序运行完成后才释放退出。</w:t>
      </w:r>
    </w:p>
    <w:p>
      <w:pPr>
        <w:pStyle w:val="2"/>
        <w:ind w:left="360" w:hanging="360"/>
      </w:pPr>
      <w:bookmarkStart w:id="17" w:name="_Toc118930759"/>
      <w:r>
        <w:rPr>
          <w:rFonts w:hint="eastAsia"/>
        </w:rPr>
        <w:t>部署视图</w:t>
      </w:r>
      <w:bookmarkEnd w:id="17"/>
    </w:p>
    <w:p>
      <w:pPr>
        <w:pStyle w:val="14"/>
        <w:jc w:val="center"/>
      </w:pPr>
      <w:r>
        <w:drawing>
          <wp:inline distT="0" distB="0" distL="0" distR="0">
            <wp:extent cx="5525135" cy="26790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476" cy="2692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6 </w:t>
      </w:r>
      <w:r>
        <w:rPr>
          <w:rFonts w:hint="eastAsia"/>
          <w:b/>
          <w:bCs/>
        </w:rPr>
        <w:t>数据流动态处理平台部署视图</w:t>
      </w:r>
    </w:p>
    <w:p>
      <w:pPr>
        <w:pStyle w:val="14"/>
      </w:pPr>
      <w:r>
        <w:rPr>
          <w:rFonts w:hint="eastAsia"/>
        </w:rPr>
        <w:t>数据流动态分析平台的部署视图如上所示，是 C</w:t>
      </w:r>
      <w:r>
        <w:t xml:space="preserve">/S </w:t>
      </w:r>
      <w:r>
        <w:rPr>
          <w:rFonts w:hint="eastAsia"/>
        </w:rPr>
        <w:t>架构。对于 Client</w:t>
      </w:r>
      <w:r>
        <w:t xml:space="preserve"> </w:t>
      </w:r>
      <w:r>
        <w:rPr>
          <w:rFonts w:hint="eastAsia"/>
        </w:rPr>
        <w:t xml:space="preserve">和 </w:t>
      </w:r>
      <w:r>
        <w:t>S</w:t>
      </w:r>
      <w:r>
        <w:rPr>
          <w:rFonts w:hint="eastAsia"/>
        </w:rPr>
        <w:t xml:space="preserve">erver、Server和Server之间来说，他们之间均通过 </w:t>
      </w:r>
      <w:r>
        <w:t xml:space="preserve">WLAN </w:t>
      </w:r>
      <w:r>
        <w:rPr>
          <w:rFonts w:hint="eastAsia"/>
        </w:rPr>
        <w:t>网络进行连接。其中，进程视图中的Resource</w:t>
      </w:r>
      <w:r>
        <w:t xml:space="preserve"> M</w:t>
      </w:r>
      <w:r>
        <w:rPr>
          <w:rFonts w:hint="eastAsia"/>
        </w:rPr>
        <w:t xml:space="preserve">anager对应部署视图的 </w:t>
      </w:r>
      <w:r>
        <w:t>L</w:t>
      </w:r>
      <w:r>
        <w:rPr>
          <w:rFonts w:hint="eastAsia"/>
        </w:rPr>
        <w:t>oad</w:t>
      </w:r>
      <w:r>
        <w:t xml:space="preserve"> B</w:t>
      </w:r>
      <w:r>
        <w:rPr>
          <w:rFonts w:hint="eastAsia"/>
        </w:rPr>
        <w:t>alance</w:t>
      </w:r>
      <w:r>
        <w:t xml:space="preserve"> S</w:t>
      </w:r>
      <w:r>
        <w:rPr>
          <w:rFonts w:hint="eastAsia"/>
        </w:rPr>
        <w:t>erver，其余节点则对应Application</w:t>
      </w:r>
      <w:r>
        <w:t xml:space="preserve"> S</w:t>
      </w:r>
      <w:r>
        <w:rPr>
          <w:rFonts w:hint="eastAsia"/>
        </w:rPr>
        <w:t>erver。</w:t>
      </w:r>
    </w:p>
    <w:p>
      <w:pPr>
        <w:pStyle w:val="14"/>
      </w:pPr>
    </w:p>
    <w:p>
      <w:pPr>
        <w:pStyle w:val="2"/>
        <w:ind w:left="360" w:hanging="360"/>
      </w:pPr>
      <w:bookmarkStart w:id="18" w:name="_Toc118930760"/>
      <w:r>
        <w:rPr>
          <w:rFonts w:hint="eastAsia"/>
        </w:rPr>
        <w:t>实现视图</w:t>
      </w:r>
      <w:bookmarkEnd w:id="18"/>
    </w:p>
    <w:p>
      <w:pPr>
        <w:jc w:val="center"/>
      </w:pPr>
      <w:r>
        <w:drawing>
          <wp:inline distT="0" distB="0" distL="0" distR="0">
            <wp:extent cx="4594225" cy="5683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6139" cy="56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7 </w:t>
      </w:r>
      <w:r>
        <w:rPr>
          <w:rFonts w:hint="eastAsia"/>
          <w:b/>
          <w:bCs/>
        </w:rPr>
        <w:t>数据流动态处理平台实现视图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我们选择使用构件图来作为实现视图。其中将平台分为三个主要的构件：一个是负责主要工作的流程模型管理平台、还有一个是负责为平台发送数据的数据发送端、以及展示最终处理完成的数据的分析数据展示平台。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流程模型管理平台中，又有用户分类、用户、应用、数据源、数据分析服务和流程模型6个分构件。用户分类提供给管理用户修改用户的分类数据的接口，而用户则主要提供给其他构件查询用户分类的接口。查询特定分类下的用户主要被运用于其他构件的用户权限检查。数据源需要为数据发送端提供端口来让其发送数据，同时也需要具备在流程模型中调用数据源的功能。数据分析服务也需要能够被流程模型调用。流程模型构件在创建好流程模型后，需要将处理好的数据发送到分析数据展示平台。</w:t>
      </w:r>
    </w:p>
    <w:p>
      <w:pPr>
        <w:pStyle w:val="2"/>
        <w:ind w:left="360" w:hanging="360"/>
      </w:pPr>
      <w:bookmarkStart w:id="19" w:name="_Toc118930761"/>
      <w:bookmarkStart w:id="20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9"/>
      <w:bookmarkEnd w:id="20"/>
    </w:p>
    <w:p>
      <w:pPr>
        <w:pStyle w:val="14"/>
        <w:ind w:left="0"/>
        <w:jc w:val="center"/>
      </w:pPr>
      <w:r>
        <w:rPr>
          <w:rFonts w:hint="eastAsia"/>
        </w:rPr>
        <w:drawing>
          <wp:inline distT="0" distB="0" distL="114300" distR="114300">
            <wp:extent cx="5939155" cy="3287395"/>
            <wp:effectExtent l="0" t="0" r="4445" b="8255"/>
            <wp:docPr id="9" name="图片 9" descr="c83a8d99014aa2d398b5e6e8509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83a8d99014aa2d398b5e6e850944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8 </w:t>
      </w:r>
      <w:r>
        <w:rPr>
          <w:rFonts w:hint="eastAsia"/>
          <w:b/>
          <w:bCs/>
        </w:rPr>
        <w:t>数据流动态处理平台技术视图</w:t>
      </w:r>
    </w:p>
    <w:p>
      <w:pPr>
        <w:pStyle w:val="49"/>
        <w:numPr>
          <w:ilvl w:val="0"/>
          <w:numId w:val="3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应用前端：H</w:t>
      </w:r>
      <w:r>
        <w:rPr>
          <w:i w:val="0"/>
          <w:color w:val="auto"/>
        </w:rPr>
        <w:t>TML</w:t>
      </w:r>
      <w:r>
        <w:rPr>
          <w:rFonts w:hint="eastAsia"/>
          <w:i w:val="0"/>
          <w:color w:val="auto"/>
        </w:rPr>
        <w:t>、C</w:t>
      </w:r>
      <w:r>
        <w:rPr>
          <w:i w:val="0"/>
          <w:color w:val="auto"/>
        </w:rPr>
        <w:t>SS</w:t>
      </w:r>
      <w:r>
        <w:rPr>
          <w:rFonts w:hint="eastAsia"/>
          <w:i w:val="0"/>
          <w:color w:val="auto"/>
        </w:rPr>
        <w:t>、J</w:t>
      </w:r>
      <w:r>
        <w:rPr>
          <w:i w:val="0"/>
          <w:color w:val="auto"/>
        </w:rPr>
        <w:t>S</w:t>
      </w:r>
      <w:r>
        <w:rPr>
          <w:rFonts w:hint="eastAsia"/>
          <w:i w:val="0"/>
          <w:color w:val="auto"/>
        </w:rPr>
        <w:t>、J</w:t>
      </w:r>
      <w:r>
        <w:rPr>
          <w:i w:val="0"/>
          <w:color w:val="auto"/>
        </w:rPr>
        <w:t>SON</w:t>
      </w:r>
      <w:r>
        <w:rPr>
          <w:rFonts w:hint="eastAsia"/>
          <w:i w:val="0"/>
          <w:color w:val="auto"/>
        </w:rPr>
        <w:t>、React、Antd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2</w:t>
      </w:r>
      <w:r>
        <w:rPr>
          <w:i w:val="0"/>
          <w:color w:val="auto"/>
        </w:rPr>
        <w:t>）</w:t>
      </w:r>
      <w:r>
        <w:rPr>
          <w:rFonts w:hint="eastAsia"/>
          <w:i w:val="0"/>
          <w:color w:val="auto"/>
        </w:rPr>
        <w:t>应用后端</w:t>
      </w:r>
      <w:r>
        <w:rPr>
          <w:i w:val="0"/>
          <w:color w:val="auto"/>
        </w:rPr>
        <w:t>：</w:t>
      </w:r>
      <w:r>
        <w:rPr>
          <w:rFonts w:hint="eastAsia"/>
          <w:i w:val="0"/>
          <w:color w:val="auto"/>
        </w:rPr>
        <w:t>Java、Spring</w:t>
      </w:r>
      <w:r>
        <w:rPr>
          <w:i w:val="0"/>
          <w:color w:val="auto"/>
        </w:rPr>
        <w:t>B</w:t>
      </w:r>
      <w:r>
        <w:rPr>
          <w:rFonts w:hint="eastAsia"/>
          <w:i w:val="0"/>
          <w:color w:val="auto"/>
        </w:rPr>
        <w:t>o</w:t>
      </w:r>
      <w:r>
        <w:rPr>
          <w:i w:val="0"/>
          <w:color w:val="auto"/>
        </w:rPr>
        <w:t>ot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3）计算与管理： Flink </w:t>
      </w:r>
    </w:p>
    <w:p>
      <w:pPr>
        <w:pStyle w:val="49"/>
        <w:rPr>
          <w:i w:val="0"/>
          <w:color w:val="auto"/>
        </w:rPr>
      </w:pPr>
      <w:r>
        <w:rPr>
          <w:rFonts w:hint="eastAsia"/>
          <w:i w:val="0"/>
          <w:color w:val="auto"/>
        </w:rPr>
        <w:t>5）数据存储：MySql、Mongodb</w:t>
      </w:r>
      <w:bookmarkStart w:id="21" w:name="_Toc54212216"/>
    </w:p>
    <w:p>
      <w:pPr>
        <w:pStyle w:val="2"/>
        <w:ind w:left="360" w:hanging="360"/>
      </w:pPr>
      <w:bookmarkStart w:id="22" w:name="_Toc118930762"/>
      <w:r>
        <w:rPr>
          <w:rFonts w:hint="eastAsia"/>
        </w:rPr>
        <w:t>质量属</w:t>
      </w:r>
      <w:r>
        <w:t>性的设计</w:t>
      </w:r>
      <w:bookmarkEnd w:id="21"/>
      <w:bookmarkEnd w:id="22"/>
    </w:p>
    <w:p>
      <w:pPr>
        <w:pStyle w:val="3"/>
      </w:pPr>
      <w:bookmarkStart w:id="23" w:name="_Toc118930763"/>
      <w:r>
        <w:rPr>
          <w:rFonts w:hint="eastAsia"/>
        </w:rPr>
        <w:t>系统性能</w:t>
      </w:r>
      <w:bookmarkEnd w:id="23"/>
    </w:p>
    <w:p>
      <w:pPr>
        <w:pStyle w:val="14"/>
      </w:pPr>
      <w:r>
        <w:rPr>
          <w:rFonts w:hint="eastAsia"/>
        </w:rPr>
        <w:t>由于系统采用微服务架构，微服务之间的数据互通，在一定程度上产生了性能损耗。为此，系统采用了这样的设计，来优化性能：</w:t>
      </w:r>
    </w:p>
    <w:p>
      <w:pPr>
        <w:pStyle w:val="14"/>
        <w:rPr>
          <w:b/>
          <w:bCs/>
        </w:rPr>
      </w:pPr>
      <w:r>
        <w:rPr>
          <w:rFonts w:hint="eastAsia"/>
          <w:b/>
          <w:bCs/>
        </w:rPr>
        <w:t>负载均衡</w:t>
      </w:r>
    </w:p>
    <w:p>
      <w:pPr>
        <w:pStyle w:val="14"/>
      </w:pPr>
      <w:r>
        <w:rPr>
          <w:rFonts w:hint="eastAsia"/>
        </w:rPr>
        <w:t>系统通过一个负载均衡进程，实现服务器之间合理的任务分配，避免因负载造成的性能损失，在一定程度上提高了系统性能。</w:t>
      </w:r>
    </w:p>
    <w:p>
      <w:pPr>
        <w:pStyle w:val="14"/>
        <w:rPr>
          <w:b/>
          <w:bCs/>
        </w:rPr>
      </w:pPr>
      <w:r>
        <w:rPr>
          <w:rFonts w:hint="eastAsia"/>
          <w:b/>
          <w:bCs/>
        </w:rPr>
        <w:t>消息队列</w:t>
      </w:r>
    </w:p>
    <w:p>
      <w:pPr>
        <w:pStyle w:val="14"/>
      </w:pPr>
      <w:r>
        <w:rPr>
          <w:rFonts w:hint="eastAsia"/>
        </w:rPr>
        <w:t>对于需要批量处理的数据，系统设计了消息队列进行缓存。同时对于那些可被立即处理的非数据流分析请求，系统提供直接访问存储服务器接口，提高系统性能。</w:t>
      </w:r>
    </w:p>
    <w:p>
      <w:pPr>
        <w:pStyle w:val="3"/>
      </w:pPr>
      <w:bookmarkStart w:id="24" w:name="_Toc118930764"/>
      <w:r>
        <w:rPr>
          <w:rFonts w:hint="eastAsia"/>
        </w:rPr>
        <w:t>系统可扩展性</w:t>
      </w:r>
      <w:bookmarkEnd w:id="24"/>
    </w:p>
    <w:p>
      <w:pPr>
        <w:pStyle w:val="14"/>
      </w:pPr>
      <w:r>
        <w:rPr>
          <w:rFonts w:hint="eastAsia"/>
        </w:rPr>
        <w:t>由于系统采用微服务架构，易于进行扩展于调整。且对于微服务来说，增加服务吞吐量，往往只需要增加节点数量，因此系统具有较高的可扩展性。</w:t>
      </w:r>
    </w:p>
    <w:p>
      <w:pPr>
        <w:pStyle w:val="3"/>
      </w:pPr>
      <w:bookmarkStart w:id="25" w:name="_Toc118930765"/>
      <w:r>
        <w:rPr>
          <w:rFonts w:hint="eastAsia"/>
        </w:rPr>
        <w:t>系统可靠性</w:t>
      </w:r>
      <w:bookmarkEnd w:id="25"/>
    </w:p>
    <w:p>
      <w:pPr>
        <w:pStyle w:val="14"/>
      </w:pPr>
      <w:r>
        <w:rPr>
          <w:rFonts w:hint="eastAsia"/>
        </w:rPr>
        <w:t>对于微服务架构来说，同一个服务同时会有多个节点运行。在一个节点发生崩溃的情况下，系统业务仍然能够正常运转，因此系统就有较高的可靠性。</w:t>
      </w:r>
    </w:p>
    <w:p>
      <w:pPr>
        <w:pStyle w:val="3"/>
      </w:pPr>
      <w:bookmarkStart w:id="26" w:name="_Toc118930766"/>
      <w:r>
        <w:rPr>
          <w:rFonts w:hint="eastAsia"/>
        </w:rPr>
        <w:t>系统易用性</w:t>
      </w:r>
      <w:bookmarkEnd w:id="26"/>
    </w:p>
    <w:p>
      <w:pPr>
        <w:pStyle w:val="14"/>
      </w:pPr>
      <w:r>
        <w:rPr>
          <w:rFonts w:hint="eastAsia"/>
        </w:rPr>
        <w:t>数据流动态处理平台在设计阶段考虑了低代码技术，具有低代码编排流程功能，旨在为用户提供良好的界面和易用的体验，因此系统具有较高的易用性。</w:t>
      </w:r>
    </w:p>
    <w:p>
      <w:pPr>
        <w:pStyle w:val="3"/>
      </w:pPr>
      <w:bookmarkStart w:id="27" w:name="_Toc118930767"/>
      <w:r>
        <w:rPr>
          <w:rFonts w:hint="eastAsia"/>
        </w:rPr>
        <w:t>系统可移植性</w:t>
      </w:r>
      <w:bookmarkEnd w:id="27"/>
    </w:p>
    <w:p>
      <w:pPr>
        <w:pStyle w:val="14"/>
      </w:pPr>
      <w:r>
        <w:rPr>
          <w:rFonts w:hint="eastAsia"/>
        </w:rPr>
        <w:t xml:space="preserve">鉴于平台技术栈，系统前端采用 </w:t>
      </w: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、Java</w:t>
      </w:r>
      <w:r>
        <w:t>S</w:t>
      </w:r>
      <w:r>
        <w:rPr>
          <w:rFonts w:hint="eastAsia"/>
        </w:rPr>
        <w:t>cript、Html进行开发，后端采用 Spring</w:t>
      </w:r>
      <w:r>
        <w:t>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进行开发，在设计时主要考虑网页端，并没有考虑</w:t>
      </w:r>
      <w:bookmarkStart w:id="28" w:name="_GoBack"/>
      <w:bookmarkEnd w:id="28"/>
      <w:r>
        <w:rPr>
          <w:rFonts w:hint="eastAsia"/>
        </w:rPr>
        <w:t>到移动端等其他平台，因此系统可移植性较差。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数据流动态分析平台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1.3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17/11/2022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E717BBA"/>
    <w:multiLevelType w:val="multilevel"/>
    <w:tmpl w:val="7E717BBA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yNDA0MjIyODZkNzNjZjQzMjRhNDgyMTE5ZDZlNjYifQ=="/>
  </w:docVars>
  <w:rsids>
    <w:rsidRoot w:val="000C1E48"/>
    <w:rsid w:val="00032021"/>
    <w:rsid w:val="00082620"/>
    <w:rsid w:val="000922E4"/>
    <w:rsid w:val="000943A7"/>
    <w:rsid w:val="000A7DF3"/>
    <w:rsid w:val="000B6095"/>
    <w:rsid w:val="000C1E48"/>
    <w:rsid w:val="00105D58"/>
    <w:rsid w:val="00124C6D"/>
    <w:rsid w:val="0016285D"/>
    <w:rsid w:val="00175500"/>
    <w:rsid w:val="001761BA"/>
    <w:rsid w:val="001C694E"/>
    <w:rsid w:val="001D0182"/>
    <w:rsid w:val="001F77A5"/>
    <w:rsid w:val="00210705"/>
    <w:rsid w:val="002168C0"/>
    <w:rsid w:val="002276AB"/>
    <w:rsid w:val="00227B7A"/>
    <w:rsid w:val="00230251"/>
    <w:rsid w:val="00230954"/>
    <w:rsid w:val="00240F06"/>
    <w:rsid w:val="002450F6"/>
    <w:rsid w:val="00267FD7"/>
    <w:rsid w:val="00273BC6"/>
    <w:rsid w:val="002A7ACA"/>
    <w:rsid w:val="002B34A5"/>
    <w:rsid w:val="002C7325"/>
    <w:rsid w:val="002D41D8"/>
    <w:rsid w:val="002E164E"/>
    <w:rsid w:val="002E5875"/>
    <w:rsid w:val="003460AF"/>
    <w:rsid w:val="0036658C"/>
    <w:rsid w:val="00372EDC"/>
    <w:rsid w:val="003A46E4"/>
    <w:rsid w:val="003D3EE6"/>
    <w:rsid w:val="003D5202"/>
    <w:rsid w:val="003E246D"/>
    <w:rsid w:val="003E27A8"/>
    <w:rsid w:val="003E2FF8"/>
    <w:rsid w:val="004043C9"/>
    <w:rsid w:val="004134AE"/>
    <w:rsid w:val="00441B96"/>
    <w:rsid w:val="00450401"/>
    <w:rsid w:val="004613F3"/>
    <w:rsid w:val="004660C2"/>
    <w:rsid w:val="0047760A"/>
    <w:rsid w:val="0048621D"/>
    <w:rsid w:val="004963E2"/>
    <w:rsid w:val="00497221"/>
    <w:rsid w:val="00497683"/>
    <w:rsid w:val="004C43DC"/>
    <w:rsid w:val="004D595C"/>
    <w:rsid w:val="004D5D47"/>
    <w:rsid w:val="00516E18"/>
    <w:rsid w:val="00545039"/>
    <w:rsid w:val="005567DE"/>
    <w:rsid w:val="0056205A"/>
    <w:rsid w:val="00575EF6"/>
    <w:rsid w:val="005D23B1"/>
    <w:rsid w:val="005E060A"/>
    <w:rsid w:val="006363FC"/>
    <w:rsid w:val="006833D1"/>
    <w:rsid w:val="006C5F1D"/>
    <w:rsid w:val="00700DC0"/>
    <w:rsid w:val="007070A7"/>
    <w:rsid w:val="007447E3"/>
    <w:rsid w:val="007707E0"/>
    <w:rsid w:val="00783930"/>
    <w:rsid w:val="0079201D"/>
    <w:rsid w:val="007A6CE6"/>
    <w:rsid w:val="007E7A1D"/>
    <w:rsid w:val="00824A73"/>
    <w:rsid w:val="00857470"/>
    <w:rsid w:val="008B56FF"/>
    <w:rsid w:val="008C672B"/>
    <w:rsid w:val="008E258A"/>
    <w:rsid w:val="0092116C"/>
    <w:rsid w:val="009308A5"/>
    <w:rsid w:val="00950619"/>
    <w:rsid w:val="009704F2"/>
    <w:rsid w:val="00974E45"/>
    <w:rsid w:val="009754E4"/>
    <w:rsid w:val="00982499"/>
    <w:rsid w:val="00994872"/>
    <w:rsid w:val="009A3548"/>
    <w:rsid w:val="009A59E0"/>
    <w:rsid w:val="009A762C"/>
    <w:rsid w:val="009C7C87"/>
    <w:rsid w:val="009D36A5"/>
    <w:rsid w:val="009E2047"/>
    <w:rsid w:val="00A01FE4"/>
    <w:rsid w:val="00A630B7"/>
    <w:rsid w:val="00A745F2"/>
    <w:rsid w:val="00AA09D0"/>
    <w:rsid w:val="00AA2A19"/>
    <w:rsid w:val="00AE069F"/>
    <w:rsid w:val="00AF7CAE"/>
    <w:rsid w:val="00B165EB"/>
    <w:rsid w:val="00B422EB"/>
    <w:rsid w:val="00B71BBF"/>
    <w:rsid w:val="00BA1EDE"/>
    <w:rsid w:val="00C062BB"/>
    <w:rsid w:val="00C13BE0"/>
    <w:rsid w:val="00C70BD0"/>
    <w:rsid w:val="00C74EC8"/>
    <w:rsid w:val="00C81D9E"/>
    <w:rsid w:val="00C81EA7"/>
    <w:rsid w:val="00C97540"/>
    <w:rsid w:val="00CC3BDD"/>
    <w:rsid w:val="00CD312B"/>
    <w:rsid w:val="00CE4600"/>
    <w:rsid w:val="00D14C96"/>
    <w:rsid w:val="00D17B37"/>
    <w:rsid w:val="00D27C3E"/>
    <w:rsid w:val="00D36DDF"/>
    <w:rsid w:val="00D7425F"/>
    <w:rsid w:val="00DB27B9"/>
    <w:rsid w:val="00DD0E0A"/>
    <w:rsid w:val="00E14F4D"/>
    <w:rsid w:val="00E50204"/>
    <w:rsid w:val="00E65DAE"/>
    <w:rsid w:val="00EA5A03"/>
    <w:rsid w:val="00F1183A"/>
    <w:rsid w:val="00F60C82"/>
    <w:rsid w:val="00F8669E"/>
    <w:rsid w:val="00F87E2F"/>
    <w:rsid w:val="00FB1A25"/>
    <w:rsid w:val="00FD4D80"/>
    <w:rsid w:val="01F71EB7"/>
    <w:rsid w:val="05CC3410"/>
    <w:rsid w:val="0D425E6C"/>
    <w:rsid w:val="20AA608B"/>
    <w:rsid w:val="2878433A"/>
    <w:rsid w:val="4BB95FC7"/>
    <w:rsid w:val="57022510"/>
    <w:rsid w:val="5C2C64D8"/>
    <w:rsid w:val="61A2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link w:val="57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outlineLvl w:val="2"/>
    </w:pPr>
    <w:rPr>
      <w:i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link w:val="58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hAnsi="SimSun" w:cs="SimSun"/>
      <w:snapToGrid/>
      <w:sz w:val="24"/>
      <w:szCs w:val="24"/>
    </w:r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annotation reference"/>
    <w:basedOn w:val="32"/>
    <w:semiHidden/>
    <w:unhideWhenUsed/>
    <w:qFormat/>
    <w:uiPriority w:val="99"/>
    <w:rPr>
      <w:sz w:val="21"/>
      <w:szCs w:val="21"/>
    </w:rPr>
  </w:style>
  <w:style w:type="character" w:styleId="38">
    <w:name w:val="footnote reference"/>
    <w:semiHidden/>
    <w:qFormat/>
    <w:uiPriority w:val="0"/>
    <w:rPr>
      <w:sz w:val="20"/>
      <w:vertAlign w:val="superscript"/>
    </w:rPr>
  </w:style>
  <w:style w:type="paragraph" w:customStyle="1" w:styleId="39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2">
    <w:name w:val="Tabletext"/>
    <w:basedOn w:val="1"/>
    <w:qFormat/>
    <w:uiPriority w:val="0"/>
    <w:pPr>
      <w:keepLines/>
      <w:spacing w:after="120"/>
    </w:p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6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7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8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9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50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qFormat/>
    <w:uiPriority w:val="0"/>
    <w:rPr>
      <w:rFonts w:ascii="Courier New" w:hAnsi="Courier New"/>
      <w:color w:val="FF0000"/>
    </w:rPr>
  </w:style>
  <w:style w:type="character" w:customStyle="1" w:styleId="52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qFormat/>
    <w:uiPriority w:val="0"/>
    <w:rPr>
      <w:color w:val="0000FF"/>
    </w:rPr>
  </w:style>
  <w:style w:type="character" w:customStyle="1" w:styleId="54">
    <w:name w:val="tw4winPopup"/>
    <w:qFormat/>
    <w:uiPriority w:val="0"/>
    <w:rPr>
      <w:rFonts w:ascii="Courier New" w:hAnsi="Courier New"/>
      <w:color w:val="008000"/>
    </w:rPr>
  </w:style>
  <w:style w:type="character" w:customStyle="1" w:styleId="55">
    <w:name w:val="tw4winJump"/>
    <w:qFormat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  <w:style w:type="character" w:customStyle="1" w:styleId="57">
    <w:name w:val="标题 2 字符"/>
    <w:basedOn w:val="32"/>
    <w:link w:val="3"/>
    <w:qFormat/>
    <w:uiPriority w:val="0"/>
    <w:rPr>
      <w:rFonts w:ascii="SimSun"/>
      <w:b/>
      <w:snapToGrid w:val="0"/>
    </w:rPr>
  </w:style>
  <w:style w:type="character" w:customStyle="1" w:styleId="58">
    <w:name w:val="正文文本 字符"/>
    <w:basedOn w:val="32"/>
    <w:link w:val="14"/>
    <w:qFormat/>
    <w:uiPriority w:val="0"/>
    <w:rPr>
      <w:rFonts w:ascii="SimSun"/>
      <w:snapToGrid w:val="0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  <w:style w:type="paragraph" w:customStyle="1" w:styleId="60">
    <w:name w:val="code-line"/>
    <w:basedOn w:val="1"/>
    <w:qFormat/>
    <w:uiPriority w:val="0"/>
    <w:pPr>
      <w:widowControl/>
      <w:spacing w:before="100" w:beforeAutospacing="1" w:after="100" w:afterAutospacing="1"/>
    </w:pPr>
    <w:rPr>
      <w:rFonts w:hAnsi="SimSun" w:cs="SimSun"/>
      <w:sz w:val="24"/>
      <w:szCs w:val="24"/>
    </w:rPr>
  </w:style>
  <w:style w:type="paragraph" w:customStyle="1" w:styleId="61">
    <w:name w:val="段落2"/>
    <w:basedOn w:val="1"/>
    <w:qFormat/>
    <w:uiPriority w:val="0"/>
    <w:pPr>
      <w:spacing w:before="50" w:beforeLines="50" w:after="50" w:afterLines="50"/>
      <w:ind w:left="213" w:leftChars="213" w:firstLine="200" w:firstLineChars="200"/>
    </w:pPr>
    <w:rPr>
      <w:rFonts w:ascii="KaiTi" w:hAnsi="KaiTi" w:eastAsia="KaiTi"/>
      <w:color w:val="000000" w:themeColor="text1"/>
      <w:sz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12</Pages>
  <Words>4173</Words>
  <Characters>4705</Characters>
  <Lines>40</Lines>
  <Paragraphs>11</Paragraphs>
  <TotalTime>9</TotalTime>
  <ScaleCrop>false</ScaleCrop>
  <LinksUpToDate>false</LinksUpToDate>
  <CharactersWithSpaces>4824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2022-11-17T13:54:00Z</dcterms:created>
  <dc:creator>bjshen</dc:creator>
  <cp:lastModifiedBy>biu~biu~biu~</cp:lastModifiedBy>
  <cp:lastPrinted>2411-12-31T15:59:00Z</cp:lastPrinted>
  <dcterms:modified xsi:type="dcterms:W3CDTF">2022-11-21T13:44:17Z</dcterms:modified>
  <dc:subject>&lt;项目名称&gt;</dc:subject>
  <dc:title>软件架构文档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2052-11.1.0.12763</vt:lpwstr>
  </property>
  <property fmtid="{D5CDD505-2E9C-101B-9397-08002B2CF9AE}" pid="4" name="ICV">
    <vt:lpwstr>01BF7D01EB6245FEA9D9EDC7AA739EEB</vt:lpwstr>
  </property>
</Properties>
</file>