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INFORME EVALUACIÓN CONFORT TÉRMICO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844"/>
        <w:gridCol w:w="4844"/>
      </w:tblGrid>
      <w:tr>
        <w:tc>
          <w:tcPr>
            <w:tcW w:type="dxa" w:w="9688"/>
            <w:gridSpan w:val="2"/>
            <w:shd w:fill="4f0b7b"/>
          </w:tcPr>
          <w:p>
            <w:r>
              <w:rPr>
                <w:b/>
                <w:color w:val="FFFFFF"/>
                <w:sz w:val="20"/>
              </w:rPr>
              <w:t>Información empresa</w:t>
            </w:r>
          </w:p>
        </w:tc>
      </w:tr>
      <w:tr>
        <w:tc>
          <w:tcPr>
            <w:tcW w:type="dxa" w:w="4844"/>
          </w:tcPr>
          <w:p>
            <w:r>
              <w:t>Razón Social</w:t>
            </w:r>
          </w:p>
        </w:tc>
        <w:tc>
          <w:tcPr>
            <w:tcW w:type="dxa" w:w="4844"/>
          </w:tcPr>
          <w:p>
            <w:r>
              <w:t>RENDIC HERMANOS S.A.</w:t>
            </w:r>
          </w:p>
        </w:tc>
      </w:tr>
      <w:tr>
        <w:tc>
          <w:tcPr>
            <w:tcW w:type="dxa" w:w="4844"/>
          </w:tcPr>
          <w:p>
            <w:r>
              <w:t>RUT</w:t>
            </w:r>
          </w:p>
        </w:tc>
        <w:tc>
          <w:tcPr>
            <w:tcW w:type="dxa" w:w="4844"/>
          </w:tcPr>
          <w:p>
            <w:r>
              <w:t>81.537.600-5</w:t>
            </w:r>
          </w:p>
        </w:tc>
      </w:tr>
      <w:tr>
        <w:tc>
          <w:tcPr>
            <w:tcW w:type="dxa" w:w="9688"/>
            <w:gridSpan w:val="2"/>
            <w:shd w:fill="4f0b7b"/>
          </w:tcPr>
          <w:p>
            <w:r>
              <w:rPr>
                <w:b/>
                <w:color w:val="FFFFFF"/>
                <w:sz w:val="20"/>
              </w:rPr>
              <w:t>Información centro de trabajo</w:t>
            </w:r>
          </w:p>
        </w:tc>
      </w:tr>
      <w:tr>
        <w:tc>
          <w:tcPr>
            <w:tcW w:type="dxa" w:w="4844"/>
          </w:tcPr>
          <w:p>
            <w:r>
              <w:t>CUV</w:t>
            </w:r>
          </w:p>
        </w:tc>
        <w:tc>
          <w:tcPr>
            <w:tcW w:type="dxa" w:w="4844"/>
          </w:tcPr>
          <w:p>
            <w:r>
              <w:t>114123</w:t>
            </w:r>
          </w:p>
        </w:tc>
      </w:tr>
      <w:tr>
        <w:tc>
          <w:tcPr>
            <w:tcW w:type="dxa" w:w="4844"/>
          </w:tcPr>
          <w:p>
            <w:r>
              <w:t>Nombre de Local</w:t>
            </w:r>
          </w:p>
        </w:tc>
        <w:tc>
          <w:tcPr>
            <w:tcW w:type="dxa" w:w="4844"/>
          </w:tcPr>
          <w:p>
            <w:r>
              <w:t>UNIMARC REGIMIENTO ARICA LA SERENA</w:t>
            </w:r>
          </w:p>
        </w:tc>
      </w:tr>
      <w:tr>
        <w:tc>
          <w:tcPr>
            <w:tcW w:type="dxa" w:w="4844"/>
          </w:tcPr>
          <w:p>
            <w:r>
              <w:t>Dirección</w:t>
            </w:r>
          </w:p>
        </w:tc>
        <w:tc>
          <w:tcPr>
            <w:tcW w:type="dxa" w:w="4844"/>
          </w:tcPr>
          <w:p>
            <w:r>
              <w:t>Regimiento Arica # 6001, La Serena</w:t>
            </w:r>
          </w:p>
        </w:tc>
      </w:tr>
    </w:tbl>
    <w:p/>
    <w:p>
      <w:pPr>
        <w:pStyle w:val="Heading2"/>
        <w:jc w:val="left"/>
      </w:pPr>
      <w:r>
        <w:t>Resumen</w:t>
      </w:r>
    </w:p>
    <w:p>
      <w:r>
        <w:t>Efectuadas mediciones de confort térmico en el local 'Nombre de Local', es posible concluir que las áreas de 'Area o sector' cumplen con el estándar de confort térmico, por lo que se debe mantener las condiciones actuales o similares.</w:t>
      </w:r>
    </w:p>
    <w:p>
      <w:r>
        <w:t>Respecto de las áreas que no cumplen con el estándar, se deben adoptar las medidas prescritas detalladas en la tabla 2 para su solución.</w:t>
      </w:r>
    </w:p>
    <w:p/>
    <w:p>
      <w:pPr>
        <w:pStyle w:val="Heading2"/>
        <w:jc w:val="left"/>
      </w:pPr>
      <w:r>
        <w:t>Antecedentes de la actividad</w:t>
      </w:r>
    </w:p>
    <w:p>
      <w:r>
        <w:t>A solicitud de RENDIC HERMANOS S.A., se realiza una evaluación de confort térmico en el centro UNIMARC REGIMIENTO ARICA LA SERENA, ubicado en Regimiento Arica # 6001, La Serena.</w:t>
      </w:r>
    </w:p>
    <w:p>
      <w:r>
        <w:t>La visita se realizó el día 10-02-2024 a las 14:30 por el consultor de IST Rodrigo Novoa acompañado por Jorge Lopez (Administrador/a).</w:t>
      </w:r>
    </w:p>
    <w:p>
      <w:r>
        <w:t>Las áreas evaluadas fueron Línea de cajas, Bodega y Sala de venta.</w:t>
      </w:r>
    </w:p>
    <w:p/>
    <w:p>
      <w:pPr>
        <w:pStyle w:val="Heading2"/>
        <w:jc w:val="left"/>
      </w:pPr>
      <w:r>
        <w:t>Metodología de las mediciones y evaluaciones</w:t>
      </w:r>
    </w:p>
    <w:p>
      <w:r>
        <w:t>Las condiciones del centro de trabajo se midieron utilizando los equipos T1 y V2.</w:t>
      </w:r>
    </w:p>
    <w:p>
      <w:r>
        <w:t>La medición se realizó utilizando la metodología de FANGER para evaluación de confort térmico en espacios interiores de acuerdo a la Nota técnica N°47 del Instituto de Salud Pública.</w:t>
      </w:r>
    </w:p>
    <w:p>
      <w:r>
        <w:t>Se utiliza el estándar de vestimenta y tasa de actividad metabólica detalladas en la siguiente lista:</w:t>
      </w:r>
    </w:p>
    <w:p>
      <w:r>
        <w:t>- Para el cargo de Cajera se utilizó un 0,50 clo para vestimenta y se estimó en 1.10 met su actividad metabólica.</w:t>
      </w:r>
    </w:p>
    <w:p>
      <w:r>
        <w:t>- Para el cargo de Bodeguero se utilizó un 0,50 clo para vestimenta y se estimó en 1.89 met su actividad metabólica.</w:t>
      </w:r>
    </w:p>
    <w:p>
      <w:r>
        <w:t>- Para el cargo de Reponedor se utilizó un 0,50 clo para vestimenta y se estimó en 1.20 met su actividad metabólica.</w:t>
      </w:r>
    </w:p>
    <w:p>
      <w:r>
        <w:br w:type="page"/>
      </w:r>
    </w:p>
    <w:p>
      <w:pPr>
        <w:pStyle w:val="Heading2"/>
        <w:jc w:val="left"/>
      </w:pPr>
      <w:r>
        <w:t>Resultados de mediciones y evaluación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>
        <w:tc>
          <w:tcPr>
            <w:tcW w:type="dxa" w:w="1077"/>
            <w:shd w:fill="4f0b7b"/>
            <w:tcW w:w="1417" w:type="dxa"/>
          </w:tcPr>
          <w:p>
            <w:r>
              <w:rPr>
                <w:b/>
                <w:color w:val="FFFFFF"/>
                <w:sz w:val="20"/>
              </w:rPr>
              <w:t>Área</w:t>
            </w:r>
          </w:p>
        </w:tc>
        <w:tc>
          <w:tcPr>
            <w:tcW w:type="dxa" w:w="1077"/>
            <w:shd w:fill="4f0b7b"/>
            <w:tcW w:w="1133" w:type="dxa"/>
          </w:tcPr>
          <w:p>
            <w:r>
              <w:rPr>
                <w:b/>
                <w:color w:val="FFFFFF"/>
                <w:sz w:val="20"/>
              </w:rPr>
              <w:t>Sector</w:t>
            </w:r>
          </w:p>
        </w:tc>
        <w:tc>
          <w:tcPr>
            <w:tcW w:type="dxa" w:w="1077"/>
            <w:shd w:fill="4f0b7b"/>
            <w:tcW w:w="850" w:type="dxa"/>
          </w:tcPr>
          <w:p>
            <w:r>
              <w:rPr>
                <w:b/>
                <w:color w:val="FFFFFF"/>
                <w:sz w:val="20"/>
              </w:rPr>
              <w:t>Temp. bulbo seco(°C)</w:t>
            </w:r>
          </w:p>
        </w:tc>
        <w:tc>
          <w:tcPr>
            <w:tcW w:type="dxa" w:w="1077"/>
            <w:shd w:fill="4f0b7b"/>
            <w:tcW w:w="850" w:type="dxa"/>
          </w:tcPr>
          <w:p>
            <w:r>
              <w:rPr>
                <w:b/>
                <w:color w:val="FFFFFF"/>
                <w:sz w:val="20"/>
              </w:rPr>
              <w:t>Temp. globo(°C)</w:t>
            </w:r>
          </w:p>
        </w:tc>
        <w:tc>
          <w:tcPr>
            <w:tcW w:type="dxa" w:w="1077"/>
            <w:shd w:fill="4f0b7b"/>
            <w:tcW w:w="850" w:type="dxa"/>
          </w:tcPr>
          <w:p>
            <w:r>
              <w:rPr>
                <w:b/>
                <w:color w:val="FFFFFF"/>
                <w:sz w:val="20"/>
              </w:rPr>
              <w:t>Humedad relativa (%)</w:t>
            </w:r>
          </w:p>
        </w:tc>
        <w:tc>
          <w:tcPr>
            <w:tcW w:type="dxa" w:w="1077"/>
            <w:shd w:fill="4f0b7b"/>
            <w:tcW w:w="850" w:type="dxa"/>
          </w:tcPr>
          <w:p>
            <w:r>
              <w:rPr>
                <w:b/>
                <w:color w:val="FFFFFF"/>
                <w:sz w:val="20"/>
              </w:rPr>
              <w:t>Velocidad del aire(m/s)</w:t>
            </w:r>
          </w:p>
        </w:tc>
        <w:tc>
          <w:tcPr>
            <w:tcW w:type="dxa" w:w="1077"/>
            <w:shd w:fill="4f0b7b"/>
            <w:tcW w:w="850" w:type="dxa"/>
          </w:tcPr>
          <w:p>
            <w:r>
              <w:rPr>
                <w:b/>
                <w:color w:val="FFFFFF"/>
                <w:sz w:val="20"/>
              </w:rPr>
              <w:t>PPD</w:t>
            </w:r>
          </w:p>
        </w:tc>
        <w:tc>
          <w:tcPr>
            <w:tcW w:type="dxa" w:w="1077"/>
            <w:shd w:fill="4f0b7b"/>
            <w:tcW w:w="850" w:type="dxa"/>
          </w:tcPr>
          <w:p>
            <w:r>
              <w:rPr>
                <w:b/>
                <w:color w:val="FFFFFF"/>
                <w:sz w:val="20"/>
              </w:rPr>
              <w:t>PMV</w:t>
            </w:r>
          </w:p>
        </w:tc>
        <w:tc>
          <w:tcPr>
            <w:tcW w:type="dxa" w:w="1077"/>
            <w:shd w:fill="4f0b7b"/>
            <w:tcW w:w="850" w:type="dxa"/>
          </w:tcPr>
          <w:p>
            <w:r>
              <w:rPr>
                <w:b/>
                <w:color w:val="FFFFFF"/>
                <w:sz w:val="20"/>
              </w:rPr>
              <w:t>Estándar de confortabilidad térmica PMV  [-1,+1]</w:t>
            </w:r>
          </w:p>
        </w:tc>
      </w:tr>
      <w:tr>
        <w:tc>
          <w:tcPr>
            <w:tcW w:type="dxa" w:w="1077"/>
            <w:tcW w:w="1417" w:type="dxa"/>
          </w:tcPr>
          <w:p>
            <w:r>
              <w:rPr>
                <w:b/>
              </w:rPr>
              <w:t>Bodega</w:t>
            </w:r>
          </w:p>
        </w:tc>
        <w:tc>
          <w:tcPr>
            <w:tcW w:type="dxa" w:w="1077"/>
            <w:tcW w:w="1133" w:type="dxa"/>
          </w:tcPr>
          <w:p>
            <w:r>
              <w:rPr>
                <w:b/>
              </w:rPr>
            </w:r>
          </w:p>
        </w:tc>
        <w:tc>
          <w:tcPr>
            <w:tcW w:type="dxa" w:w="1077"/>
            <w:tcW w:w="850" w:type="dxa"/>
          </w:tcPr>
          <w:p>
            <w:r>
              <w:rPr>
                <w:b/>
              </w:rPr>
              <w:t>25.00</w:t>
            </w:r>
          </w:p>
        </w:tc>
        <w:tc>
          <w:tcPr>
            <w:tcW w:type="dxa" w:w="1077"/>
            <w:tcW w:w="850" w:type="dxa"/>
          </w:tcPr>
          <w:p>
            <w:r>
              <w:rPr>
                <w:b/>
              </w:rPr>
              <w:t>26.00</w:t>
            </w:r>
          </w:p>
        </w:tc>
        <w:tc>
          <w:tcPr>
            <w:tcW w:type="dxa" w:w="1077"/>
            <w:tcW w:w="850" w:type="dxa"/>
          </w:tcPr>
          <w:p>
            <w:r>
              <w:rPr>
                <w:b/>
              </w:rPr>
              <w:t>35.0</w:t>
            </w:r>
          </w:p>
        </w:tc>
        <w:tc>
          <w:tcPr>
            <w:tcW w:type="dxa" w:w="1077"/>
            <w:tcW w:w="850" w:type="dxa"/>
          </w:tcPr>
          <w:p>
            <w:r>
              <w:rPr>
                <w:b/>
              </w:rPr>
              <w:t>0.00</w:t>
            </w:r>
          </w:p>
        </w:tc>
        <w:tc>
          <w:tcPr>
            <w:tcW w:type="dxa" w:w="1077"/>
            <w:tcW w:w="850" w:type="dxa"/>
          </w:tcPr>
          <w:p>
            <w:r>
              <w:rPr>
                <w:b/>
              </w:rPr>
              <w:t>6.10</w:t>
            </w:r>
          </w:p>
        </w:tc>
        <w:tc>
          <w:tcPr>
            <w:tcW w:type="dxa" w:w="1077"/>
            <w:tcW w:w="850" w:type="dxa"/>
          </w:tcPr>
          <w:p>
            <w:r>
              <w:rPr>
                <w:b/>
              </w:rPr>
              <w:t>0.25</w:t>
            </w:r>
          </w:p>
        </w:tc>
        <w:tc>
          <w:tcPr>
            <w:tcW w:type="dxa" w:w="1077"/>
            <w:tcW w:w="850" w:type="dxa"/>
          </w:tcPr>
          <w:p>
            <w:r>
              <w:rPr>
                <w:b/>
              </w:rPr>
              <w:t>CUMPLE</w:t>
            </w:r>
          </w:p>
        </w:tc>
      </w:tr>
      <w:tr>
        <w:tc>
          <w:tcPr>
            <w:tcW w:type="dxa" w:w="1077"/>
            <w:vMerge w:val="restart"/>
            <w:tcW w:w="1417" w:type="dxa"/>
            <w:tcW w:w="1417" w:type="dxa"/>
            <w:tcW w:w="1417" w:type="dxa"/>
            <w:tcW w:w="1417" w:type="dxa"/>
          </w:tcPr>
          <w:p>
            <w:r>
              <w:rPr>
                <w:b/>
              </w:rPr>
              <w:t>Línea de cajas</w:t>
            </w:r>
          </w:p>
          <w:p>
            <w:r/>
          </w:p>
          <w:p>
            <w:r/>
          </w:p>
          <w:p>
            <w:r/>
          </w:p>
        </w:tc>
        <w:tc>
          <w:tcPr>
            <w:tcW w:type="dxa" w:w="1077"/>
            <w:tcW w:w="1133" w:type="dxa"/>
          </w:tcPr>
          <w:p>
            <w:r>
              <w:rPr>
                <w:b/>
              </w:rPr>
              <w:t>Promedio</w:t>
            </w:r>
          </w:p>
        </w:tc>
        <w:tc>
          <w:tcPr>
            <w:tcW w:type="dxa" w:w="1077"/>
            <w:tcW w:w="850" w:type="dxa"/>
          </w:tcPr>
          <w:p>
            <w:r>
              <w:rPr>
                <w:b/>
              </w:rPr>
              <w:t>26.77</w:t>
            </w:r>
          </w:p>
        </w:tc>
        <w:tc>
          <w:tcPr>
            <w:tcW w:type="dxa" w:w="1077"/>
            <w:tcW w:w="850" w:type="dxa"/>
          </w:tcPr>
          <w:p>
            <w:r>
              <w:rPr>
                <w:b/>
              </w:rPr>
              <w:t>26.67</w:t>
            </w:r>
          </w:p>
        </w:tc>
        <w:tc>
          <w:tcPr>
            <w:tcW w:type="dxa" w:w="1077"/>
            <w:tcW w:w="850" w:type="dxa"/>
          </w:tcPr>
          <w:p>
            <w:r>
              <w:rPr>
                <w:b/>
              </w:rPr>
              <w:t>35.0</w:t>
            </w:r>
          </w:p>
        </w:tc>
        <w:tc>
          <w:tcPr>
            <w:tcW w:type="dxa" w:w="1077"/>
            <w:tcW w:w="850" w:type="dxa"/>
          </w:tcPr>
          <w:p>
            <w:r>
              <w:rPr>
                <w:b/>
              </w:rPr>
              <w:t>0.13</w:t>
            </w:r>
          </w:p>
        </w:tc>
        <w:tc>
          <w:tcPr>
            <w:tcW w:type="dxa" w:w="1077"/>
            <w:tcW w:w="850" w:type="dxa"/>
          </w:tcPr>
          <w:p>
            <w:r>
              <w:rPr>
                <w:b/>
              </w:rPr>
              <w:t>6.00</w:t>
            </w:r>
          </w:p>
        </w:tc>
        <w:tc>
          <w:tcPr>
            <w:tcW w:type="dxa" w:w="1077"/>
            <w:tcW w:w="850" w:type="dxa"/>
          </w:tcPr>
          <w:p>
            <w:r>
              <w:rPr>
                <w:b/>
              </w:rPr>
              <w:t>0.22</w:t>
            </w:r>
          </w:p>
        </w:tc>
        <w:tc>
          <w:tcPr>
            <w:tcW w:type="dxa" w:w="1077"/>
            <w:vMerge w:val="restart"/>
            <w:tcW w:w="850" w:type="dxa"/>
            <w:tcW w:w="850" w:type="dxa"/>
            <w:tcW w:w="850" w:type="dxa"/>
            <w:tcW w:w="850" w:type="dxa"/>
          </w:tcPr>
          <w:p>
            <w:r>
              <w:rPr>
                <w:b/>
              </w:rPr>
              <w:t>CUMPLE</w:t>
            </w:r>
          </w:p>
          <w:p>
            <w:r/>
          </w:p>
          <w:p>
            <w:r/>
          </w:p>
          <w:p>
            <w:r/>
          </w:p>
        </w:tc>
      </w:tr>
      <w:tr>
        <w:tc>
          <w:tcPr>
            <w:tcW w:type="dxa" w:w="1077"/>
            <w:vMerge/>
          </w:tcPr>
          <w:p/>
        </w:tc>
        <w:tc>
          <w:tcPr>
            <w:tcW w:type="dxa" w:w="1077"/>
            <w:tcW w:w="1133" w:type="dxa"/>
          </w:tcPr>
          <w:p>
            <w:r>
              <w:t xml:space="preserve"> - Centro</w:t>
            </w:r>
          </w:p>
        </w:tc>
        <w:tc>
          <w:tcPr>
            <w:tcW w:type="dxa" w:w="1077"/>
            <w:tcW w:w="850" w:type="dxa"/>
          </w:tcPr>
          <w:p>
            <w:r>
              <w:t>27.30</w:t>
            </w:r>
          </w:p>
        </w:tc>
        <w:tc>
          <w:tcPr>
            <w:tcW w:type="dxa" w:w="1077"/>
            <w:tcW w:w="850" w:type="dxa"/>
          </w:tcPr>
          <w:p>
            <w:r>
              <w:t>27.00</w:t>
            </w:r>
          </w:p>
        </w:tc>
        <w:tc>
          <w:tcPr>
            <w:tcW w:type="dxa" w:w="1077"/>
            <w:tcW w:w="850" w:type="dxa"/>
          </w:tcPr>
          <w:p>
            <w:r>
              <w:t>35.0</w:t>
            </w:r>
          </w:p>
        </w:tc>
        <w:tc>
          <w:tcPr>
            <w:tcW w:type="dxa" w:w="1077"/>
            <w:tcW w:w="850" w:type="dxa"/>
          </w:tcPr>
          <w:p>
            <w:r>
              <w:t>0.10</w:t>
            </w:r>
          </w:p>
        </w:tc>
        <w:tc>
          <w:tcPr>
            <w:tcW w:type="dxa" w:w="1077"/>
            <w:tcW w:w="850" w:type="dxa"/>
          </w:tcPr>
          <w:p>
            <w:r>
              <w:t>9.30</w:t>
            </w:r>
          </w:p>
        </w:tc>
        <w:tc>
          <w:tcPr>
            <w:tcW w:type="dxa" w:w="1077"/>
            <w:tcW w:w="850" w:type="dxa"/>
          </w:tcPr>
          <w:p>
            <w:r>
              <w:t>0.45</w:t>
            </w:r>
          </w:p>
        </w:tc>
        <w:tc>
          <w:tcPr>
            <w:tcW w:type="dxa" w:w="1077"/>
            <w:vMerge/>
          </w:tcPr>
          <w:p/>
        </w:tc>
      </w:tr>
      <w:tr>
        <w:tc>
          <w:tcPr>
            <w:tcW w:type="dxa" w:w="1077"/>
            <w:vMerge/>
          </w:tcPr>
          <w:p/>
        </w:tc>
        <w:tc>
          <w:tcPr>
            <w:tcW w:type="dxa" w:w="1077"/>
            <w:tcW w:w="1133" w:type="dxa"/>
          </w:tcPr>
          <w:p>
            <w:r>
              <w:t xml:space="preserve"> - Izquierda</w:t>
            </w:r>
          </w:p>
        </w:tc>
        <w:tc>
          <w:tcPr>
            <w:tcW w:type="dxa" w:w="1077"/>
            <w:tcW w:w="850" w:type="dxa"/>
          </w:tcPr>
          <w:p>
            <w:r>
              <w:t>26.50</w:t>
            </w:r>
          </w:p>
        </w:tc>
        <w:tc>
          <w:tcPr>
            <w:tcW w:type="dxa" w:w="1077"/>
            <w:tcW w:w="850" w:type="dxa"/>
          </w:tcPr>
          <w:p>
            <w:r>
              <w:t>27.00</w:t>
            </w:r>
          </w:p>
        </w:tc>
        <w:tc>
          <w:tcPr>
            <w:tcW w:type="dxa" w:w="1077"/>
            <w:tcW w:w="850" w:type="dxa"/>
          </w:tcPr>
          <w:p>
            <w:r>
              <w:t>35.0</w:t>
            </w:r>
          </w:p>
        </w:tc>
        <w:tc>
          <w:tcPr>
            <w:tcW w:type="dxa" w:w="1077"/>
            <w:tcW w:w="850" w:type="dxa"/>
          </w:tcPr>
          <w:p>
            <w:r>
              <w:t>0.30</w:t>
            </w:r>
          </w:p>
        </w:tc>
        <w:tc>
          <w:tcPr>
            <w:tcW w:type="dxa" w:w="1077"/>
            <w:tcW w:w="850" w:type="dxa"/>
          </w:tcPr>
          <w:p>
            <w:r>
              <w:t>5.20</w:t>
            </w:r>
          </w:p>
        </w:tc>
        <w:tc>
          <w:tcPr>
            <w:tcW w:type="dxa" w:w="1077"/>
            <w:tcW w:w="850" w:type="dxa"/>
          </w:tcPr>
          <w:p>
            <w:r>
              <w:t>-0.09</w:t>
            </w:r>
          </w:p>
        </w:tc>
        <w:tc>
          <w:tcPr>
            <w:tcW w:type="dxa" w:w="1077"/>
            <w:vMerge/>
          </w:tcPr>
          <w:p/>
        </w:tc>
      </w:tr>
      <w:tr>
        <w:tc>
          <w:tcPr>
            <w:tcW w:type="dxa" w:w="1077"/>
            <w:vMerge/>
          </w:tcPr>
          <w:p/>
        </w:tc>
        <w:tc>
          <w:tcPr>
            <w:tcW w:type="dxa" w:w="1077"/>
            <w:tcW w:w="1133" w:type="dxa"/>
          </w:tcPr>
          <w:p>
            <w:r>
              <w:t xml:space="preserve"> - Derecha</w:t>
            </w:r>
          </w:p>
        </w:tc>
        <w:tc>
          <w:tcPr>
            <w:tcW w:type="dxa" w:w="1077"/>
            <w:tcW w:w="850" w:type="dxa"/>
          </w:tcPr>
          <w:p>
            <w:r>
              <w:t>26.50</w:t>
            </w:r>
          </w:p>
        </w:tc>
        <w:tc>
          <w:tcPr>
            <w:tcW w:type="dxa" w:w="1077"/>
            <w:tcW w:w="850" w:type="dxa"/>
          </w:tcPr>
          <w:p>
            <w:r>
              <w:t>26.00</w:t>
            </w:r>
          </w:p>
        </w:tc>
        <w:tc>
          <w:tcPr>
            <w:tcW w:type="dxa" w:w="1077"/>
            <w:tcW w:w="850" w:type="dxa"/>
          </w:tcPr>
          <w:p>
            <w:r>
              <w:t>35.0</w:t>
            </w:r>
          </w:p>
        </w:tc>
        <w:tc>
          <w:tcPr>
            <w:tcW w:type="dxa" w:w="1077"/>
            <w:tcW w:w="850" w:type="dxa"/>
          </w:tcPr>
          <w:p>
            <w:r>
              <w:t>0.00</w:t>
            </w:r>
          </w:p>
        </w:tc>
        <w:tc>
          <w:tcPr>
            <w:tcW w:type="dxa" w:w="1077"/>
            <w:tcW w:w="850" w:type="dxa"/>
          </w:tcPr>
          <w:p>
            <w:r>
              <w:t>6.00</w:t>
            </w:r>
          </w:p>
        </w:tc>
        <w:tc>
          <w:tcPr>
            <w:tcW w:type="dxa" w:w="1077"/>
            <w:tcW w:w="850" w:type="dxa"/>
          </w:tcPr>
          <w:p>
            <w:r>
              <w:t>0.22</w:t>
            </w:r>
          </w:p>
        </w:tc>
        <w:tc>
          <w:tcPr>
            <w:tcW w:type="dxa" w:w="1077"/>
            <w:vMerge/>
          </w:tcPr>
          <w:p/>
        </w:tc>
      </w:tr>
      <w:tr>
        <w:tc>
          <w:tcPr>
            <w:tcW w:type="dxa" w:w="1077"/>
            <w:tcW w:w="1417" w:type="dxa"/>
          </w:tcPr>
          <w:p>
            <w:r>
              <w:rPr>
                <w:b/>
              </w:rPr>
              <w:t>Sala de venta</w:t>
            </w:r>
          </w:p>
        </w:tc>
        <w:tc>
          <w:tcPr>
            <w:tcW w:type="dxa" w:w="1077"/>
            <w:tcW w:w="1133" w:type="dxa"/>
          </w:tcPr>
          <w:p>
            <w:r>
              <w:rPr>
                <w:b/>
              </w:rPr>
            </w:r>
          </w:p>
        </w:tc>
        <w:tc>
          <w:tcPr>
            <w:tcW w:type="dxa" w:w="1077"/>
            <w:tcW w:w="850" w:type="dxa"/>
          </w:tcPr>
          <w:p>
            <w:r>
              <w:rPr>
                <w:b/>
              </w:rPr>
              <w:t>24.00</w:t>
            </w:r>
          </w:p>
        </w:tc>
        <w:tc>
          <w:tcPr>
            <w:tcW w:type="dxa" w:w="1077"/>
            <w:tcW w:w="850" w:type="dxa"/>
          </w:tcPr>
          <w:p>
            <w:r>
              <w:rPr>
                <w:b/>
              </w:rPr>
              <w:t>24.00</w:t>
            </w:r>
          </w:p>
        </w:tc>
        <w:tc>
          <w:tcPr>
            <w:tcW w:type="dxa" w:w="1077"/>
            <w:tcW w:w="850" w:type="dxa"/>
          </w:tcPr>
          <w:p>
            <w:r>
              <w:rPr>
                <w:b/>
              </w:rPr>
              <w:t>35.0</w:t>
            </w:r>
          </w:p>
        </w:tc>
        <w:tc>
          <w:tcPr>
            <w:tcW w:type="dxa" w:w="1077"/>
            <w:tcW w:w="850" w:type="dxa"/>
          </w:tcPr>
          <w:p>
            <w:r>
              <w:rPr>
                <w:b/>
              </w:rPr>
              <w:t>0.10</w:t>
            </w:r>
          </w:p>
        </w:tc>
        <w:tc>
          <w:tcPr>
            <w:tcW w:type="dxa" w:w="1077"/>
            <w:tcW w:w="850" w:type="dxa"/>
          </w:tcPr>
          <w:p>
            <w:r>
              <w:rPr>
                <w:b/>
              </w:rPr>
              <w:t>7.00</w:t>
            </w:r>
          </w:p>
        </w:tc>
        <w:tc>
          <w:tcPr>
            <w:tcW w:type="dxa" w:w="1077"/>
            <w:tcW w:w="850" w:type="dxa"/>
          </w:tcPr>
          <w:p>
            <w:r>
              <w:rPr>
                <w:b/>
              </w:rPr>
              <w:t>-0.31</w:t>
            </w:r>
          </w:p>
        </w:tc>
        <w:tc>
          <w:tcPr>
            <w:tcW w:type="dxa" w:w="1077"/>
            <w:tcW w:w="850" w:type="dxa"/>
          </w:tcPr>
          <w:p>
            <w:r>
              <w:rPr>
                <w:b/>
              </w:rPr>
              <w:t>CUMPLE</w:t>
            </w:r>
          </w:p>
        </w:tc>
      </w:tr>
    </w:tbl>
    <w:p/>
    <w:p>
      <w:pPr>
        <w:pStyle w:val="Heading2"/>
        <w:jc w:val="left"/>
      </w:pPr>
      <w:r>
        <w:t>Conclusiones</w:t>
      </w:r>
    </w:p>
    <w:p>
      <w:r>
        <w:t>Efectuadas mediciones de confort térmico en el local UNIMARC REGIMIENTO ARICA LA SERENA, se concluye que las áreas Bodega, Línea de cajas y Sala de venta cumplen con el estándar de confort térmico, por lo que se recomienda mantener las condiciones actuales o similares.</w:t>
      </w:r>
    </w:p>
    <w:p/>
    <w:p>
      <w:pPr>
        <w:pStyle w:val="Heading2"/>
        <w:jc w:val="left"/>
      </w:pPr>
      <w:r>
        <w:t>Vigencia del informe</w:t>
      </w:r>
    </w:p>
    <w:p>
      <w:r>
        <w:t>El presente informe tiene una vigencia de 3 años, en la medida que no cambien las condiciones.</w:t>
      </w:r>
    </w:p>
    <w:p>
      <w:r>
        <w:t>Estos resultados de evaluación representan las condiciones existentes del ambiente y lugar de trabajo al momento de realizar las mediciones.</w:t>
      </w:r>
    </w:p>
    <w:p/>
    <w:p>
      <w:r>
        <w:br w:type="page"/>
      </w:r>
    </w:p>
    <w:p>
      <w:pPr>
        <w:pStyle w:val="Heading2"/>
      </w:pPr>
      <w:r>
        <w:t>Equipos de medición utilizado</w:t>
      </w:r>
    </w:p>
    <w:p>
      <w:r>
        <w:t>No se encontró información de equipos de medición relacionados con la visita.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844"/>
        <w:gridCol w:w="4844"/>
      </w:tblGrid>
      <w:tr>
        <w:tc>
          <w:tcPr>
            <w:tcW w:type="dxa" w:w="9688"/>
            <w:gridSpan w:val="2"/>
            <w:shd w:fill="4f0b7b"/>
            <w:tcW w:w="2267" w:type="dxa"/>
            <w:tcW w:w="7937" w:type="dxa"/>
          </w:tcPr>
          <w:p>
            <w:r>
              <w:rPr>
                <w:b/>
                <w:color w:val="FFFFFF"/>
                <w:sz w:val="20"/>
              </w:rPr>
              <w:t>Verificación de parámetros de equipos en terreno</w:t>
            </w:r>
          </w:p>
        </w:tc>
      </w:tr>
      <w:tr>
        <w:tc>
          <w:tcPr>
            <w:tcW w:type="dxa" w:w="4844"/>
            <w:tcW w:w="2267" w:type="dxa"/>
          </w:tcPr>
          <w:p>
            <w:r>
              <w:t>Patrón TBS</w:t>
            </w:r>
          </w:p>
        </w:tc>
        <w:tc>
          <w:tcPr>
            <w:tcW w:type="dxa" w:w="4844"/>
            <w:tcW w:w="7937" w:type="dxa"/>
          </w:tcPr>
          <w:p>
            <w:r>
              <w:t>46.4</w:t>
            </w:r>
          </w:p>
        </w:tc>
      </w:tr>
      <w:tr>
        <w:tc>
          <w:tcPr>
            <w:tcW w:type="dxa" w:w="4844"/>
            <w:tcW w:w="2267" w:type="dxa"/>
          </w:tcPr>
          <w:p>
            <w:r>
              <w:t>Verificación TBS inicial</w:t>
            </w:r>
          </w:p>
        </w:tc>
        <w:tc>
          <w:tcPr>
            <w:tcW w:type="dxa" w:w="4844"/>
            <w:tcW w:w="7937" w:type="dxa"/>
          </w:tcPr>
          <w:p>
            <w:r>
              <w:t>46.3</w:t>
            </w:r>
          </w:p>
        </w:tc>
      </w:tr>
      <w:tr>
        <w:tc>
          <w:tcPr>
            <w:tcW w:type="dxa" w:w="4844"/>
            <w:tcW w:w="2267" w:type="dxa"/>
          </w:tcPr>
          <w:p>
            <w:r>
              <w:t>Verificación TBS final</w:t>
            </w:r>
          </w:p>
        </w:tc>
        <w:tc>
          <w:tcPr>
            <w:tcW w:type="dxa" w:w="4844"/>
            <w:tcW w:w="7937" w:type="dxa"/>
          </w:tcPr>
          <w:p>
            <w:r>
              <w:t>46.4</w:t>
            </w:r>
          </w:p>
        </w:tc>
      </w:tr>
      <w:tr>
        <w:tc>
          <w:tcPr>
            <w:tcW w:type="dxa" w:w="4844"/>
            <w:tcW w:w="2267" w:type="dxa"/>
          </w:tcPr>
          <w:p>
            <w:r>
              <w:t>Patrón TBH</w:t>
            </w:r>
          </w:p>
        </w:tc>
        <w:tc>
          <w:tcPr>
            <w:tcW w:type="dxa" w:w="4844"/>
            <w:tcW w:w="7937" w:type="dxa"/>
          </w:tcPr>
          <w:p>
            <w:r>
              <w:t>12.7</w:t>
            </w:r>
          </w:p>
        </w:tc>
      </w:tr>
      <w:tr>
        <w:tc>
          <w:tcPr>
            <w:tcW w:type="dxa" w:w="4844"/>
            <w:tcW w:w="2267" w:type="dxa"/>
          </w:tcPr>
          <w:p>
            <w:r>
              <w:t>Verificación TBH inicial</w:t>
            </w:r>
          </w:p>
        </w:tc>
        <w:tc>
          <w:tcPr>
            <w:tcW w:type="dxa" w:w="4844"/>
            <w:tcW w:w="7937" w:type="dxa"/>
          </w:tcPr>
          <w:p>
            <w:r>
              <w:t>12.6</w:t>
            </w:r>
          </w:p>
        </w:tc>
      </w:tr>
      <w:tr>
        <w:tc>
          <w:tcPr>
            <w:tcW w:type="dxa" w:w="4844"/>
            <w:tcW w:w="2267" w:type="dxa"/>
          </w:tcPr>
          <w:p>
            <w:r>
              <w:t>Verificación TBH final</w:t>
            </w:r>
          </w:p>
        </w:tc>
        <w:tc>
          <w:tcPr>
            <w:tcW w:type="dxa" w:w="4844"/>
            <w:tcW w:w="7937" w:type="dxa"/>
          </w:tcPr>
          <w:p>
            <w:r>
              <w:t>12.8</w:t>
            </w:r>
          </w:p>
        </w:tc>
      </w:tr>
      <w:tr>
        <w:tc>
          <w:tcPr>
            <w:tcW w:type="dxa" w:w="4844"/>
            <w:tcW w:w="2267" w:type="dxa"/>
          </w:tcPr>
          <w:p>
            <w:r>
              <w:t>Patrón TG</w:t>
            </w:r>
          </w:p>
        </w:tc>
        <w:tc>
          <w:tcPr>
            <w:tcW w:type="dxa" w:w="4844"/>
            <w:tcW w:w="7937" w:type="dxa"/>
          </w:tcPr>
          <w:p>
            <w:r>
              <w:t>69.8</w:t>
            </w:r>
          </w:p>
        </w:tc>
      </w:tr>
      <w:tr>
        <w:tc>
          <w:tcPr>
            <w:tcW w:type="dxa" w:w="4844"/>
            <w:tcW w:w="2267" w:type="dxa"/>
          </w:tcPr>
          <w:p>
            <w:r>
              <w:t>Verificación TG inicial</w:t>
            </w:r>
          </w:p>
        </w:tc>
        <w:tc>
          <w:tcPr>
            <w:tcW w:type="dxa" w:w="4844"/>
            <w:tcW w:w="7937" w:type="dxa"/>
          </w:tcPr>
          <w:p>
            <w:r>
              <w:t>70.0</w:t>
            </w:r>
          </w:p>
        </w:tc>
      </w:tr>
      <w:tr>
        <w:tc>
          <w:tcPr>
            <w:tcW w:type="dxa" w:w="4844"/>
            <w:tcW w:w="2267" w:type="dxa"/>
          </w:tcPr>
          <w:p>
            <w:r>
              <w:t>Verificación TG final</w:t>
            </w:r>
          </w:p>
        </w:tc>
        <w:tc>
          <w:tcPr>
            <w:tcW w:type="dxa" w:w="4844"/>
            <w:tcW w:w="7937" w:type="dxa"/>
          </w:tcPr>
          <w:p>
            <w:r>
              <w:t>69.9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134" w:right="1134" w:bottom="567" w:left="1417" w:header="720" w:footer="720" w:gutter="0"/>
      <w:cols w:space="720"/>
      <w:docGrid w:linePitch="360"/>
      <w:vAlign w:val="top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914400" cy="705718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S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705718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  <w:jc w:val="both"/>
    </w:pPr>
    <w:rPr>
      <w:rFonts w:ascii="Calibri" w:hAnsi="Calibri"/>
      <w:b w:val="0"/>
      <w:i w:val="0"/>
      <w:color w:val="000000"/>
      <w:sz w:val="20"/>
      <w:lang w:val="es-CL" w:eastAsia="es-CL" w:bidi="es-C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0" w:after="240"/>
      <w:jc w:val="left"/>
      <w:outlineLvl w:val="0"/>
    </w:pPr>
    <w:rPr>
      <w:rFonts w:asciiTheme="majorHAnsi" w:eastAsiaTheme="majorEastAsia" w:hAnsiTheme="majorHAnsi" w:cstheme="majorBidi" w:ascii="Calibri" w:hAnsi="Calibri"/>
      <w:b/>
      <w:bCs/>
      <w:i w:val="0"/>
      <w:color w:val="000000"/>
      <w:sz w:val="28"/>
      <w:szCs w:val="28"/>
      <w:lang w:val="es-CL" w:eastAsia="es-CL" w:bidi="es-C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40" w:after="240"/>
      <w:jc w:val="left"/>
      <w:outlineLvl w:val="1"/>
    </w:pPr>
    <w:rPr>
      <w:rFonts w:asciiTheme="majorHAnsi" w:eastAsiaTheme="majorEastAsia" w:hAnsiTheme="majorHAnsi" w:cstheme="majorBidi" w:ascii="Calibri" w:hAnsi="Calibri"/>
      <w:b/>
      <w:bCs/>
      <w:i w:val="0"/>
      <w:color w:val="4F0B7B"/>
      <w:sz w:val="24"/>
      <w:szCs w:val="26"/>
      <w:lang w:val="es-CL" w:eastAsia="es-CL" w:bidi="es-C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160" w:after="160"/>
      <w:jc w:val="left"/>
      <w:outlineLvl w:val="2"/>
    </w:pPr>
    <w:rPr>
      <w:rFonts w:asciiTheme="majorHAnsi" w:eastAsiaTheme="majorEastAsia" w:hAnsiTheme="majorHAnsi" w:cstheme="majorBidi" w:ascii="Calibri" w:hAnsi="Calibri"/>
      <w:b/>
      <w:bCs/>
      <w:i w:val="0"/>
      <w:color w:val="303030"/>
      <w:sz w:val="22"/>
      <w:lang w:val="es-CL" w:eastAsia="es-CL" w:bidi="es-C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