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INFORME EVALUACIÓN VENTILACIÓN</w:t>
      </w:r>
    </w:p>
    <w:p>
      <w:pPr>
        <w:jc w:val="center"/>
      </w:pPr>
      <w:r>
        <w:rPr>
          <w:b/>
        </w:rPr>
        <w:t>CÓDIGO: [COMPLETAR]</w:t>
      </w:r>
    </w:p>
    <w:p>
      <w:pPr>
        <w:pStyle w:val="Heading2"/>
      </w:pPr>
      <w:r>
        <w:t>1. Antecedentes</w:t>
      </w:r>
    </w:p>
    <w:p>
      <w:r>
        <w:t>Por solicitud del área de prevención de la empresa, se realiza la evaluación de ventilación de acuerdo con lo establecido en el Artículo N°34 del Decreto Supremo N°594/1999, realizando la evaluación de las condiciones de ventilación en las áreas o sectores del centro de trabajo, de modo que la organización pueda implementar medidas oportunas que resguarden la salud de las personas trabajadoras conforme al citado decreto.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1.1 Información empresa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Razón Social</w:t>
            </w:r>
          </w:p>
        </w:tc>
        <w:tc>
          <w:tcPr>
            <w:tcW w:type="dxa" w:w="4844"/>
            <w:tcW w:w="5669" w:type="dxa"/>
          </w:tcPr>
          <w:p>
            <w:r>
              <w:t>Rendic Hermanos S.A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RUT</w:t>
            </w:r>
          </w:p>
        </w:tc>
        <w:tc>
          <w:tcPr>
            <w:tcW w:type="dxa" w:w="4844"/>
            <w:tcW w:w="5669" w:type="dxa"/>
          </w:tcPr>
          <w:p>
            <w:r>
              <w:t>81.537.600-5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CIIU</w:t>
            </w:r>
          </w:p>
        </w:tc>
        <w:tc>
          <w:tcPr>
            <w:tcW w:type="dxa" w:w="4844"/>
            <w:tcW w:w="5669" w:type="dxa"/>
          </w:tcPr>
          <w:p>
            <w:r>
              <w:t>471100 -  Venta al por menor en comercios de alimentos, bebidas o tabaco (supermercado)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1.2 Información centro de trabajo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CUV/CECO/Código IST</w:t>
            </w:r>
          </w:p>
        </w:tc>
        <w:tc>
          <w:tcPr>
            <w:tcW w:type="dxa" w:w="4844"/>
            <w:tcW w:w="5669" w:type="dxa"/>
          </w:tcPr>
          <w:p>
            <w:r>
              <w:t>713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Nombre de Local</w:t>
            </w:r>
          </w:p>
        </w:tc>
        <w:tc>
          <w:tcPr>
            <w:tcW w:type="dxa" w:w="4844"/>
            <w:tcW w:w="5669" w:type="dxa"/>
          </w:tcPr>
          <w:p>
            <w:r>
              <w:t>Uni Gomez Carreño Talcahuano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Dirección</w:t>
            </w:r>
          </w:p>
        </w:tc>
        <w:tc>
          <w:tcPr>
            <w:tcW w:type="dxa" w:w="4844"/>
            <w:tcW w:w="5669" w:type="dxa"/>
          </w:tcPr>
          <w:p>
            <w:r>
              <w:t>Gomez Carreño  3875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Comuna</w:t>
            </w:r>
          </w:p>
        </w:tc>
        <w:tc>
          <w:tcPr>
            <w:tcW w:type="dxa" w:w="4844"/>
            <w:tcW w:w="5669" w:type="dxa"/>
          </w:tcPr>
          <w:p>
            <w:r>
              <w:t>Talcahuano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Región</w:t>
            </w:r>
          </w:p>
        </w:tc>
        <w:tc>
          <w:tcPr>
            <w:tcW w:type="dxa" w:w="4844"/>
            <w:tcW w:w="5669" w:type="dxa"/>
          </w:tcPr>
          <w:p>
            <w:r>
              <w:t>Región del Biobío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1.3 Información de la visita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Motivo de la actividad</w:t>
            </w:r>
          </w:p>
        </w:tc>
        <w:tc>
          <w:tcPr>
            <w:tcW w:type="dxa" w:w="4844"/>
            <w:tcW w:w="5669" w:type="dxa"/>
          </w:tcPr>
          <w:p>
            <w:r>
              <w:t>Programa de Trabajo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Fecha actividad de terreno</w:t>
            </w:r>
          </w:p>
        </w:tc>
        <w:tc>
          <w:tcPr>
            <w:tcW w:type="dxa" w:w="4844"/>
            <w:tcW w:w="5669" w:type="dxa"/>
          </w:tcPr>
          <w:p>
            <w:r>
              <w:t>06-10-2025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Hora actividad de terreno</w:t>
            </w:r>
          </w:p>
        </w:tc>
        <w:tc>
          <w:tcPr>
            <w:tcW w:type="dxa" w:w="4844"/>
            <w:tcW w:w="5669" w:type="dxa"/>
          </w:tcPr>
          <w:p>
            <w:r>
              <w:t>09:00:00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Profesional consultor/a de IST</w:t>
            </w:r>
          </w:p>
        </w:tc>
        <w:tc>
          <w:tcPr>
            <w:tcW w:type="dxa" w:w="4844"/>
            <w:tcW w:w="5669" w:type="dxa"/>
          </w:tcPr>
          <w:p>
            <w:r>
              <w:t>Claudio San Martin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Acompañante empresa</w:t>
            </w:r>
          </w:p>
        </w:tc>
        <w:tc>
          <w:tcPr>
            <w:tcW w:type="dxa" w:w="4844"/>
            <w:tcW w:w="5669" w:type="dxa"/>
          </w:tcPr>
          <w:p>
            <w:r>
              <w:t>Heriberto Gonzalez Cofre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Cargo de la persona que acompaña la visita</w:t>
            </w:r>
          </w:p>
        </w:tc>
        <w:tc>
          <w:tcPr>
            <w:tcW w:type="dxa" w:w="4844"/>
            <w:tcW w:w="5669" w:type="dxa"/>
          </w:tcPr>
          <w:p>
            <w:r>
              <w:t>Administrador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Tipo de evaluación</w:t>
            </w:r>
          </w:p>
        </w:tc>
        <w:tc>
          <w:tcPr>
            <w:tcW w:type="dxa" w:w="4844"/>
            <w:tcW w:w="5669" w:type="dxa"/>
          </w:tcPr>
          <w:p>
            <w:r>
              <w:t>Ventilacion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Fecha emisión informe</w:t>
            </w:r>
          </w:p>
        </w:tc>
        <w:tc>
          <w:tcPr>
            <w:tcW w:type="dxa" w:w="4844"/>
            <w:tcW w:w="5669" w:type="dxa"/>
          </w:tcPr>
          <w:p>
            <w:r>
              <w:t>[COMPLETAR]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Revisor del informe</w:t>
            </w:r>
          </w:p>
        </w:tc>
        <w:tc>
          <w:tcPr>
            <w:tcW w:type="dxa" w:w="4844"/>
            <w:tcW w:w="5669" w:type="dxa"/>
          </w:tcPr>
          <w:p>
            <w:r>
              <w:t>Rodrigo Novoa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Destinatario informe</w:t>
            </w:r>
          </w:p>
        </w:tc>
        <w:tc>
          <w:tcPr>
            <w:tcW w:type="dxa" w:w="4844"/>
            <w:tcW w:w="5669" w:type="dxa"/>
          </w:tcPr>
          <w:p>
            <w:r>
              <w:t>Cristian Fernandez</w:t>
            </w:r>
          </w:p>
        </w:tc>
      </w:tr>
    </w:tbl>
    <w:p/>
    <w:p>
      <w:pPr>
        <w:pStyle w:val="Heading2"/>
      </w:pPr>
      <w:r>
        <w:t>2. Metodología</w:t>
      </w:r>
    </w:p>
    <w:p>
      <w:r>
        <w:t>La evaluación consideró el levantamiento de antecedentes físicos y funcionales de cada recinto, incluyendo sus dimensiones, uso, número máximo de personas (NMP) y condiciones de ventilación disponibles. A partir de las mediciones de largo, ancho y alto se determinó el volumen total del recinto (m³), lo que permitió estimar el volumen disponible por persona y verificar si cumple con los valores mínimos exigidos por el D.S. N°594.</w:t>
      </w:r>
    </w:p>
    <w:p/>
    <w:p>
      <w:pPr>
        <w:pStyle w:val="Heading2"/>
      </w:pPr>
      <w:r>
        <w:t>3. Resultados</w:t>
      </w:r>
    </w:p>
    <w:p>
      <w:pPr>
        <w:pStyle w:val="Heading3"/>
      </w:pPr>
      <w:r>
        <w:t>3.1 Resumen por áreas evaluadas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rPr>
          <w:trHeight w:val="1134" w:hRule="exact"/>
        </w:trPr>
        <w:tc>
          <w:tcPr>
            <w:tcW w:type="dxa" w:w="1211"/>
            <w:tcW w:w="1700" w:type="dxa"/>
            <w:vMerge w:val="restart"/>
            <w:vAlign w:val="center"/>
            <w:shd w:fill="4F0B7B"/>
            <w:shd w:fill="4F0B7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Área y/o sector</w:t>
            </w:r>
          </w:p>
        </w:tc>
        <w:tc>
          <w:tcPr>
            <w:tcW w:type="dxa" w:w="1211"/>
            <w:tcW w:w="170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Número máximo de personas</w:t>
              <w:br/>
              <w:t>(NMP) en el área y/o sector</w:t>
            </w:r>
          </w:p>
        </w:tc>
        <w:tc>
          <w:tcPr>
            <w:tcW w:type="dxa" w:w="3633"/>
            <w:tcW w:w="453" w:type="dxa"/>
            <w:gridSpan w:val="3"/>
            <w:vAlign w:val="center"/>
            <w:shd w:fill="4F0B7B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Dimensiones del recinto evaluado</w:t>
            </w:r>
          </w:p>
        </w:tc>
        <w:tc>
          <w:tcPr>
            <w:tcW w:type="dxa" w:w="1211"/>
            <w:tcW w:w="85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Metros cúbicos del sector (m³)</w:t>
            </w:r>
          </w:p>
        </w:tc>
        <w:tc>
          <w:tcPr>
            <w:tcW w:type="dxa" w:w="1211"/>
            <w:tcW w:w="85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Metros cúbicos por persona</w:t>
            </w:r>
          </w:p>
        </w:tc>
        <w:tc>
          <w:tcPr>
            <w:tcW w:type="dxa" w:w="1211"/>
            <w:tcW w:w="2267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 estándar de ventilación D.S. N° 594</w:t>
              <w:br/>
              <w:t>10 metros cúbicos por persona</w:t>
              <w:br/>
              <w:t>CUMPLE/NO CUMPLE</w:t>
            </w:r>
          </w:p>
        </w:tc>
      </w:tr>
      <w:tr>
        <w:trPr>
          <w:trHeight w:val="567" w:hRule="exact"/>
        </w:trPr>
        <w:tc>
          <w:tcPr>
            <w:tcW w:type="dxa" w:w="1211"/>
            <w:tcW w:w="1700" w:type="dxa"/>
            <w:vMerge/>
          </w:tcPr>
          <w:p/>
        </w:tc>
        <w:tc>
          <w:tcPr>
            <w:tcW w:type="dxa" w:w="1211"/>
            <w:tcW w:w="1700" w:type="dxa"/>
            <w:vMerge/>
          </w:tcPr>
          <w:p/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Largo (m)</w:t>
            </w:r>
          </w:p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Ancho (m)</w:t>
            </w:r>
          </w:p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Alto (m)</w:t>
            </w:r>
          </w:p>
        </w:tc>
        <w:tc>
          <w:tcPr>
            <w:tcW w:type="dxa" w:w="1211"/>
            <w:tcW w:w="850" w:type="dxa"/>
            <w:vMerge/>
          </w:tcPr>
          <w:p/>
        </w:tc>
        <w:tc>
          <w:tcPr>
            <w:tcW w:type="dxa" w:w="1211"/>
            <w:tcW w:w="850" w:type="dxa"/>
            <w:vMerge/>
          </w:tcPr>
          <w:p/>
        </w:tc>
        <w:tc>
          <w:tcPr>
            <w:tcW w:type="dxa" w:w="1211"/>
            <w:tcW w:w="2267" w:type="dxa"/>
            <w:vMerge/>
          </w:tcPr>
          <w:p/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Administración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2,79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2,98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2,83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23,54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23,54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Arqueo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2,16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2,28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2,29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11,26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11,26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Computación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2,94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4,11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2,70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32,65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16,33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Pre Arqueo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2,09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2,15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2,29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10,27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10,27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Recepción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1,89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3,65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2,49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17,18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17,18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Servicio A Personas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3,88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2,87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3,72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41,40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41,40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</w:tbl>
    <w:p/>
    <w:p>
      <w:pPr>
        <w:pStyle w:val="Heading3"/>
      </w:pPr>
      <w:r>
        <w:t>3.2 Puntos de medición</w:t>
      </w:r>
    </w:p>
    <w:p>
      <w:r>
        <w:t>Todas las áreas evaluadas cumplen con la referencia de m³/persona, por lo que no fue necesario registrar puntos de medición.</w:t>
      </w:r>
    </w:p>
    <w:p/>
    <w:p>
      <w:pPr>
        <w:pStyle w:val="Heading2"/>
      </w:pPr>
      <w:r>
        <w:t>4. Conclusiones</w:t>
      </w:r>
    </w:p>
    <w:p>
      <w:r>
        <w:t>Acorde a los resultados alcanzados, las áreas: Oficina Administración, Oficina Arqueo, Oficina Computación, Oficina Pre Arqueo, Oficina Recepción, Oficina Servicio A Personas cumplen con lo establecido en el Decreto Supremo N° 594/99 del MINSAL respecto del volumen mínimo de aire disponible por persona (10 m³ por persona). Por lo anterior, se deberán seguir las indicaciones propuestas con el fin de mantener y/o fortalecer las condiciones de ventilación evaluadas.</w:t>
      </w:r>
    </w:p>
    <w:p/>
    <w:p>
      <w:pPr>
        <w:pStyle w:val="Heading2"/>
      </w:pPr>
      <w:r>
        <w:t>5. Prescripciones</w:t>
      </w:r>
    </w:p>
    <w:p>
      <w:pPr>
        <w:pStyle w:val="Heading3"/>
      </w:pPr>
      <w:r>
        <w:t>5.1 Medidas de carácter Administrativas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F0B7B"/>
            <w:tcW w:w="6803" w:type="dxa"/>
          </w:tcPr>
          <w:p>
            <w:r>
              <w:rPr>
                <w:b/>
                <w:color w:val="FFFFFF"/>
                <w:sz w:val="20"/>
              </w:rPr>
              <w:t>Medidas de control</w:t>
            </w:r>
          </w:p>
        </w:tc>
        <w:tc>
          <w:tcPr>
            <w:tcW w:type="dxa" w:w="3230"/>
            <w:shd w:fill="4F0B7B"/>
            <w:tcW w:w="2267" w:type="dxa"/>
          </w:tcPr>
          <w:p>
            <w:r>
              <w:rPr>
                <w:b/>
                <w:color w:val="FFFFFF"/>
                <w:sz w:val="20"/>
              </w:rPr>
              <w:t>Área y/o sector</w:t>
            </w:r>
          </w:p>
        </w:tc>
        <w:tc>
          <w:tcPr>
            <w:tcW w:type="dxa" w:w="3230"/>
            <w:shd w:fill="4F0B7B"/>
            <w:tcW w:w="2267" w:type="dxa"/>
          </w:tcPr>
          <w:p>
            <w:r>
              <w:rPr>
                <w:b/>
                <w:color w:val="FFFFFF"/>
                <w:sz w:val="20"/>
              </w:rPr>
              <w:t>Plazo de cumplimiento</w:t>
            </w:r>
          </w:p>
        </w:tc>
      </w:tr>
      <w:tr>
        <w:tc>
          <w:tcPr>
            <w:tcW w:type="dxa" w:w="3230"/>
            <w:tcW w:w="6803" w:type="dxa"/>
          </w:tcPr>
          <w:p>
            <w:r>
              <w:t>Informar a cada persona trabajadora acerca de los riesgos que entrañan sus labores, de las medidas preventivas, de los métodos y/o procedimientos de trabajo correctos, acorde a lo identificado por la empresa. Además, la entidad empleadora deberá informar de manera oportuna y adecuada el resultado del presente informe técnico. En el marco del artículo 15° del Párrafo IV del D.S 44 “Aprueba nuevo reglamento sobre gestión preventiva de los riesgos laborales para un entorno de trabajo seguro y saludable”.</w:t>
            </w:r>
          </w:p>
        </w:tc>
        <w:tc>
          <w:tcPr>
            <w:tcW w:type="dxa" w:w="3230"/>
            <w:tcW w:w="2267" w:type="dxa"/>
          </w:tcPr>
          <w:p>
            <w:r>
              <w:t>Todas las áreas evaluadas</w:t>
            </w:r>
          </w:p>
        </w:tc>
        <w:tc>
          <w:tcPr>
            <w:tcW w:type="dxa" w:w="3230"/>
            <w:tcW w:w="2267" w:type="dxa"/>
          </w:tcPr>
          <w:p>
            <w:r>
              <w:t>30 días desde la recepción del presente informe técnico.</w:t>
            </w:r>
          </w:p>
        </w:tc>
      </w:tr>
      <w:tr>
        <w:tc>
          <w:tcPr>
            <w:tcW w:type="dxa" w:w="3230"/>
            <w:tcW w:w="6803" w:type="dxa"/>
          </w:tcPr>
          <w:p>
            <w:r>
              <w:t>Realizar capacitaciones (teóricas/prácticas) periódicas en prevención de riesgos laborales, con la finalidad de garantizar el aprendizaje efectivo y eficaz, dejando registro de dichas capacitaciones y evaluaciones. En el marco del artículo 16° del Párrafo IV del D.S 44 “Aprueba nuevo reglamento sobre gestión preventiva de los riesgos laborales para un entorno de trabajo seguro y saludable”.</w:t>
            </w:r>
          </w:p>
        </w:tc>
        <w:tc>
          <w:tcPr>
            <w:tcW w:type="dxa" w:w="3230"/>
            <w:tcW w:w="2267" w:type="dxa"/>
          </w:tcPr>
          <w:p>
            <w:r>
              <w:t>Todas las áreas evaluadas</w:t>
            </w:r>
          </w:p>
        </w:tc>
        <w:tc>
          <w:tcPr>
            <w:tcW w:type="dxa" w:w="3230"/>
            <w:tcW w:w="2267" w:type="dxa"/>
          </w:tcPr>
          <w:p>
            <w:r>
              <w:t>De acuerdo a Programa de Capacitación vigente, se debe ejecutar lo prescrito de manera permanente.</w:t>
            </w:r>
          </w:p>
        </w:tc>
      </w:tr>
    </w:tbl>
    <w:p>
      <w:pPr>
        <w:pStyle w:val="Heading2"/>
        <w:jc w:val="left"/>
      </w:pPr>
      <w:r>
        <w:t>6. Vigencia del informe</w:t>
      </w:r>
    </w:p>
    <w:p>
      <w:r>
        <w:t>En términos generales, el presente informe tiene validez de 3 años, a excepción que existan cambios en la situación, del tipo ingenieril o administrativo, que presupongan modificación a las condiciones encontradas al momento de la medición, lo cual implicará realizar una nueva evaluación en un plazo menor al señalado.</w:t>
      </w:r>
    </w:p>
    <w:p/>
    <w:p>
      <w:r>
        <w:t>Estos resultados de evaluación representan las condiciones existentes del ambiente y lugar de trabajo al momento de realizar las mediciones.</w:t>
      </w:r>
    </w:p>
    <w:p/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40000" cy="67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udio-San-Mart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6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Claudio San Martin Catril</w:t>
      </w:r>
    </w:p>
    <w:p>
      <w:pPr>
        <w:jc w:val="center"/>
      </w:pPr>
      <w:r>
        <w:t>Consultor en Prevención de Riesgos</w:t>
      </w:r>
    </w:p>
    <w:p>
      <w:pPr>
        <w:jc w:val="center"/>
      </w:pPr>
      <w:r>
        <w:t>Zonal Sur-Talcahuano</w:t>
      </w:r>
    </w:p>
    <w:p>
      <w:r>
        <w:br w:type="page"/>
      </w:r>
    </w:p>
    <w:p>
      <w:pPr>
        <w:pStyle w:val="Heading2"/>
      </w:pPr>
      <w:r>
        <w:t>Anexos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f0b7b"/>
            <w:tcW w:w="1700" w:type="dxa"/>
          </w:tcPr>
          <w:p>
            <w:r>
              <w:rPr>
                <w:b/>
                <w:color w:val="FFFFFF"/>
                <w:sz w:val="20"/>
              </w:rPr>
              <w:t>Área</w:t>
            </w:r>
          </w:p>
        </w:tc>
        <w:tc>
          <w:tcPr>
            <w:tcW w:type="dxa" w:w="3230"/>
            <w:shd w:fill="4f0b7b"/>
            <w:tcW w:w="2834" w:type="dxa"/>
          </w:tcPr>
          <w:p>
            <w:r>
              <w:rPr>
                <w:b/>
                <w:color w:val="FFFFFF"/>
                <w:sz w:val="20"/>
              </w:rPr>
              <w:t>Observaciones</w:t>
            </w:r>
          </w:p>
        </w:tc>
        <w:tc>
          <w:tcPr>
            <w:tcW w:type="dxa" w:w="3230"/>
            <w:shd w:fill="4f0b7b"/>
            <w:tcW w:w="4818" w:type="dxa"/>
          </w:tcPr>
          <w:p>
            <w:r>
              <w:rPr>
                <w:b/>
                <w:color w:val="FFFFFF"/>
                <w:sz w:val="20"/>
              </w:rPr>
              <w:t>Registro fotográfico</w:t>
            </w:r>
          </w:p>
        </w:tc>
      </w:tr>
      <w:tr>
        <w:tc>
          <w:tcPr>
            <w:tcW w:type="dxa" w:w="3230"/>
          </w:tcPr>
          <w:p>
            <w:r>
              <w:t>Oficina Administración</w:t>
            </w:r>
          </w:p>
        </w:tc>
        <w:tc>
          <w:tcPr>
            <w:tcW w:type="dxa" w:w="3230"/>
          </w:tcPr>
          <w:p>
            <w:r>
              <w:t>Sin observaciones registradas.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Arqueo</w:t>
            </w:r>
          </w:p>
        </w:tc>
        <w:tc>
          <w:tcPr>
            <w:tcW w:type="dxa" w:w="3230"/>
          </w:tcPr>
          <w:p>
            <w:r>
              <w:t>Sin observaciones registradas.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Computación</w:t>
            </w:r>
          </w:p>
        </w:tc>
        <w:tc>
          <w:tcPr>
            <w:tcW w:type="dxa" w:w="3230"/>
          </w:tcPr>
          <w:p>
            <w:r>
              <w:t>Sin observaciones registradas.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Pre Arqueo</w:t>
            </w:r>
          </w:p>
        </w:tc>
        <w:tc>
          <w:tcPr>
            <w:tcW w:type="dxa" w:w="3230"/>
          </w:tcPr>
          <w:p>
            <w:r>
              <w:t>Sin observaciones registradas.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Recepción</w:t>
            </w:r>
          </w:p>
        </w:tc>
        <w:tc>
          <w:tcPr>
            <w:tcW w:type="dxa" w:w="3230"/>
          </w:tcPr>
          <w:p>
            <w:r>
              <w:t>Sin observaciones registradas.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Servicio A Personas</w:t>
            </w:r>
          </w:p>
        </w:tc>
        <w:tc>
          <w:tcPr>
            <w:tcW w:type="dxa" w:w="3230"/>
          </w:tcPr>
          <w:p>
            <w:r>
              <w:t>Sin observaciones registradas.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17" w:right="1134" w:bottom="850" w:left="1417" w:header="576" w:footer="720" w:gutter="0"/>
      <w:cols w:space="720"/>
      <w:docGrid w:linePitch="360"/>
      <w:vAlign w:val="top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720000" cy="55568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ST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0000" cy="555683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  <w:jc w:val="both"/>
    </w:pPr>
    <w:rPr>
      <w:rFonts w:ascii="Calibri" w:hAnsi="Calibri"/>
      <w:b w:val="0"/>
      <w:i w:val="0"/>
      <w:color w:val="000000"/>
      <w:sz w:val="20"/>
      <w:lang w:val="es-CL" w:eastAsia="es-CL" w:bidi="es-C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/>
      <w:jc w:val="left"/>
      <w:outlineLvl w:val="0"/>
    </w:pPr>
    <w:rPr>
      <w:rFonts w:asciiTheme="majorHAnsi" w:eastAsiaTheme="majorEastAsia" w:hAnsiTheme="majorHAnsi" w:cstheme="majorBidi" w:ascii="Calibri" w:hAnsi="Calibri"/>
      <w:b/>
      <w:bCs/>
      <w:i w:val="0"/>
      <w:color w:val="000000"/>
      <w:sz w:val="28"/>
      <w:szCs w:val="28"/>
      <w:lang w:val="es-CL" w:eastAsia="es-CL" w:bidi="es-C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240"/>
      <w:jc w:val="left"/>
      <w:outlineLvl w:val="1"/>
    </w:pPr>
    <w:rPr>
      <w:rFonts w:asciiTheme="majorHAnsi" w:eastAsiaTheme="majorEastAsia" w:hAnsiTheme="majorHAnsi" w:cstheme="majorBidi" w:ascii="Calibri" w:hAnsi="Calibri"/>
      <w:b/>
      <w:bCs/>
      <w:i w:val="0"/>
      <w:color w:val="4F0B7B"/>
      <w:sz w:val="24"/>
      <w:szCs w:val="26"/>
      <w:lang w:val="es-CL" w:eastAsia="es-CL" w:bidi="es-C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60"/>
      <w:jc w:val="left"/>
      <w:outlineLvl w:val="2"/>
    </w:pPr>
    <w:rPr>
      <w:rFonts w:asciiTheme="majorHAnsi" w:eastAsiaTheme="majorEastAsia" w:hAnsiTheme="majorHAnsi" w:cstheme="majorBidi" w:ascii="Calibri" w:hAnsi="Calibri"/>
      <w:b/>
      <w:bCs/>
      <w:i w:val="0"/>
      <w:color w:val="303030"/>
      <w:sz w:val="22"/>
      <w:lang w:val="es-CL" w:eastAsia="es-CL" w:bidi="es-C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